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CA6AC" w14:textId="53F490AF" w:rsidR="00F660BE" w:rsidRDefault="0038317B" w:rsidP="0038317B">
      <w:pPr>
        <w:pStyle w:val="Title"/>
      </w:pPr>
      <w:r w:rsidRPr="0038317B">
        <w:t>SHARIAH BAR REVIEWER ON PERSON, FAMILY RELATIONS AND PROPERTY</w:t>
      </w:r>
    </w:p>
    <w:p w14:paraId="313BAB3D" w14:textId="77777777" w:rsidR="0038317B" w:rsidRDefault="0038317B"/>
    <w:p w14:paraId="7CB45EC0" w14:textId="51F2289F" w:rsidR="0038317B" w:rsidRPr="0038317B" w:rsidRDefault="0038317B" w:rsidP="0038317B">
      <w:pPr>
        <w:pStyle w:val="Heading1"/>
        <w:rPr>
          <w:sz w:val="24"/>
          <w:szCs w:val="22"/>
        </w:rPr>
      </w:pPr>
      <w:r w:rsidRPr="0038317B">
        <w:t xml:space="preserve">Q. </w:t>
      </w:r>
      <w:r w:rsidRPr="0038317B">
        <w:t>Distinguish juridical capacity from capacity to act. Please explain and give</w:t>
      </w:r>
      <w:r w:rsidRPr="0038317B">
        <w:t xml:space="preserve"> </w:t>
      </w:r>
      <w:r w:rsidRPr="0038317B">
        <w:t>examples.</w:t>
      </w:r>
    </w:p>
    <w:p w14:paraId="52DA9F8E" w14:textId="259CFCE9" w:rsidR="0038317B" w:rsidRPr="0038317B" w:rsidRDefault="0038317B" w:rsidP="0038317B">
      <w:r w:rsidRPr="0038317B">
        <w:t>Juridical capacity and capacity to act are fundamental concepts in Shariah law (and civil law in general) concerning the legal capabilities of a person. Here is an explanation of each, along with examples:</w:t>
      </w:r>
    </w:p>
    <w:p w14:paraId="2827E7F3" w14:textId="77777777" w:rsidR="0038317B" w:rsidRPr="0038317B" w:rsidRDefault="0038317B" w:rsidP="0038317B">
      <w:pPr>
        <w:rPr>
          <w:b/>
          <w:bCs/>
        </w:rPr>
      </w:pPr>
      <w:r w:rsidRPr="0038317B">
        <w:rPr>
          <w:b/>
          <w:bCs/>
        </w:rPr>
        <w:t>Juridical Capacity</w:t>
      </w:r>
    </w:p>
    <w:p w14:paraId="1DFA1532" w14:textId="77777777" w:rsidR="0038317B" w:rsidRPr="0038317B" w:rsidRDefault="0038317B" w:rsidP="0038317B">
      <w:r w:rsidRPr="0038317B">
        <w:rPr>
          <w:b/>
          <w:bCs/>
        </w:rPr>
        <w:t>Definition:</w:t>
      </w:r>
      <w:r w:rsidRPr="0038317B">
        <w:t xml:space="preserve"> Juridical capacity is the inherent capacity of a person to acquire rights and to be subject to obligations. It is the capacity to be the subject of legal relations.</w:t>
      </w:r>
    </w:p>
    <w:p w14:paraId="1E0BD052" w14:textId="77777777" w:rsidR="0038317B" w:rsidRPr="0038317B" w:rsidRDefault="0038317B" w:rsidP="0038317B">
      <w:r w:rsidRPr="0038317B">
        <w:rPr>
          <w:b/>
          <w:bCs/>
        </w:rPr>
        <w:t>Characteristics:</w:t>
      </w:r>
    </w:p>
    <w:p w14:paraId="46439342" w14:textId="77777777" w:rsidR="0038317B" w:rsidRPr="0038317B" w:rsidRDefault="0038317B" w:rsidP="0038317B">
      <w:pPr>
        <w:numPr>
          <w:ilvl w:val="0"/>
          <w:numId w:val="1"/>
        </w:numPr>
      </w:pPr>
      <w:r w:rsidRPr="0038317B">
        <w:t>Inherent and inseparable from the person.</w:t>
      </w:r>
    </w:p>
    <w:p w14:paraId="29753108" w14:textId="77777777" w:rsidR="0038317B" w:rsidRPr="0038317B" w:rsidRDefault="0038317B" w:rsidP="0038317B">
      <w:pPr>
        <w:numPr>
          <w:ilvl w:val="0"/>
          <w:numId w:val="1"/>
        </w:numPr>
      </w:pPr>
      <w:r w:rsidRPr="0038317B">
        <w:t>Acquired at birth and lost at death.</w:t>
      </w:r>
    </w:p>
    <w:p w14:paraId="0FE6C285" w14:textId="77777777" w:rsidR="0038317B" w:rsidRPr="0038317B" w:rsidRDefault="0038317B" w:rsidP="0038317B">
      <w:pPr>
        <w:numPr>
          <w:ilvl w:val="0"/>
          <w:numId w:val="1"/>
        </w:numPr>
      </w:pPr>
      <w:r w:rsidRPr="0038317B">
        <w:t xml:space="preserve">Equal for all </w:t>
      </w:r>
      <w:proofErr w:type="gramStart"/>
      <w:r w:rsidRPr="0038317B">
        <w:t>persons</w:t>
      </w:r>
      <w:proofErr w:type="gramEnd"/>
      <w:r w:rsidRPr="0038317B">
        <w:t>; does not depend on personal qualities or circumstances.</w:t>
      </w:r>
    </w:p>
    <w:p w14:paraId="22C12E27" w14:textId="77777777" w:rsidR="0038317B" w:rsidRPr="0038317B" w:rsidRDefault="0038317B" w:rsidP="0038317B">
      <w:r w:rsidRPr="0038317B">
        <w:rPr>
          <w:b/>
          <w:bCs/>
        </w:rPr>
        <w:t>Example:</w:t>
      </w:r>
    </w:p>
    <w:p w14:paraId="68144CBB" w14:textId="77777777" w:rsidR="0038317B" w:rsidRPr="0038317B" w:rsidRDefault="0038317B" w:rsidP="0038317B">
      <w:pPr>
        <w:numPr>
          <w:ilvl w:val="0"/>
          <w:numId w:val="2"/>
        </w:numPr>
      </w:pPr>
      <w:r w:rsidRPr="0038317B">
        <w:t>A newborn baby has juridical capacity because the baby can inherit property or be a beneficiary of a trust. The baby can be the subject of rights (e.g., the right to be cared for) and obligations (e.g., the duty to pay taxes on inherited property in the future).</w:t>
      </w:r>
    </w:p>
    <w:p w14:paraId="6DD09578" w14:textId="77777777" w:rsidR="0038317B" w:rsidRPr="0038317B" w:rsidRDefault="0038317B" w:rsidP="0038317B">
      <w:pPr>
        <w:rPr>
          <w:b/>
          <w:bCs/>
        </w:rPr>
      </w:pPr>
      <w:r w:rsidRPr="0038317B">
        <w:rPr>
          <w:b/>
          <w:bCs/>
        </w:rPr>
        <w:t>Capacity to Act</w:t>
      </w:r>
    </w:p>
    <w:p w14:paraId="7603203D" w14:textId="77777777" w:rsidR="0038317B" w:rsidRPr="0038317B" w:rsidRDefault="0038317B" w:rsidP="0038317B">
      <w:r w:rsidRPr="0038317B">
        <w:rPr>
          <w:b/>
          <w:bCs/>
        </w:rPr>
        <w:t>Definition:</w:t>
      </w:r>
      <w:r w:rsidRPr="0038317B">
        <w:t xml:space="preserve"> Capacity to act refers to the ability of a person to engage in legal transactions or to act in a way that produces legal effects. It is the capacity to execute acts that create, modify, or extinguish legal relations.</w:t>
      </w:r>
    </w:p>
    <w:p w14:paraId="70F8C9E8" w14:textId="77777777" w:rsidR="0038317B" w:rsidRPr="0038317B" w:rsidRDefault="0038317B" w:rsidP="0038317B">
      <w:r w:rsidRPr="0038317B">
        <w:rPr>
          <w:b/>
          <w:bCs/>
        </w:rPr>
        <w:lastRenderedPageBreak/>
        <w:t>Characteristics:</w:t>
      </w:r>
    </w:p>
    <w:p w14:paraId="1366ABF7" w14:textId="77777777" w:rsidR="0038317B" w:rsidRPr="0038317B" w:rsidRDefault="0038317B" w:rsidP="0038317B">
      <w:pPr>
        <w:numPr>
          <w:ilvl w:val="0"/>
          <w:numId w:val="3"/>
        </w:numPr>
      </w:pPr>
      <w:r w:rsidRPr="0038317B">
        <w:t>Not inherent and can vary among individuals.</w:t>
      </w:r>
    </w:p>
    <w:p w14:paraId="64DFDEBF" w14:textId="77777777" w:rsidR="0038317B" w:rsidRPr="0038317B" w:rsidRDefault="0038317B" w:rsidP="0038317B">
      <w:pPr>
        <w:numPr>
          <w:ilvl w:val="0"/>
          <w:numId w:val="3"/>
        </w:numPr>
      </w:pPr>
      <w:r w:rsidRPr="0038317B">
        <w:t>Depends on factors like age, mental condition, and legal restrictions.</w:t>
      </w:r>
    </w:p>
    <w:p w14:paraId="7B71322E" w14:textId="77777777" w:rsidR="0038317B" w:rsidRPr="0038317B" w:rsidRDefault="0038317B" w:rsidP="0038317B">
      <w:pPr>
        <w:numPr>
          <w:ilvl w:val="0"/>
          <w:numId w:val="3"/>
        </w:numPr>
      </w:pPr>
      <w:r w:rsidRPr="0038317B">
        <w:t>Can be acquired and lost; for instance, through attaining majority age or becoming legally incapacitated due to mental illness.</w:t>
      </w:r>
    </w:p>
    <w:p w14:paraId="409F0506" w14:textId="77777777" w:rsidR="0038317B" w:rsidRPr="0038317B" w:rsidRDefault="0038317B" w:rsidP="0038317B">
      <w:r w:rsidRPr="0038317B">
        <w:rPr>
          <w:b/>
          <w:bCs/>
        </w:rPr>
        <w:t>Example:</w:t>
      </w:r>
    </w:p>
    <w:p w14:paraId="2F9089D4" w14:textId="69661A0D" w:rsidR="0038317B" w:rsidRPr="0038317B" w:rsidRDefault="0038317B" w:rsidP="0038317B">
      <w:pPr>
        <w:numPr>
          <w:ilvl w:val="0"/>
          <w:numId w:val="4"/>
        </w:numPr>
      </w:pPr>
      <w:r w:rsidRPr="0038317B">
        <w:t xml:space="preserve">A 10-year-old child has </w:t>
      </w:r>
      <w:r w:rsidRPr="0038317B">
        <w:t>a juridical</w:t>
      </w:r>
      <w:r w:rsidRPr="0038317B">
        <w:t xml:space="preserve"> capacity but lacks the capacity to act. The child cannot </w:t>
      </w:r>
      <w:proofErr w:type="gramStart"/>
      <w:r w:rsidRPr="0038317B">
        <w:t>enter into</w:t>
      </w:r>
      <w:proofErr w:type="gramEnd"/>
      <w:r w:rsidRPr="0038317B">
        <w:t xml:space="preserve"> contracts or make legal decisions independently. However, once the child reaches the age of majority (18 in many jurisdictions), they gain the capacity to act and can </w:t>
      </w:r>
      <w:proofErr w:type="gramStart"/>
      <w:r w:rsidRPr="0038317B">
        <w:t>enter into</w:t>
      </w:r>
      <w:proofErr w:type="gramEnd"/>
      <w:r w:rsidRPr="0038317B">
        <w:t xml:space="preserve"> contracts, marry, or make a will.</w:t>
      </w:r>
    </w:p>
    <w:p w14:paraId="57044AE7" w14:textId="77777777" w:rsidR="0038317B" w:rsidRPr="0038317B" w:rsidRDefault="0038317B" w:rsidP="0038317B">
      <w:pPr>
        <w:rPr>
          <w:b/>
          <w:bCs/>
        </w:rPr>
      </w:pPr>
      <w:r w:rsidRPr="0038317B">
        <w:rPr>
          <w:b/>
          <w:bCs/>
        </w:rPr>
        <w:t>Summary of Differences</w:t>
      </w:r>
    </w:p>
    <w:p w14:paraId="5ABA654B" w14:textId="21349D75" w:rsidR="0038317B" w:rsidRPr="0038317B" w:rsidRDefault="0038317B" w:rsidP="0038317B">
      <w:pPr>
        <w:numPr>
          <w:ilvl w:val="0"/>
          <w:numId w:val="5"/>
        </w:numPr>
      </w:pPr>
      <w:r w:rsidRPr="0038317B">
        <w:rPr>
          <w:b/>
          <w:bCs/>
        </w:rPr>
        <w:t>Juridical Capacity:</w:t>
      </w:r>
      <w:r w:rsidRPr="0038317B">
        <w:t xml:space="preserve"> The ability to have rights and obligations possessed by all persons from birth to death.</w:t>
      </w:r>
    </w:p>
    <w:p w14:paraId="3BCCE53C" w14:textId="32C741D0" w:rsidR="0038317B" w:rsidRPr="0038317B" w:rsidRDefault="0038317B" w:rsidP="0038317B">
      <w:pPr>
        <w:numPr>
          <w:ilvl w:val="0"/>
          <w:numId w:val="5"/>
        </w:numPr>
      </w:pPr>
      <w:r w:rsidRPr="0038317B">
        <w:rPr>
          <w:b/>
          <w:bCs/>
        </w:rPr>
        <w:t>Capacity to Act:</w:t>
      </w:r>
      <w:r w:rsidRPr="0038317B">
        <w:t xml:space="preserve"> The ability to perform acts that have legal consequences varies based on personal circumstances such as age, mental condition, and legal status.</w:t>
      </w:r>
    </w:p>
    <w:p w14:paraId="3E82F35B" w14:textId="77777777" w:rsidR="0038317B" w:rsidRPr="0038317B" w:rsidRDefault="0038317B" w:rsidP="0038317B">
      <w:pPr>
        <w:rPr>
          <w:b/>
          <w:bCs/>
        </w:rPr>
      </w:pPr>
      <w:r w:rsidRPr="0038317B">
        <w:rPr>
          <w:b/>
          <w:bCs/>
        </w:rPr>
        <w:t>Example Illustrating Both Concepts</w:t>
      </w:r>
    </w:p>
    <w:p w14:paraId="40BECB9E" w14:textId="77777777" w:rsidR="0038317B" w:rsidRPr="0038317B" w:rsidRDefault="0038317B" w:rsidP="0038317B">
      <w:r w:rsidRPr="0038317B">
        <w:t>Consider a minor who inherits a piece of land:</w:t>
      </w:r>
    </w:p>
    <w:p w14:paraId="729632E7" w14:textId="77777777" w:rsidR="0038317B" w:rsidRPr="0038317B" w:rsidRDefault="0038317B" w:rsidP="0038317B">
      <w:pPr>
        <w:numPr>
          <w:ilvl w:val="0"/>
          <w:numId w:val="6"/>
        </w:numPr>
      </w:pPr>
      <w:r w:rsidRPr="0038317B">
        <w:t xml:space="preserve">The minor has </w:t>
      </w:r>
      <w:r w:rsidRPr="0038317B">
        <w:rPr>
          <w:b/>
          <w:bCs/>
        </w:rPr>
        <w:t>juridical capacity</w:t>
      </w:r>
      <w:r w:rsidRPr="0038317B">
        <w:t xml:space="preserve"> because they can be the owner of the land.</w:t>
      </w:r>
    </w:p>
    <w:p w14:paraId="072BC534" w14:textId="704D324D" w:rsidR="0038317B" w:rsidRPr="0038317B" w:rsidRDefault="0038317B" w:rsidP="0038317B">
      <w:pPr>
        <w:numPr>
          <w:ilvl w:val="0"/>
          <w:numId w:val="6"/>
        </w:numPr>
      </w:pPr>
      <w:r w:rsidRPr="0038317B">
        <w:t xml:space="preserve">However, the minor </w:t>
      </w:r>
      <w:r>
        <w:t>cannot</w:t>
      </w:r>
      <w:r w:rsidRPr="0038317B">
        <w:rPr>
          <w:b/>
          <w:bCs/>
        </w:rPr>
        <w:t xml:space="preserve"> act</w:t>
      </w:r>
      <w:r w:rsidRPr="0038317B">
        <w:t xml:space="preserve"> to sell or lease the land until they reach the age of majority or are otherwise granted legal capacity by a court or through a guardian's action.</w:t>
      </w:r>
    </w:p>
    <w:p w14:paraId="353903FA" w14:textId="7A89639F" w:rsidR="0038317B" w:rsidRPr="0038317B" w:rsidRDefault="0038317B" w:rsidP="0038317B">
      <w:r w:rsidRPr="0038317B">
        <w:t xml:space="preserve">In summary, juridical capacity is the fundamental legal attribute of being a person, while </w:t>
      </w:r>
      <w:r>
        <w:t xml:space="preserve">the </w:t>
      </w:r>
      <w:r w:rsidRPr="0038317B">
        <w:t>capacity to act is the ability to perform legal acts and enter into binding agreements.</w:t>
      </w:r>
    </w:p>
    <w:p w14:paraId="0F0E2AD4" w14:textId="77777777" w:rsidR="0038317B" w:rsidRDefault="0038317B"/>
    <w:p w14:paraId="32073C23" w14:textId="77777777" w:rsidR="0038317B" w:rsidRDefault="0038317B"/>
    <w:sectPr w:rsidR="00383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12C0E"/>
    <w:multiLevelType w:val="multilevel"/>
    <w:tmpl w:val="B448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8B0A5E"/>
    <w:multiLevelType w:val="multilevel"/>
    <w:tmpl w:val="C09E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5468BD"/>
    <w:multiLevelType w:val="multilevel"/>
    <w:tmpl w:val="EA52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AE0D97"/>
    <w:multiLevelType w:val="multilevel"/>
    <w:tmpl w:val="0AF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CD044C"/>
    <w:multiLevelType w:val="multilevel"/>
    <w:tmpl w:val="22FA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0B7AB4"/>
    <w:multiLevelType w:val="multilevel"/>
    <w:tmpl w:val="35C4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8814959">
    <w:abstractNumId w:val="3"/>
  </w:num>
  <w:num w:numId="2" w16cid:durableId="525170126">
    <w:abstractNumId w:val="5"/>
  </w:num>
  <w:num w:numId="3" w16cid:durableId="2011634380">
    <w:abstractNumId w:val="1"/>
  </w:num>
  <w:num w:numId="4" w16cid:durableId="817497079">
    <w:abstractNumId w:val="2"/>
  </w:num>
  <w:num w:numId="5" w16cid:durableId="1561743017">
    <w:abstractNumId w:val="4"/>
  </w:num>
  <w:num w:numId="6" w16cid:durableId="17507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7B"/>
    <w:rsid w:val="0038317B"/>
    <w:rsid w:val="00441344"/>
    <w:rsid w:val="00637F61"/>
    <w:rsid w:val="008C589C"/>
    <w:rsid w:val="009817AB"/>
    <w:rsid w:val="00F6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B16F81"/>
  <w15:chartTrackingRefBased/>
  <w15:docId w15:val="{E28CC237-7E2A-4531-9CC0-C8D411F5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Theme="minorHAnsi" w:hAnsi="Bookman Old Style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7AB"/>
    <w:pPr>
      <w:keepNext/>
      <w:keepLines/>
      <w:spacing w:before="360" w:after="80"/>
      <w:outlineLvl w:val="0"/>
    </w:pPr>
    <w:rPr>
      <w:rFonts w:eastAsiaTheme="majorEastAsia" w:cstheme="majorBidi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344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17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17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17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17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17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17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17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7AB"/>
    <w:rPr>
      <w:rFonts w:eastAsiaTheme="majorEastAsia" w:cstheme="majorBidi"/>
      <w:sz w:val="36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441344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34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344"/>
    <w:rPr>
      <w:rFonts w:eastAsiaTheme="majorEastAsia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344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344"/>
    <w:rPr>
      <w:rFonts w:eastAsiaTheme="majorEastAsia" w:cstheme="majorBidi"/>
      <w:spacing w:val="1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17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17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17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17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17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17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17B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383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1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1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1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5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5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44237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77813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6346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428</Words>
  <Characters>2218</Characters>
  <Application>Microsoft Office Word</Application>
  <DocSecurity>0</DocSecurity>
  <Lines>55</Lines>
  <Paragraphs>31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Ashary Tamano</dc:creator>
  <cp:keywords/>
  <dc:description/>
  <cp:lastModifiedBy>Ashary Tamano</cp:lastModifiedBy>
  <cp:revision>2</cp:revision>
  <dcterms:created xsi:type="dcterms:W3CDTF">2024-05-22T06:02:00Z</dcterms:created>
  <dcterms:modified xsi:type="dcterms:W3CDTF">2024-05-22T06:11:00Z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4c31795d-6934-4b61-9af2-f455ad1d372d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2024-05-22T06:10:45Z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1c02c5e5-46e2-4fef-94ee-1251e1a40102</vt:lpwstr>
  </property>
  <property fmtid="{D5CDD505-2E9C-101B-9397-08002B2CF9AE}" pid="8" name="MSIP_Label_defa4170-0d19-0005-0004-bc88714345d2_ActionId">
    <vt:lpwstr>cd7f4f0d-9a6a-4c40-a1df-4f1d6819eb82</vt:lpwstr>
  </property>
  <property fmtid="{D5CDD505-2E9C-101B-9397-08002B2CF9AE}" pid="9" name="MSIP_Label_defa4170-0d19-0005-0004-bc88714345d2_ContentBits">
    <vt:lpwstr>0</vt:lpwstr>
  </property>
</Properties>
</file>