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color w:val="0F3A5F"/>
          <w:sz w:val="34"/>
          <w:szCs w:val="34"/>
        </w:rPr>
        <w:t xml:space="preserve">SCE LEAP Dashboards — Build Guide &amp; Asset Pack</w:t>
      </w:r>
    </w:p>
    <w:p>
      <w:pPr>
        <w:spacing w:after="90"/>
      </w:pPr>
      <w:r>
        <w:rPr>
          <w:b w:val="false"/>
          <w:bCs w:val="false"/>
          <w:color w:val="5C7590"/>
          <w:sz w:val="17"/>
          <w:szCs w:val="17"/>
        </w:rPr>
        <w:t xml:space="preserve">Everything needed to rebuild, modify and re-deploy the LEAP 2026 dashboard suite · WeDo Solutions · August 2026</w:t>
      </w:r>
    </w:p>
    <w:p>
      <w:pPr>
        <w:pStyle w:val="Heading1"/>
        <w:spacing w:after="110" w:before="300"/>
      </w:pPr>
      <w:r>
        <w:rPr>
          <w:color w:val="0F3A5F"/>
        </w:rPr>
        <w:t xml:space="preserve">1. What this pack is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The LEAP suite is four linked dark-theme dashboards for the SCE Smart Monitoring Center: the Ecosystem Dashboard (national picture with a 4-mode map), the National Field Verification page (the field-survey programme), the KPI Library (20 indicators, each toggleable between chart types), and the LED Big Screen (a 2.5:1 wall version with switchable scenes). They are plain HTML + JavaScript — no framework, no build system, no server. Open the files and they run.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Folder</w:t>
            </w:r>
          </w:p>
        </w:tc>
        <w:tc>
          <w:tcPr>
            <w:tcW w:type="dxa" w:w="70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Contents</w:t>
            </w:r>
          </w:p>
        </w:tc>
      </w:tr>
      <w:tr>
        <w:tc>
          <w:tcPr>
            <w:tcW w:type="dxa" w:w="2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Dashboards/</w:t>
            </w:r>
          </w:p>
        </w:tc>
        <w:tc>
          <w:tcPr>
            <w:tcW w:type="dxa" w:w="7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four finished dashboards as single self-contained HTML files. Each carries its data, styling, code and logo inside it. Share these; open in any modern browser.</w:t>
            </w:r>
          </w:p>
        </w:tc>
      </w:tr>
      <w:tr>
        <w:tc>
          <w:tcPr>
            <w:tcW w:type="dxa" w:w="2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Source/</w:t>
            </w:r>
          </w:p>
        </w:tc>
        <w:tc>
          <w:tcPr>
            <w:tcW w:type="dxa" w:w="7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editable version: four page files plus assets/ (data, engine, theme, logos). Edit here, then re-inline to refresh Dashboards/ (section 7).</w:t>
            </w:r>
          </w:p>
        </w:tc>
      </w:tr>
      <w:tr>
        <w:tc>
          <w:tcPr>
            <w:tcW w:type="dxa" w:w="23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Data Files/</w:t>
            </w:r>
          </w:p>
        </w:tc>
        <w:tc>
          <w:tcPr>
            <w:tcW w:type="dxa" w:w="70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data layer on its own: leap_data.js (the dataset the dashboards read), cc.js (widget engine), cc.css (theme), both logo variants, and CSV Extracts/ — every dataset also exported as a plain CSV so analysts can inspect or rebuild the numbers.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2. What you need to make it</w:t>
      </w:r>
    </w:p>
    <w:p>
      <w:pPr>
        <w:pStyle w:val="Heading2"/>
        <w:spacing w:after="70" w:before="200"/>
      </w:pPr>
      <w:r>
        <w:rPr>
          <w:color w:val="0F3A5F"/>
        </w:rPr>
        <w:t xml:space="preserve">2.1 Data inputs (already baked into leap_data.js)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All figures were computed from the reconciled national datasets and verified in a 21-point check against source extracts. If you rebuild from scratch, these are the required inputs: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Input</w:t>
            </w:r>
          </w:p>
        </w:tc>
        <w:tc>
          <w:tcPr>
            <w:tcW w:type="dxa" w:w="62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Used for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SCE member &amp; membership register extracts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Registered/active/expired/near-expiry counts, classes, grades, renewal pipeline, nationality and specialty tops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Regulated professions lookup (v2)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Defining the in-scope engineering workforce (722,690) and compliance share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Efaa enforcement extract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2,445 cases, 11.4M SAR enforced, 5.32M collected, 36-month trend, regional split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Field-verification survey (TUV)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6,371 offices surveyed, 3,141 active verified, 93.1% / 76.9% coverage, 35,543 professionals verified on site, 2,840 mappable points, 64-city coverage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KPI storytelling workbook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21,405 offices network, 402 proactively tracked licences, ≈265k engaged per cycle</w:t>
            </w:r>
          </w:p>
        </w:tc>
      </w:tr>
    </w:tbl>
    <w:p>
      <w:pPr>
        <w:pStyle w:val="Heading2"/>
        <w:spacing w:after="70" w:before="200"/>
      </w:pPr>
      <w:r>
        <w:rPr>
          <w:color w:val="0F3A5F"/>
        </w:rPr>
        <w:t xml:space="preserve">2.2 Tools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A modern browser and a text editor — that is all. Internet is needed at view time only for the map tiles (Leaflet from cdnjs + Carto dark basemap); everything else is local. Optional: Python + Pillow if you need to regenerate the dark-background logo (navy → near-white, white background → transparent).</w:t>
      </w:r>
    </w:p>
    <w:p>
      <w:pPr>
        <w:pStyle w:val="Heading1"/>
        <w:spacing w:after="110" w:before="300"/>
      </w:pPr>
      <w:r>
        <w:rPr>
          <w:color w:val="0F3A5F"/>
        </w:rPr>
        <w:t xml:space="preserve">3. The data layer — leap_data.js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One file defines a single global object LEAP. Every number on every page is read from it, so changing the data means editing (or regenerating) this file only. Each key is also exported as a CSV in Data Files/CSV Extracts/.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650"/>
        <w:gridCol w:w="2500"/>
        <w:gridCol w:w="4210"/>
      </w:tblGrid>
      <w:tr>
        <w:trPr>
          <w:tblHeader/>
        </w:trPr>
        <w:tc>
          <w:tcPr>
            <w:tcW w:type="dxa" w:w="26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Key</w:t>
            </w:r>
          </w:p>
        </w:tc>
        <w:tc>
          <w:tcPr>
            <w:tcW w:type="dxa" w:w="25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Shape</w:t>
            </w:r>
          </w:p>
        </w:tc>
        <w:tc>
          <w:tcPr>
            <w:tcW w:type="dxa" w:w="421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Meaning / 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LEAP.head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object of KPIs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Headline figures (ecosystem, registered, active, Saudis, cases…) — head_kpis.csv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LEAP.city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38 × [name,lat,lng,workforce,registered]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City bubbles for the Ecosystem map — cities.csv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LEAP.regions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10 × [name,lat,lng,actions,fines]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Regional enforcement — regions.csv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LEAP.grades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[grade,class,count] rows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Career-grade pipeline — grades.csv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LEAP.pipe / LEAP.pipetrack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{d30,d60,d90} / [track,window,count]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Renewal outreach pipeline, total and per track — renewal_pipeline.csv, pipeline_by_track.csv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LEAP.register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status → count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Register mix (active, expired, near, frozen…) — register_status.csv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LEAP.months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36 numbers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Enforcement trend — enforcement_36_months.csv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LEAP.eng5 / tech5 / spec5 / nat5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top-5 [label,count]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Top specialties per class and top nationalities — four CSVs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LEAP.cls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class → count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Engineers / Technicians / Specialists — classes.csv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LEAP.tuv.head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object of KPIs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Field-verification headline figures — tuv_head_kpis.csv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LEAP.tuv.pts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2,840 × [lat,lng,staff,licensedFlag]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Verified-office dots on the field map — tuv_verified_offices_points.csv</w:t>
            </w:r>
          </w:p>
        </w:tc>
      </w:tr>
      <w:tr>
        <w:tc>
          <w:tcPr>
            <w:tcW w:type="dxa" w:w="26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LEAP.tuv.city / LEAP.tuvtop</w:t>
            </w:r>
          </w:p>
        </w:tc>
        <w:tc>
          <w:tcPr>
            <w:tcW w:type="dxa" w:w="25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64 / 8 × [city,lat,lng,offices,staff,pct]</w:t>
            </w:r>
          </w:p>
        </w:tc>
        <w:tc>
          <w:tcPr>
            <w:tcW w:type="dxa" w:w="421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City coverage and top cities — tuv_city_coverage.csv, tuv_top_cities.csv</w:t>
            </w:r>
          </w:p>
        </w:tc>
      </w:tr>
    </w:tbl>
    <w:p>
      <w:pPr>
        <w:spacing w:after="90"/>
      </w:pPr>
      <w:r>
        <w:rPr>
          <w:b/>
          <w:bCs/>
          <w:sz w:val="19"/>
          <w:szCs w:val="19"/>
        </w:rPr>
        <w:t xml:space="preserve">Rule: never change a headline number by editing HTML — always change leap_data.js so all four pages stay consistent.</w:t>
      </w:r>
    </w:p>
    <w:p>
      <w:pPr>
        <w:pStyle w:val="Heading1"/>
        <w:spacing w:after="110" w:before="300"/>
      </w:pPr>
      <w:r>
        <w:rPr>
          <w:color w:val="0F3A5F"/>
        </w:rPr>
        <w:t xml:space="preserve">4. The design system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Element</w:t>
            </w:r>
          </w:p>
        </w:tc>
        <w:tc>
          <w:tcPr>
            <w:tcW w:type="dxa" w:w="65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Palette</w:t>
            </w:r>
          </w:p>
        </w:tc>
        <w:tc>
          <w:tcPr>
            <w:tcW w:type="dxa" w:w="65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Cyan #39d7f5 (primary), gold #d4af5a (enforcement/attention), green #3ee6a4 (good standing), purple #b48af5 (secondary), text #e9f4fb, muted #7fa8c2</w:t>
            </w:r>
          </w:p>
        </w:tc>
      </w:tr>
      <w:tr>
        <w:tc>
          <w:tcPr>
            <w:tcW w:type="dxa" w:w="28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Background</w:t>
            </w:r>
          </w:p>
        </w:tc>
        <w:tc>
          <w:tcPr>
            <w:tcW w:type="dxa" w:w="65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Radial navy: #062036 → #03101f → #020813, with a faint horizontal scanline overlay for the command-center feel</w:t>
            </w:r>
          </w:p>
        </w:tc>
      </w:tr>
      <w:tr>
        <w:tc>
          <w:tcPr>
            <w:tcW w:type="dxa" w:w="28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Typography</w:t>
            </w:r>
          </w:p>
        </w:tc>
        <w:tc>
          <w:tcPr>
            <w:tcW w:type="dxa" w:w="65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Segoe UI / system-ui; uppercase 10px letter-spaced labels; big numbers 800 weight with tight letter-spacing</w:t>
            </w:r>
          </w:p>
        </w:tc>
      </w:tr>
      <w:tr>
        <w:tc>
          <w:tcPr>
            <w:tcW w:type="dxa" w:w="28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Panels</w:t>
            </w:r>
          </w:p>
        </w:tc>
        <w:tc>
          <w:tcPr>
            <w:tcW w:type="dxa" w:w="65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Gradient #07223a→#041525, 1px #39d7f52e border, 14px radius, inner cyan glow</w:t>
            </w:r>
          </w:p>
        </w:tc>
      </w:tr>
      <w:tr>
        <w:tc>
          <w:tcPr>
            <w:tcW w:type="dxa" w:w="28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Logo</w:t>
            </w:r>
          </w:p>
        </w:tc>
        <w:tc>
          <w:tcPr>
            <w:tcW w:type="dxa" w:w="65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sce_logo.png (original navy) for light use; sce_logo_dark.png (recolored near-white, transparent) on the dark theme — always the dark variant on these pages</w:t>
            </w:r>
          </w:p>
        </w:tc>
      </w:tr>
      <w:tr>
        <w:tc>
          <w:tcPr>
            <w:tcW w:type="dxa" w:w="28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Maps</w:t>
            </w:r>
          </w:p>
        </w:tc>
        <w:tc>
          <w:tcPr>
            <w:tcW w:type="dxa" w:w="65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Leaflet 1.9.4 + Carto dark_nolabels tiles, circle markers sized by sqrt(value), HUD box top-left, mode toggles top-right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5. Architecture — the shared engine (cc.js)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Three pages (Ecosystem, Field Verification, KPI Library) share cc.css + cc.js. The engine gives every page the header, the chart builders, and movable/resizable widgets.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API</w:t>
            </w:r>
          </w:p>
        </w:tc>
        <w:tc>
          <w:tcPr>
            <w:tcW w:type="dxa" w:w="57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What it does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ccHeader(file, title, arSubtitle)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Renders the sticky header: SCE logo centre, page title left, Arabic subtitle, nav links to the other pages, RESET LAYOUT button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bKpis([[value,label,colorClass]…])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KPI tile grid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bBars([[label,value]…], gradient)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Horizontal bar list, auto-scaled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bDonut([[label,value,color]…])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Donut with legend (conic-gradient)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bSpark(series, color)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Area sparkline (SVG) with range footer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bTable(rows)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Two-column table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bGauge(pct, color, note)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Radial gauge</w:t>
            </w:r>
          </w:p>
        </w:tc>
      </w:tr>
      <w:tr>
        <w:tc>
          <w:tcPr>
            <w:tcW w:type="dxa" w:w="36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ccDash(storageKey, widgets, height)</w:t>
            </w:r>
          </w:p>
        </w:tc>
        <w:tc>
          <w:tcPr>
            <w:tcW w:type="dxa" w:w="57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dashboard canvas: each widget {id, title, x, y, w, h, minw, minh, chips:[…], views:[fn(el)…], onResize}. Drag by the title bar, resize from the corner ⌟, layout persists per page in localStorage; chips switch a widget between its views</w:t>
            </w:r>
          </w:p>
        </w:tc>
      </w:tr>
    </w:tbl>
    <w:p>
      <w:pPr>
        <w:spacing w:after="90"/>
      </w:pPr>
      <w:r>
        <w:rPr>
          <w:b w:val="false"/>
          <w:bCs w:val="false"/>
          <w:sz w:val="19"/>
          <w:szCs w:val="19"/>
        </w:rPr>
        <w:t xml:space="preserve">Pattern for maps: the widget creates the Leaflet map once on first view, then each chip clears one layerGroup and redraws — plus an onResize hook calling map.invalidateSize().</w:t>
      </w:r>
    </w:p>
    <w:p>
      <w:pPr>
        <w:pStyle w:val="Heading1"/>
        <w:spacing w:after="110" w:before="300"/>
      </w:pPr>
      <w:r>
        <w:rPr>
          <w:color w:val="0F3A5F"/>
        </w:rPr>
        <w:t xml:space="preserve">6. The LED Big Screen (bigscreen.html)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The wall version is different by design: a fixed 2400×960 stage (2.5:1, for a 7.5×3.0 m LED wall) scaled to any window with a CSS transform, so the layout never reflows. Left and right wings of panels flank one large central map with its own toggle set; a ticker runs along the bottom.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Piece</w:t>
            </w:r>
          </w:p>
        </w:tc>
        <w:tc>
          <w:tcPr>
            <w:tcW w:type="dxa" w:w="66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How it works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Scaling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#stage is 2400×960; JS sets transform: translate(-50%,-50%) scale(min(w/2400, h/960)) on resize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Scenes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OVERVIEW / PROFESSION / OPERATIONS chips (top-left, inside #sceneBar) swap the content of all six wing panels at once; every panel also has its own view chips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Important scoping rule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Scene chips and the top-right page links share the .sc class. All scene JavaScript MUST select #sceneBar .sc — an unscoped querySelectorAll('.sc') will capture the page links and break every toggle (this was a real bug; do not reintroduce it)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Panel fill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Panel content is wrapped in .pbody (flex column). KPI grids get flex:1 with equal rows, bar lists space-evenly, sparklines stretch — so any view fills its panel when switched</w:t>
            </w:r>
          </w:p>
        </w:tc>
      </w:tr>
      <w:tr>
        <w:tc>
          <w:tcPr>
            <w:tcW w:type="dxa" w:w="27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Ticker</w:t>
            </w:r>
          </w:p>
        </w:tc>
        <w:tc>
          <w:tcPr>
            <w:tcW w:type="dxa" w:w="66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Scrolling strip of verified headline figures; keep its numbers identical to the tiles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7. How to build / modify — step by step</w:t>
      </w:r>
    </w:p>
    <w:p>
      <w:pPr>
        <w:pStyle w:val="Heading2"/>
        <w:spacing w:after="70" w:before="200"/>
      </w:pPr>
      <w:r>
        <w:rPr>
          <w:color w:val="0F3A5F"/>
        </w:rPr>
        <w:t xml:space="preserve">7.1 Change data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Edit Data Files/leap_data.js (or Source/assets/leap_data.js — keep them identical), save, reload the page. For a fresh rebuild from source extracts, recompute each CSV in CSV Extracts/, then write the same numbers into leap_data.js keys.</w:t>
      </w:r>
    </w:p>
    <w:p>
      <w:pPr>
        <w:pStyle w:val="Heading2"/>
        <w:spacing w:after="70" w:before="200"/>
      </w:pPr>
      <w:r>
        <w:rPr>
          <w:color w:val="0F3A5F"/>
        </w:rPr>
        <w:t xml:space="preserve">7.2 Add a KPI card to the Library</w:t>
      </w:r>
    </w:p>
    <w:p>
      <w:pPr>
        <w:shd w:fill="F2F6FA" w:val="clear"/>
        <w:spacing w:after="80"/>
      </w:pPr>
      <w:r>
        <w:rPr>
          <w:rFonts w:ascii="Consolas" w:cs="Consolas" w:eastAsia="Consolas" w:hAnsi="Consolas"/>
          <w:color w:val="16324A"/>
          <w:sz w:val="16"/>
          <w:szCs w:val="16"/>
        </w:rPr>
        <w:t xml:space="preserve">K.push(['Category','Card title',{NUMBER:vNum('12,345','what it means','#39d7f5'),BARS:vB(rows,'linear-gradient(90deg,#39d7f5,#1179a6)')}]);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Each entry: category (drives the filter chips), title, and an object of named views — every key becomes a toggle chip on the card.</w:t>
      </w:r>
    </w:p>
    <w:p>
      <w:pPr>
        <w:pStyle w:val="Heading2"/>
        <w:spacing w:after="70" w:before="200"/>
      </w:pPr>
      <w:r>
        <w:rPr>
          <w:color w:val="0F3A5F"/>
        </w:rPr>
        <w:t xml:space="preserve">7.3 Add a map mode</w:t>
      </w:r>
    </w:p>
    <w:p>
      <w:pPr>
        <w:shd w:fill="F2F6FA" w:val="clear"/>
        <w:spacing w:after="80"/>
      </w:pPr>
      <w:r>
        <w:rPr>
          <w:rFonts w:ascii="Consolas" w:cs="Consolas" w:eastAsia="Consolas" w:hAnsi="Consolas"/>
          <w:color w:val="16324A"/>
          <w:sz w:val="16"/>
          <w:szCs w:val="16"/>
        </w:rPr>
        <w:t xml:space="preserve">MODES.push({t:'MY MODE',n:'42',l:'HUD label',f:'footer note',draw:function(){/* add circleMarkers to layer */}}); // then add its chip</w:t>
      </w:r>
    </w:p>
    <w:p>
      <w:pPr>
        <w:pStyle w:val="Heading2"/>
        <w:spacing w:after="70" w:before="200"/>
      </w:pPr>
      <w:r>
        <w:rPr>
          <w:color w:val="0F3A5F"/>
        </w:rPr>
        <w:t xml:space="preserve">7.4 Add a widget to a dashboard</w:t>
      </w:r>
    </w:p>
    <w:p>
      <w:pPr>
        <w:shd w:fill="F2F6FA" w:val="clear"/>
        <w:spacing w:after="80"/>
      </w:pPr>
      <w:r>
        <w:rPr>
          <w:rFonts w:ascii="Consolas" w:cs="Consolas" w:eastAsia="Consolas" w:hAnsi="Consolas"/>
          <w:color w:val="16324A"/>
          <w:sz w:val="16"/>
          <w:szCs w:val="16"/>
        </w:rPr>
        <w:t xml:space="preserve">{id:'mywidget',title:'My Panel · عنوان',x:0,y:700,w:700,h:250,chips:['A','B'],views:[fn1,fn2]}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Append to the ccDash array in the page. Positions are the default layout; users can drag/resize and RESET LAYOUT restores your defaults (bump the storageKey if you change defaults and want everyone reset).</w:t>
      </w:r>
    </w:p>
    <w:p>
      <w:pPr>
        <w:pStyle w:val="Heading2"/>
        <w:spacing w:after="70" w:before="200"/>
      </w:pPr>
      <w:r>
        <w:rPr>
          <w:color w:val="0F3A5F"/>
        </w:rPr>
        <w:t xml:space="preserve">7.5 Regenerate the standalone Dashboards/ files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Each standalone file is the source page with: (1) the &lt;link&gt; to cc.css replaced by an inline &lt;style&gt; of its contents; (2) the leap_data.js and cc.js &lt;script src&gt; tags replaced by inline &lt;script&gt; blocks; (3) the logo &lt;img&gt; src replaced by a base64 data URI of sce_logo_dark.png; (4) the four cross-page hrefs remapped index.html→SCE_LEAP_Ecosystem.html, field-survey.html→SCE_LEAP_Field_Verification.html, kpis.html→SCE_LEAP_KPI_Library.html, bigscreen.html→SCE_LEAP_BigScreen.html. Any script or manual process that does those four steps reproduces Dashboards/ exactly.</w:t>
      </w:r>
    </w:p>
    <w:p>
      <w:pPr>
        <w:pStyle w:val="Heading1"/>
        <w:spacing w:after="110" w:before="300"/>
      </w:pPr>
      <w:r>
        <w:rPr>
          <w:color w:val="0F3A5F"/>
        </w:rPr>
        <w:t xml:space="preserve">8. Gotchas &amp; rules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Rule</w:t>
            </w:r>
          </w:p>
        </w:tc>
        <w:tc>
          <w:tcPr>
            <w:tcW w:type="dxa" w:w="62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Internet needed for maps only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Leaflet and the Carto dark tiles load from CDN; on a fully offline wall, pre-cache tiles or accept a dark empty map background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Keep numbers verified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The dataset carries the reconciled figures (e.g. 35,543 professionals verified on site at active offices; 4,854 bounds-validated geo-located offices). Do not hand-edit one page — change leap_data.js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localStorage layouts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Widget positions persist per browser; demo machines should get a RESET LAYOUT click before showtime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No .sc without #sceneBar on the big screen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See section 6 — unscoped selectors break all toggles</w:t>
            </w:r>
          </w:p>
        </w:tc>
      </w:tr>
      <w:tr>
        <w:tc>
          <w:tcPr>
            <w:tcW w:type="dxa" w:w="310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Sharing</w:t>
            </w:r>
          </w:p>
        </w:tc>
        <w:tc>
          <w:tcPr>
            <w:tcW w:type="dxa" w:w="62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Send the Dashboards/ folder (or zip it). The files contain real aggregate figures — share through trusted channels only; note that Gmail blocks zips containing .js files, which is why the standalone files inline everything</w:t>
            </w:r>
          </w:p>
        </w:tc>
      </w:tr>
    </w:tbl>
    <w:p>
      <w:pPr>
        <w:pStyle w:val="Heading1"/>
        <w:spacing w:after="110" w:before="300"/>
      </w:pPr>
      <w:r>
        <w:rPr>
          <w:color w:val="0F3A5F"/>
        </w:rPr>
        <w:t xml:space="preserve">9. KPI definitions &amp; formulas</w:t>
      </w:r>
    </w:p>
    <w:p>
      <w:pPr>
        <w:spacing w:after="90"/>
      </w:pPr>
      <w:r>
        <w:rPr>
          <w:b w:val="false"/>
          <w:bCs w:val="false"/>
          <w:sz w:val="19"/>
          <w:szCs w:val="19"/>
        </w:rPr>
        <w:t xml:space="preserve">Every indicator on the four pages, with its exact formula and source. "Register" = SCE member/membership extracts; "Labour dataset" = the regulated-workforce dataset scoped by the professions lookup v2; "TUV" = the field-verification survey; "Storytelling workbook" = the client-supplied KPI workbook.</w:t>
      </w:r>
    </w:p>
    <w:tbl>
      <w:tblPr>
        <w:tblW w:type="dxa" w:w="9360"/>
        <w:tblBorders>
          <w:top w:val="single" w:color="D7E0EA" w:sz="4"/>
          <w:left w:val="single" w:color="D7E0EA" w:sz="4"/>
          <w:bottom w:val="single" w:color="D7E0EA" w:sz="4"/>
          <w:right w:val="single" w:color="D7E0EA" w:sz="4"/>
          <w:insideH w:val="single" w:color="D7E0EA" w:sz="4"/>
          <w:insideV w:val="single" w:color="D7E0EA" w:sz="4"/>
        </w:tblBorders>
      </w:tblPr>
      <w:tblGrid>
        <w:gridCol w:w="2850"/>
        <w:gridCol w:w="4550"/>
        <w:gridCol w:w="1960"/>
      </w:tblGrid>
      <w:tr>
        <w:trPr>
          <w:tblHeader/>
        </w:trPr>
        <w:tc>
          <w:tcPr>
            <w:tcW w:type="dxa" w:w="28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KPI</w:t>
            </w:r>
          </w:p>
        </w:tc>
        <w:tc>
          <w:tcPr>
            <w:tcW w:type="dxa" w:w="455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Formula / definition</w:t>
            </w:r>
          </w:p>
        </w:tc>
        <w:tc>
          <w:tcPr>
            <w:tcW w:type="dxa" w:w="1960"/>
            <w:shd w:fill="EEF3F8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Engineering ecosystem size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Count of distinct persons in the labour dataset whose profession code is in the regulated professions lookup (v2)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722,690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Registered with SCE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Count of membership records across all classes = Engineers 596,606 + Technicians 430,118 + Specialists 89,462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1,116,186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Active memberships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Memberships with current status = active (in good standing today)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485,948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Register mix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485,948 · Renewal window (expiring ≤90 days) 64,784 · Historic/lapsed = expired 551,850 + frozen 13,604 = 565,454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Registration reach %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SCE-registered ÷ in-scope workforce, per city on the map; national aggregate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54.7%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Saudi engineering talent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Count of Saudi nationals in the in-scope workforce; share = 257,404 ÷ 722,690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257,404 · 35.6%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Offices &amp; firms network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Licensed offices 9,103 + structured-feed firms 12,302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21,405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Top specialties (per class)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Top 5 specialties by member count within each class (engineers / technicians / specialists)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Career-grade pipeline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Member count per grade from the grade rollups (Engineer / Professional / Associate / Consultant)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Global talent base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Top 5 nationalities by member count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Licences tracked proactively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 reported in the storytelling workbook (digital monitoring flags ahead of renewal)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402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Renewal engagement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Professionals engaged per renewal cycle, storytelling workbook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≈265k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Renewal outreach pipeline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Memberships with expiry date within N days of today (cumulative windows): ≤30 = 52,602, ≤60 = 88,323, ≤90 = 124,108; "by track" = same split per class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Enforcement actions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Count of Efaa violation cases, all years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2,445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Value enforced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Sum of fine amounts on Efaa cases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11.4M SAR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Value collected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Sum of fines with status = paid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5.32M SAR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In collection / under review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Outstanding (unpaid) 5.857M · under review 223.4k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Enforcement by region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Efaa cases grouped by region (count and SAR)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36-month trend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Efaa cases per month, last 36 months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Offices field-surveyed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Count of offices visited by the field-verification programme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6,371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Active offices verified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Surveyed offices found active/operating at the door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3,141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SCE licensing coverage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verified offices holding an SCE licence ÷ active verified offices (3,141)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93.1%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Dual-licensed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Active verified offices holding BOTH SCE and municipal licences ÷ active verified offices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76.9%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Verified on site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Sum of professionals counted at active offices; average = total ÷ active offices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35,543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Licence records updated in field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SCE licence numbers captured/updated at the door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5,773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Offices geo-located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Offices with captured coordinates passing bounds validation (raw 4,857, validated 4,854)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4,854</w:t>
            </w:r>
          </w:p>
        </w:tc>
      </w:tr>
      <w:tr>
        <w:tc>
          <w:tcPr>
            <w:tcW w:type="dxa" w:w="28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Contact channels captured</w:t>
            </w:r>
          </w:p>
        </w:tc>
        <w:tc>
          <w:tcPr>
            <w:tcW w:type="dxa" w:w="455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Offices with at least one contact channel recorded</w:t>
            </w:r>
          </w:p>
        </w:tc>
        <w:tc>
          <w:tcPr>
            <w:tcW w:type="dxa" w:w="1960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6,139</w:t>
            </w:r>
          </w:p>
        </w:tc>
      </w:tr>
    </w:tbl>
    <w:p>
      <w:pPr>
        <w:spacing w:after="90"/>
      </w:pPr>
      <w:r>
        <w:rPr>
          <w:b w:val="false"/>
          <w:bCs w:val="false"/>
          <w:color w:val="5C7590"/>
          <w:sz w:val="17"/>
          <w:szCs w:val="17"/>
        </w:rPr>
        <w:t xml:space="preserve">For the broader organisation-wide KPI catalogue beyond these pages, see kpi_catalog.xlsx in the SCE_DCE_Model handover (definition, formula, source tables and drill path per KPI).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10" w:before="300"/>
    </w:pPr>
    <w:rPr>
      <w:b/>
      <w:bCs/>
      <w:color w:val="0F3A5F"/>
      <w:sz w:val="27"/>
      <w:szCs w:val="27"/>
    </w:rPr>
  </w:style>
  <w:style w:type="paragraph" w:styleId="Heading2">
    <w:name w:val="Heading 2"/>
    <w:basedOn w:val="Normal"/>
    <w:rPr>
      <w:b/>
      <w:bCs/>
      <w:color w:val="0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2026-08-24T10:08:42.146Z</dcterms:created>
  <dcterms:modified xsi:type="dcterms:W3CDTF">2026-08-24T10:08:42.157Z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