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line="240" w:lineRule="auto"/>
      </w:pPr>
      <w:r>
        <w:rPr>
          <w:rFonts w:ascii="Times New Roman" w:hAnsi="Times New Roman" w:cs="Times New Roman" w:eastAsia="Times New Roman"/>
          <w:b/>
          <w:i w:val="0"/>
          <w:smallCaps w:val="0"/>
          <w:sz w:val="52"/>
          <w:color w:val="7A1F2B"/>
        </w:rPr>
        <w:t>Retail Payments Test Strategy</w:t>
      </w:r>
    </w:p>
    <w:p>
      <w:pPr>
        <w:pStyle w:val="Subtitle"/>
      </w:pPr>
      <w:r>
        <w:rPr>
          <w:rFonts w:ascii="Times New Roman" w:hAnsi="Times New Roman" w:cs="Times New Roman" w:eastAsia="Times New Roman"/>
          <w:b w:val="0"/>
          <w:i/>
          <w:smallCaps w:val="0"/>
          <w:sz w:val="26"/>
          <w:color w:val="1F4E79"/>
        </w:rPr>
        <w:t>Quality Kiosk Engineering Practice</w:t>
      </w:r>
    </w:p>
    <w:p>
      <w:pPr>
        <w:spacing w:before="40" w:after="200" w:line="276" w:lineRule="auto"/>
      </w:pPr>
      <w:r>
        <w:rPr>
          <w:rFonts w:ascii="Arial" w:hAnsi="Arial" w:cs="Arial" w:eastAsia="Arial"/>
          <w:b w:val="0"/>
          <w:i w:val="0"/>
          <w:smallCaps w:val="0"/>
          <w:sz w:val="18"/>
          <w:color w:val="555555"/>
        </w:rPr>
        <w:t>QK/ENG/TS/2019/014    ·    Version 3.2    ·    12 March 2019    ·    Owner: Test Manager</w:t>
      </w:r>
    </w:p>
    <w:p>
      <w:r>
        <w:rPr>
          <w:rFonts w:ascii="Times New Roman" w:hAnsi="Times New Roman" w:cs="Times New Roman" w:eastAsia="Times New Roman"/>
          <w:b w:val="0"/>
          <w:i w:val="0"/>
          <w:smallCaps w:val="0"/>
          <w:sz w:val="24"/>
          <w:color w:val="222222"/>
        </w:rPr>
        <w:t>This strategy covers the retail payments release for the gateway, the mobile checkout, and the settlement file. It was written for the 2019 programme and is still the document teams open when they join the work. The pages below keep that original voice, type, and header.</w:t>
      </w:r>
    </w:p>
    <w:p>
      <w:pPr>
        <w:pStyle w:val="Heading1"/>
      </w:pPr>
      <w:r>
        <w:rPr>
          <w:rFonts w:ascii="Arial" w:hAnsi="Arial" w:cs="Arial" w:eastAsia="Arial"/>
          <w:b/>
          <w:i w:val="0"/>
          <w:smallCaps w:val="0"/>
          <w:sz w:val="32"/>
          <w:color w:val="1F4E79"/>
        </w:rPr>
        <w:t>Contents</w:t>
      </w:r>
    </w:p>
    <w:p>
      <w:pPr>
        <w:pStyle w:val="TOC1"/>
      </w:pPr>
      <w:r>
        <w:rPr>
          <w:rFonts w:ascii="Times New Roman" w:hAnsi="Times New Roman" w:cs="Times New Roman" w:eastAsia="Times New Roman"/>
          <w:b/>
          <w:i w:val="0"/>
          <w:smallCaps w:val="0"/>
          <w:sz w:val="24"/>
          <w:color w:val="7A1F2B"/>
        </w:rPr>
        <w:t>1.  Background</w:t>
      </w:r>
      <w:r>
        <w:rPr>
          <w:rFonts w:ascii="Times New Roman" w:hAnsi="Times New Roman" w:cs="Times New Roman" w:eastAsia="Times New Roman"/>
          <w:b w:val="0"/>
          <w:i w:val="0"/>
          <w:smallCaps w:val="0"/>
          <w:sz w:val="24"/>
          <w:color w:val="7A1F2B"/>
        </w:rPr>
        <w:tab/>
      </w:r>
      <w:r>
        <w:rPr>
          <w:rFonts w:ascii="Times New Roman" w:hAnsi="Times New Roman" w:cs="Times New Roman" w:eastAsia="Times New Roman"/>
          <w:b/>
          <w:i w:val="0"/>
          <w:smallCaps w:val="0"/>
          <w:sz w:val="24"/>
          <w:color w:val="7A1F2B"/>
        </w:rPr>
        <w:t>1</w:t>
      </w:r>
    </w:p>
    <w:p>
      <w:pPr>
        <w:pStyle w:val="TOC1"/>
      </w:pPr>
      <w:r>
        <w:rPr>
          <w:rFonts w:ascii="Times New Roman" w:hAnsi="Times New Roman" w:cs="Times New Roman" w:eastAsia="Times New Roman"/>
          <w:b/>
          <w:i w:val="0"/>
          <w:smallCaps w:val="0"/>
          <w:sz w:val="24"/>
          <w:color w:val="7A1F2B"/>
        </w:rPr>
        <w:t>2.  Scope</w:t>
      </w:r>
      <w:r>
        <w:rPr>
          <w:rFonts w:ascii="Times New Roman" w:hAnsi="Times New Roman" w:cs="Times New Roman" w:eastAsia="Times New Roman"/>
          <w:b w:val="0"/>
          <w:i w:val="0"/>
          <w:smallCaps w:val="0"/>
          <w:sz w:val="24"/>
          <w:color w:val="7A1F2B"/>
        </w:rPr>
        <w:tab/>
      </w:r>
      <w:r>
        <w:rPr>
          <w:rFonts w:ascii="Times New Roman" w:hAnsi="Times New Roman" w:cs="Times New Roman" w:eastAsia="Times New Roman"/>
          <w:b/>
          <w:i w:val="0"/>
          <w:smallCaps w:val="0"/>
          <w:sz w:val="24"/>
          <w:color w:val="7A1F2B"/>
        </w:rPr>
        <w:t>1</w:t>
      </w:r>
    </w:p>
    <w:p>
      <w:pPr>
        <w:pStyle w:val="TOC1"/>
      </w:pPr>
      <w:r>
        <w:rPr>
          <w:rFonts w:ascii="Times New Roman" w:hAnsi="Times New Roman" w:cs="Times New Roman" w:eastAsia="Times New Roman"/>
          <w:b/>
          <w:i w:val="0"/>
          <w:smallCaps w:val="0"/>
          <w:sz w:val="24"/>
          <w:color w:val="7A1F2B"/>
        </w:rPr>
        <w:t>3.  Approach</w:t>
      </w:r>
      <w:r>
        <w:rPr>
          <w:rFonts w:ascii="Times New Roman" w:hAnsi="Times New Roman" w:cs="Times New Roman" w:eastAsia="Times New Roman"/>
          <w:b w:val="0"/>
          <w:i w:val="0"/>
          <w:smallCaps w:val="0"/>
          <w:sz w:val="24"/>
          <w:color w:val="7A1F2B"/>
        </w:rPr>
        <w:tab/>
      </w:r>
      <w:r>
        <w:rPr>
          <w:rFonts w:ascii="Times New Roman" w:hAnsi="Times New Roman" w:cs="Times New Roman" w:eastAsia="Times New Roman"/>
          <w:b/>
          <w:i w:val="0"/>
          <w:smallCaps w:val="0"/>
          <w:sz w:val="24"/>
          <w:color w:val="7A1F2B"/>
        </w:rPr>
        <w:t>2</w:t>
      </w:r>
    </w:p>
    <w:p>
      <w:pPr>
        <w:pStyle w:val="TOC2"/>
      </w:pPr>
      <w:r>
        <w:rPr>
          <w:rFonts w:ascii="Times New Roman" w:hAnsi="Times New Roman" w:cs="Times New Roman" w:eastAsia="Times New Roman"/>
          <w:b w:val="0"/>
          <w:i w:val="0"/>
          <w:smallCaps w:val="0"/>
          <w:sz w:val="22"/>
          <w:color w:val="1F4E79"/>
        </w:rPr>
        <w:t>3.1  Entry criteria</w:t>
      </w:r>
      <w:r>
        <w:rPr>
          <w:rFonts w:ascii="Times New Roman" w:hAnsi="Times New Roman" w:cs="Times New Roman" w:eastAsia="Times New Roman"/>
          <w:b w:val="0"/>
          <w:i w:val="0"/>
          <w:smallCaps w:val="0"/>
          <w:sz w:val="22"/>
          <w:color w:val="1F4E79"/>
        </w:rPr>
        <w:tab/>
      </w:r>
      <w:r>
        <w:rPr>
          <w:rFonts w:ascii="Times New Roman" w:hAnsi="Times New Roman" w:cs="Times New Roman" w:eastAsia="Times New Roman"/>
          <w:b w:val="0"/>
          <w:i w:val="0"/>
          <w:smallCaps w:val="0"/>
          <w:sz w:val="22"/>
          <w:color w:val="1F4E79"/>
        </w:rPr>
        <w:t>2</w:t>
      </w:r>
    </w:p>
    <w:p>
      <w:pPr>
        <w:pStyle w:val="TOC2"/>
      </w:pPr>
      <w:r>
        <w:rPr>
          <w:rFonts w:ascii="Times New Roman" w:hAnsi="Times New Roman" w:cs="Times New Roman" w:eastAsia="Times New Roman"/>
          <w:b w:val="0"/>
          <w:i w:val="0"/>
          <w:smallCaps w:val="0"/>
          <w:sz w:val="22"/>
          <w:color w:val="1F4E79"/>
        </w:rPr>
        <w:t>3.2  Execution</w:t>
      </w:r>
      <w:r>
        <w:rPr>
          <w:rFonts w:ascii="Times New Roman" w:hAnsi="Times New Roman" w:cs="Times New Roman" w:eastAsia="Times New Roman"/>
          <w:b w:val="0"/>
          <w:i w:val="0"/>
          <w:smallCaps w:val="0"/>
          <w:sz w:val="22"/>
          <w:color w:val="1F4E79"/>
        </w:rPr>
        <w:tab/>
      </w:r>
      <w:r>
        <w:rPr>
          <w:rFonts w:ascii="Times New Roman" w:hAnsi="Times New Roman" w:cs="Times New Roman" w:eastAsia="Times New Roman"/>
          <w:b w:val="0"/>
          <w:i w:val="0"/>
          <w:smallCaps w:val="0"/>
          <w:sz w:val="22"/>
          <w:color w:val="1F4E79"/>
        </w:rPr>
        <w:t>2</w:t>
      </w:r>
    </w:p>
    <w:p>
      <w:pPr>
        <w:pStyle w:val="TOC1"/>
      </w:pPr>
      <w:r>
        <w:rPr>
          <w:rFonts w:ascii="Times New Roman" w:hAnsi="Times New Roman" w:cs="Times New Roman" w:eastAsia="Times New Roman"/>
          <w:b/>
          <w:i w:val="0"/>
          <w:smallCaps w:val="0"/>
          <w:sz w:val="24"/>
          <w:color w:val="7A1F2B"/>
        </w:rPr>
        <w:t>4.  Environments</w:t>
      </w:r>
      <w:r>
        <w:rPr>
          <w:rFonts w:ascii="Times New Roman" w:hAnsi="Times New Roman" w:cs="Times New Roman" w:eastAsia="Times New Roman"/>
          <w:b w:val="0"/>
          <w:i w:val="0"/>
          <w:smallCaps w:val="0"/>
          <w:sz w:val="24"/>
          <w:color w:val="7A1F2B"/>
        </w:rPr>
        <w:tab/>
      </w:r>
      <w:r>
        <w:rPr>
          <w:rFonts w:ascii="Times New Roman" w:hAnsi="Times New Roman" w:cs="Times New Roman" w:eastAsia="Times New Roman"/>
          <w:b/>
          <w:i w:val="0"/>
          <w:smallCaps w:val="0"/>
          <w:sz w:val="24"/>
          <w:color w:val="7A1F2B"/>
        </w:rPr>
        <w:t>2</w:t>
      </w:r>
    </w:p>
    <w:p>
      <w:pPr>
        <w:pStyle w:val="TOC1"/>
      </w:pPr>
      <w:r>
        <w:rPr>
          <w:rFonts w:ascii="Times New Roman" w:hAnsi="Times New Roman" w:cs="Times New Roman" w:eastAsia="Times New Roman"/>
          <w:b/>
          <w:i w:val="0"/>
          <w:smallCaps w:val="0"/>
          <w:sz w:val="24"/>
          <w:color w:val="7A1F2B"/>
        </w:rPr>
        <w:t>5.  Delivery flow</w:t>
      </w:r>
      <w:r>
        <w:rPr>
          <w:rFonts w:ascii="Times New Roman" w:hAnsi="Times New Roman" w:cs="Times New Roman" w:eastAsia="Times New Roman"/>
          <w:b w:val="0"/>
          <w:i w:val="0"/>
          <w:smallCaps w:val="0"/>
          <w:sz w:val="24"/>
          <w:color w:val="7A1F2B"/>
        </w:rPr>
        <w:tab/>
      </w:r>
      <w:r>
        <w:rPr>
          <w:rFonts w:ascii="Times New Roman" w:hAnsi="Times New Roman" w:cs="Times New Roman" w:eastAsia="Times New Roman"/>
          <w:b/>
          <w:i w:val="0"/>
          <w:smallCaps w:val="0"/>
          <w:sz w:val="24"/>
          <w:color w:val="7A1F2B"/>
        </w:rPr>
        <w:t>2</w:t>
      </w:r>
    </w:p>
    <w:p>
      <w:pPr>
        <w:pStyle w:val="TOC1"/>
      </w:pPr>
      <w:r>
        <w:rPr>
          <w:rFonts w:ascii="Times New Roman" w:hAnsi="Times New Roman" w:cs="Times New Roman" w:eastAsia="Times New Roman"/>
          <w:b/>
          <w:i w:val="0"/>
          <w:smallCaps w:val="0"/>
          <w:sz w:val="24"/>
          <w:color w:val="7A1F2B"/>
        </w:rPr>
        <w:t>6.  Exit criteria</w:t>
      </w:r>
      <w:r>
        <w:rPr>
          <w:rFonts w:ascii="Times New Roman" w:hAnsi="Times New Roman" w:cs="Times New Roman" w:eastAsia="Times New Roman"/>
          <w:b w:val="0"/>
          <w:i w:val="0"/>
          <w:smallCaps w:val="0"/>
          <w:sz w:val="24"/>
          <w:color w:val="7A1F2B"/>
        </w:rPr>
        <w:tab/>
      </w:r>
      <w:r>
        <w:rPr>
          <w:rFonts w:ascii="Times New Roman" w:hAnsi="Times New Roman" w:cs="Times New Roman" w:eastAsia="Times New Roman"/>
          <w:b/>
          <w:i w:val="0"/>
          <w:smallCaps w:val="0"/>
          <w:sz w:val="24"/>
          <w:color w:val="7A1F2B"/>
        </w:rPr>
        <w:t>2</w:t>
      </w:r>
    </w:p>
    <w:p>
      <w:pPr>
        <w:pStyle w:val="Heading1"/>
      </w:pPr>
      <w:r>
        <w:rPr>
          <w:rFonts w:ascii="Arial" w:hAnsi="Arial" w:cs="Arial" w:eastAsia="Arial"/>
          <w:b/>
          <w:i w:val="0"/>
          <w:smallCaps w:val="0"/>
          <w:sz w:val="32"/>
          <w:color w:val="1F4E79"/>
        </w:rPr>
        <w:t>1.  Background</w:t>
      </w:r>
    </w:p>
    <w:p>
      <w:r>
        <w:rPr>
          <w:rFonts w:ascii="Times New Roman" w:hAnsi="Times New Roman" w:cs="Times New Roman" w:eastAsia="Times New Roman"/>
          <w:b w:val="0"/>
          <w:i w:val="0"/>
          <w:smallCaps w:val="0"/>
          <w:sz w:val="24"/>
          <w:color w:val="222222"/>
        </w:rPr>
        <w:t>The retailer is moving checkout off a batch window and onto an always-on gateway. Failures now show up as abandoned baskets rather than as a file that can be rerun overnight. The test effort has to prove the payment journey, the timeout behaviour, and the settlement totals together.</w:t>
      </w:r>
    </w:p>
    <w:p>
      <w:r>
        <w:rPr>
          <w:rFonts w:ascii="Times New Roman" w:hAnsi="Times New Roman" w:cs="Times New Roman" w:eastAsia="Times New Roman"/>
          <w:b w:val="0"/>
          <w:i w:val="0"/>
          <w:smallCaps w:val="0"/>
          <w:sz w:val="24"/>
          <w:color w:val="222222"/>
        </w:rPr>
        <w:t>Earlier cycles treated the gateway, the app, and finance as three projects. This strategy treats them as one path: a shopper pays, the issuer responds, and finance can still reconcile the day.</w:t>
      </w:r>
    </w:p>
    <w:p>
      <w:pPr>
        <w:pStyle w:val="Heading1"/>
      </w:pPr>
      <w:r>
        <w:rPr>
          <w:rFonts w:ascii="Arial" w:hAnsi="Arial" w:cs="Arial" w:eastAsia="Arial"/>
          <w:b/>
          <w:i w:val="0"/>
          <w:smallCaps w:val="0"/>
          <w:sz w:val="32"/>
          <w:color w:val="1F4E79"/>
        </w:rPr>
        <w:t>2.  Scope</w:t>
      </w:r>
    </w:p>
    <w:p>
      <w:pPr>
        <w:pStyle w:val="Heading2"/>
      </w:pPr>
      <w:r>
        <w:rPr>
          <w:rFonts w:ascii="Arial" w:hAnsi="Arial" w:cs="Arial" w:eastAsia="Arial"/>
          <w:b/>
          <w:i w:val="0"/>
          <w:smallCaps w:val="0"/>
          <w:sz w:val="26"/>
          <w:color w:val="7A1F2B"/>
        </w:rPr>
        <w:t>In scope</w:t>
      </w:r>
    </w:p>
    <w:p>
      <w:pPr>
        <w:pStyle w:val="ListBullet"/>
      </w:pPr>
      <w:r>
        <w:rPr>
          <w:rFonts w:ascii="Times New Roman" w:hAnsi="Times New Roman" w:cs="Times New Roman" w:eastAsia="Times New Roman"/>
          <w:b w:val="0"/>
          <w:i w:val="0"/>
          <w:smallCaps w:val="0"/>
          <w:sz w:val="24"/>
          <w:color w:val="222222"/>
        </w:rPr>
        <w:t>Card, wallet, and net-banking journeys on the mobile checkout.</w:t>
      </w:r>
    </w:p>
    <w:p>
      <w:pPr>
        <w:pStyle w:val="ListBullet"/>
      </w:pPr>
      <w:r>
        <w:rPr>
          <w:rFonts w:ascii="Times New Roman" w:hAnsi="Times New Roman" w:cs="Times New Roman" w:eastAsia="Times New Roman"/>
          <w:b w:val="0"/>
          <w:i w:val="0"/>
          <w:smallCaps w:val="0"/>
          <w:sz w:val="24"/>
          <w:color w:val="222222"/>
        </w:rPr>
        <w:t>Timeouts, duplicate submits, and issuer declines.</w:t>
      </w:r>
    </w:p>
    <w:p>
      <w:pPr>
        <w:pStyle w:val="ListBullet"/>
      </w:pPr>
      <w:r>
        <w:rPr>
          <w:rFonts w:ascii="Times New Roman" w:hAnsi="Times New Roman" w:cs="Times New Roman" w:eastAsia="Times New Roman"/>
          <w:b w:val="0"/>
          <w:i w:val="0"/>
          <w:smallCaps w:val="0"/>
          <w:sz w:val="24"/>
          <w:color w:val="222222"/>
        </w:rPr>
        <w:t>The nightly settlement file and the finance reconciliation report.</w:t>
      </w:r>
    </w:p>
    <w:p>
      <w:pPr>
        <w:pStyle w:val="ListBullet"/>
      </w:pPr>
      <w:r>
        <w:rPr>
          <w:rFonts w:ascii="Times New Roman" w:hAnsi="Times New Roman" w:cs="Times New Roman" w:eastAsia="Times New Roman"/>
          <w:b w:val="0"/>
          <w:i w:val="0"/>
          <w:smallCaps w:val="0"/>
          <w:sz w:val="24"/>
          <w:color w:val="222222"/>
        </w:rPr>
        <w:t>Peak-hour load at the volumes agreed with the retailer.</w:t>
      </w:r>
    </w:p>
    <w:p>
      <w:pPr>
        <w:pStyle w:val="Heading2"/>
      </w:pPr>
      <w:r>
        <w:rPr>
          <w:rFonts w:ascii="Arial" w:hAnsi="Arial" w:cs="Arial" w:eastAsia="Arial"/>
          <w:b/>
          <w:i w:val="0"/>
          <w:smallCaps w:val="0"/>
          <w:sz w:val="26"/>
          <w:color w:val="7A1F2B"/>
        </w:rPr>
        <w:t>Out of scope</w:t>
      </w:r>
    </w:p>
    <w:p>
      <w:pPr>
        <w:pStyle w:val="ListBullet"/>
      </w:pPr>
      <w:r>
        <w:rPr>
          <w:rFonts w:ascii="Times New Roman" w:hAnsi="Times New Roman" w:cs="Times New Roman" w:eastAsia="Times New Roman"/>
          <w:b w:val="0"/>
          <w:i w:val="0"/>
          <w:smallCaps w:val="0"/>
          <w:sz w:val="24"/>
          <w:color w:val="222222"/>
        </w:rPr>
        <w:t>Store POS hardware.</w:t>
      </w:r>
    </w:p>
    <w:p>
      <w:pPr>
        <w:pStyle w:val="ListBullet"/>
      </w:pPr>
      <w:r>
        <w:rPr>
          <w:rFonts w:ascii="Times New Roman" w:hAnsi="Times New Roman" w:cs="Times New Roman" w:eastAsia="Times New Roman"/>
          <w:b w:val="0"/>
          <w:i w:val="0"/>
          <w:smallCaps w:val="0"/>
          <w:sz w:val="24"/>
          <w:color w:val="222222"/>
        </w:rPr>
        <w:t>Chargeback operations after the money has settled.</w:t>
      </w:r>
    </w:p>
    <w:p>
      <w:pPr>
        <w:pStyle w:val="ListBullet"/>
      </w:pPr>
      <w:r>
        <w:rPr>
          <w:rFonts w:ascii="Times New Roman" w:hAnsi="Times New Roman" w:cs="Times New Roman" w:eastAsia="Times New Roman"/>
          <w:b w:val="0"/>
          <w:i w:val="0"/>
          <w:smallCaps w:val="0"/>
          <w:sz w:val="24"/>
          <w:color w:val="222222"/>
        </w:rPr>
        <w:t>The loyalty ledger, except where a payment total depends on it.</w:t>
      </w:r>
    </w:p>
    <w:p>
      <w:pPr>
        <w:pStyle w:val="Heading1"/>
      </w:pPr>
      <w:r>
        <w:rPr>
          <w:rFonts w:ascii="Arial" w:hAnsi="Arial" w:cs="Arial" w:eastAsia="Arial"/>
          <w:b/>
          <w:i w:val="0"/>
          <w:smallCaps w:val="0"/>
          <w:sz w:val="32"/>
          <w:color w:val="1F4E79"/>
        </w:rPr>
        <w:t>3.  Approach</w:t>
      </w:r>
    </w:p>
    <w:p>
      <w:pPr>
        <w:pStyle w:val="Heading2"/>
      </w:pPr>
      <w:r>
        <w:rPr>
          <w:rFonts w:ascii="Arial" w:hAnsi="Arial" w:cs="Arial" w:eastAsia="Arial"/>
          <w:b/>
          <w:i w:val="0"/>
          <w:smallCaps w:val="0"/>
          <w:sz w:val="26"/>
          <w:color w:val="7A1F2B"/>
        </w:rPr>
        <w:t>3.1  Entry criteria</w:t>
      </w:r>
    </w:p>
    <w:p>
      <w:pPr>
        <w:pStyle w:val="ListNumber"/>
      </w:pPr>
      <w:r>
        <w:rPr>
          <w:rFonts w:ascii="Times New Roman" w:hAnsi="Times New Roman" w:cs="Times New Roman" w:eastAsia="Times New Roman"/>
          <w:b w:val="0"/>
          <w:i w:val="0"/>
          <w:smallCaps w:val="0"/>
          <w:sz w:val="24"/>
          <w:color w:val="222222"/>
        </w:rPr>
        <w:t>The build is deployed to the integration environment with the release notes attached.</w:t>
      </w:r>
    </w:p>
    <w:p>
      <w:pPr>
        <w:pStyle w:val="ListNumber"/>
      </w:pPr>
      <w:r>
        <w:rPr>
          <w:rFonts w:ascii="Times New Roman" w:hAnsi="Times New Roman" w:cs="Times New Roman" w:eastAsia="Times New Roman"/>
          <w:b w:val="0"/>
          <w:i w:val="0"/>
          <w:smallCaps w:val="0"/>
          <w:sz w:val="24"/>
          <w:color w:val="222222"/>
        </w:rPr>
        <w:t>Test accounts and issuer stubs are funded for the cycle.</w:t>
      </w:r>
    </w:p>
    <w:p>
      <w:pPr>
        <w:pStyle w:val="ListNumber"/>
      </w:pPr>
      <w:r>
        <w:rPr>
          <w:rFonts w:ascii="Times New Roman" w:hAnsi="Times New Roman" w:cs="Times New Roman" w:eastAsia="Times New Roman"/>
          <w:b w:val="0"/>
          <w:i w:val="0"/>
          <w:smallCaps w:val="0"/>
          <w:sz w:val="24"/>
          <w:color w:val="222222"/>
        </w:rPr>
        <w:t>Open severity-1 defects from the previous cycle are listed, even if they are accepted.</w:t>
      </w:r>
    </w:p>
    <w:p>
      <w:pPr>
        <w:pStyle w:val="Heading2"/>
      </w:pPr>
      <w:r>
        <w:rPr>
          <w:rFonts w:ascii="Arial" w:hAnsi="Arial" w:cs="Arial" w:eastAsia="Arial"/>
          <w:b/>
          <w:i w:val="0"/>
          <w:smallCaps w:val="0"/>
          <w:sz w:val="26"/>
          <w:color w:val="7A1F2B"/>
        </w:rPr>
        <w:t>3.2  Execution</w:t>
      </w:r>
    </w:p>
    <w:p>
      <w:r>
        <w:rPr>
          <w:rFonts w:ascii="Times New Roman" w:hAnsi="Times New Roman" w:cs="Times New Roman" w:eastAsia="Times New Roman"/>
          <w:b w:val="0"/>
          <w:i w:val="0"/>
          <w:smallCaps w:val="0"/>
          <w:sz w:val="24"/>
          <w:color w:val="222222"/>
        </w:rPr>
        <w:t>Functional cases run first on a quiet environment. Load starts only after the payment path is stable enough that a failure can be told apart from a capacity problem. Settlement is checked the morning after each load run, not at the end of the whole cycle.</w:t>
      </w:r>
    </w:p>
    <w:p>
      <w:pPr>
        <w:pStyle w:val="Heading1"/>
      </w:pPr>
      <w:r>
        <w:rPr>
          <w:rFonts w:ascii="Arial" w:hAnsi="Arial" w:cs="Arial" w:eastAsia="Arial"/>
          <w:b/>
          <w:i w:val="0"/>
          <w:smallCaps w:val="0"/>
          <w:sz w:val="32"/>
          <w:color w:val="1F4E79"/>
        </w:rPr>
        <w:t>4.  Environments</w:t>
      </w:r>
    </w:p>
    <w:tbl>
      <w:tblPr>
        <w:jc w:val="center"/>
        <w:tblLook w:firstColumn="1" w:firstRow="1" w:lastColumn="0" w:lastRow="0" w:noHBand="0" w:noVBand="1" w:val="04A0"/>
        <w:tblW w:w="9184" w:type="dxa"/>
        <w:tblLayout w:type="fixed"/>
        <w:tblInd w:w="0" w:type="dxa"/>
        <w:tblCellMar>
          <w:top w:w="0" w:type="dxa"/>
          <w:left w:w="0" w:type="dxa"/>
          <w:bottom w:w="0" w:type="dxa"/>
          <w:right w:w="0" w:type="dxa"/>
        </w:tblCellMar>
        <w:tblBorders>
          <w:top w:val="single" w:sz="4" w:space="0" w:color="E6E8EC"/>
          <w:left w:val="nil"/>
          <w:bottom w:val="single" w:sz="4" w:space="0" w:color="E6E8EC"/>
          <w:right w:val="nil"/>
          <w:insideH w:val="single" w:sz="4" w:space="0" w:color="E6E8EC"/>
          <w:insideV w:val="nil"/>
        </w:tblBorders>
      </w:tblPr>
      <w:tblGrid>
        <w:gridCol w:w="1766"/>
        <w:gridCol w:w="2649"/>
        <w:gridCol w:w="2649"/>
        <w:gridCol w:w="2120"/>
      </w:tblGrid>
      <w:tr>
        <w:trPr>
          <w:cantSplit/>
        </w:trPr>
        <w:tc>
          <w:tcPr>
            <w:tcW w:w="1766" w:type="dxa"/>
            <w:shd w:val="clear" w:color="auto" w:fill="1B5E20"/>
            <w:tcMar>
              <w:top w:w="50" w:type="dxa"/>
              <w:left w:w="80" w:type="dxa"/>
              <w:bottom w:w="50" w:type="dxa"/>
              <w:right w:w="80" w:type="dxa"/>
            </w:tcMar>
            <w:vAlign w:val="center"/>
          </w:tcPr>
          <w:p>
            <w:pPr>
              <w:spacing w:before="0" w:after="0" w:line="240" w:lineRule="auto"/>
            </w:pPr>
            <w:r>
              <w:rPr>
                <w:rFonts w:ascii="Times New Roman" w:hAnsi="Times New Roman" w:cs="Times New Roman" w:eastAsia="Times New Roman"/>
                <w:b/>
                <w:i w:val="0"/>
                <w:smallCaps w:val="0"/>
                <w:sz w:val="18"/>
                <w:color w:val="FFFFFF"/>
              </w:rPr>
              <w:t>Environment</w:t>
            </w:r>
          </w:p>
        </w:tc>
        <w:tc>
          <w:tcPr>
            <w:tcW w:w="2649" w:type="dxa"/>
            <w:shd w:val="clear" w:color="auto" w:fill="1B5E20"/>
            <w:tcMar>
              <w:top w:w="50" w:type="dxa"/>
              <w:left w:w="80" w:type="dxa"/>
              <w:bottom w:w="50" w:type="dxa"/>
              <w:right w:w="80" w:type="dxa"/>
            </w:tcMar>
            <w:vAlign w:val="center"/>
          </w:tcPr>
          <w:p>
            <w:pPr>
              <w:spacing w:before="0" w:after="0" w:line="240" w:lineRule="auto"/>
            </w:pPr>
            <w:r>
              <w:rPr>
                <w:rFonts w:ascii="Times New Roman" w:hAnsi="Times New Roman" w:cs="Times New Roman" w:eastAsia="Times New Roman"/>
                <w:b/>
                <w:i w:val="0"/>
                <w:smallCaps w:val="0"/>
                <w:sz w:val="18"/>
                <w:color w:val="FFFFFF"/>
              </w:rPr>
              <w:t>Use</w:t>
            </w:r>
          </w:p>
        </w:tc>
        <w:tc>
          <w:tcPr>
            <w:tcW w:w="2649" w:type="dxa"/>
            <w:shd w:val="clear" w:color="auto" w:fill="1B5E20"/>
            <w:tcMar>
              <w:top w:w="50" w:type="dxa"/>
              <w:left w:w="80" w:type="dxa"/>
              <w:bottom w:w="50" w:type="dxa"/>
              <w:right w:w="80" w:type="dxa"/>
            </w:tcMar>
            <w:vAlign w:val="center"/>
          </w:tcPr>
          <w:p>
            <w:pPr>
              <w:spacing w:before="0" w:after="0" w:line="240" w:lineRule="auto"/>
            </w:pPr>
            <w:r>
              <w:rPr>
                <w:rFonts w:ascii="Times New Roman" w:hAnsi="Times New Roman" w:cs="Times New Roman" w:eastAsia="Times New Roman"/>
                <w:b/>
                <w:i w:val="0"/>
                <w:smallCaps w:val="0"/>
                <w:sz w:val="18"/>
                <w:color w:val="FFFFFF"/>
              </w:rPr>
              <w:t>Data</w:t>
            </w:r>
          </w:p>
        </w:tc>
        <w:tc>
          <w:tcPr>
            <w:tcW w:w="2120" w:type="dxa"/>
            <w:shd w:val="clear" w:color="auto" w:fill="1B5E20"/>
            <w:tcMar>
              <w:top w:w="50" w:type="dxa"/>
              <w:left w:w="80" w:type="dxa"/>
              <w:bottom w:w="50" w:type="dxa"/>
              <w:right w:w="80" w:type="dxa"/>
            </w:tcMar>
            <w:vAlign w:val="center"/>
          </w:tcPr>
          <w:p>
            <w:pPr>
              <w:spacing w:before="0" w:after="0" w:line="240" w:lineRule="auto"/>
            </w:pPr>
            <w:r>
              <w:rPr>
                <w:rFonts w:ascii="Times New Roman" w:hAnsi="Times New Roman" w:cs="Times New Roman" w:eastAsia="Times New Roman"/>
                <w:b/>
                <w:i w:val="0"/>
                <w:smallCaps w:val="0"/>
                <w:sz w:val="18"/>
                <w:color w:val="FFFFFF"/>
              </w:rPr>
              <w:t>Owner</w:t>
            </w:r>
          </w:p>
        </w:tc>
      </w:tr>
      <w:tr>
        <w:trPr>
          <w:cantSplit/>
        </w:trPr>
        <w:tc>
          <w:tcPr>
            <w:tcW w:w="1766" w:type="dxa"/>
            <w:tcMar>
              <w:top w:w="46" w:type="dxa"/>
              <w:left w:w="80" w:type="dxa"/>
              <w:bottom w:w="46" w:type="dxa"/>
              <w:right w:w="80" w:type="dxa"/>
            </w:tcMar>
          </w:tcPr>
          <w:p>
            <w:pPr>
              <w:spacing w:before="0" w:after="0" w:line="252" w:lineRule="auto"/>
            </w:pPr>
            <w:r>
              <w:rPr>
                <w:rFonts w:ascii="Times New Roman" w:hAnsi="Times New Roman" w:cs="Times New Roman" w:eastAsia="Times New Roman"/>
                <w:b w:val="0"/>
                <w:i w:val="0"/>
                <w:smallCaps w:val="0"/>
                <w:sz w:val="20"/>
                <w:color w:val="222222"/>
              </w:rPr>
              <w:t>INT</w:t>
            </w:r>
          </w:p>
        </w:tc>
        <w:tc>
          <w:tcPr>
            <w:tcW w:w="2649" w:type="dxa"/>
            <w:tcMar>
              <w:top w:w="46" w:type="dxa"/>
              <w:left w:w="80" w:type="dxa"/>
              <w:bottom w:w="46" w:type="dxa"/>
              <w:right w:w="80" w:type="dxa"/>
            </w:tcMar>
          </w:tcPr>
          <w:p>
            <w:pPr>
              <w:spacing w:before="0" w:after="0" w:line="252" w:lineRule="auto"/>
            </w:pPr>
            <w:r>
              <w:rPr>
                <w:rFonts w:ascii="Times New Roman" w:hAnsi="Times New Roman" w:cs="Times New Roman" w:eastAsia="Times New Roman"/>
                <w:b w:val="0"/>
                <w:i w:val="0"/>
                <w:smallCaps w:val="0"/>
                <w:sz w:val="20"/>
                <w:color w:val="222222"/>
              </w:rPr>
              <w:t>Daily functional runs</w:t>
            </w:r>
          </w:p>
        </w:tc>
        <w:tc>
          <w:tcPr>
            <w:tcW w:w="2649" w:type="dxa"/>
            <w:tcMar>
              <w:top w:w="46" w:type="dxa"/>
              <w:left w:w="80" w:type="dxa"/>
              <w:bottom w:w="46" w:type="dxa"/>
              <w:right w:w="80" w:type="dxa"/>
            </w:tcMar>
          </w:tcPr>
          <w:p>
            <w:pPr>
              <w:spacing w:before="0" w:after="0" w:line="252" w:lineRule="auto"/>
            </w:pPr>
            <w:r>
              <w:rPr>
                <w:rFonts w:ascii="Times New Roman" w:hAnsi="Times New Roman" w:cs="Times New Roman" w:eastAsia="Times New Roman"/>
                <w:b w:val="0"/>
                <w:i w:val="0"/>
                <w:smallCaps w:val="0"/>
                <w:sz w:val="20"/>
                <w:color w:val="222222"/>
              </w:rPr>
              <w:t>Masked cards</w:t>
            </w:r>
          </w:p>
        </w:tc>
        <w:tc>
          <w:tcPr>
            <w:tcW w:w="2120" w:type="dxa"/>
            <w:tcMar>
              <w:top w:w="46" w:type="dxa"/>
              <w:left w:w="80" w:type="dxa"/>
              <w:bottom w:w="46" w:type="dxa"/>
              <w:right w:w="80" w:type="dxa"/>
            </w:tcMar>
          </w:tcPr>
          <w:p>
            <w:pPr>
              <w:spacing w:before="0" w:after="0" w:line="252" w:lineRule="auto"/>
            </w:pPr>
            <w:r>
              <w:rPr>
                <w:rFonts w:ascii="Times New Roman" w:hAnsi="Times New Roman" w:cs="Times New Roman" w:eastAsia="Times New Roman"/>
                <w:b w:val="0"/>
                <w:i w:val="0"/>
                <w:smallCaps w:val="0"/>
                <w:sz w:val="20"/>
                <w:color w:val="222222"/>
              </w:rPr>
              <w:t>Checkout squad</w:t>
            </w:r>
          </w:p>
        </w:tc>
      </w:tr>
      <w:tr>
        <w:trPr>
          <w:cantSplit/>
        </w:trPr>
        <w:tc>
          <w:tcPr>
            <w:tcW w:w="1766" w:type="dxa"/>
            <w:shd w:val="clear" w:color="auto" w:fill="F4F7F2"/>
            <w:tcMar>
              <w:top w:w="46" w:type="dxa"/>
              <w:left w:w="80" w:type="dxa"/>
              <w:bottom w:w="46" w:type="dxa"/>
              <w:right w:w="80" w:type="dxa"/>
            </w:tcMar>
          </w:tcPr>
          <w:p>
            <w:pPr>
              <w:spacing w:before="0" w:after="0" w:line="252" w:lineRule="auto"/>
            </w:pPr>
            <w:r>
              <w:rPr>
                <w:rFonts w:ascii="Times New Roman" w:hAnsi="Times New Roman" w:cs="Times New Roman" w:eastAsia="Times New Roman"/>
                <w:b w:val="0"/>
                <w:i w:val="0"/>
                <w:smallCaps w:val="0"/>
                <w:sz w:val="20"/>
                <w:color w:val="222222"/>
              </w:rPr>
              <w:t>PERF</w:t>
            </w:r>
          </w:p>
        </w:tc>
        <w:tc>
          <w:tcPr>
            <w:tcW w:w="2649" w:type="dxa"/>
            <w:shd w:val="clear" w:color="auto" w:fill="F4F7F2"/>
            <w:tcMar>
              <w:top w:w="46" w:type="dxa"/>
              <w:left w:w="80" w:type="dxa"/>
              <w:bottom w:w="46" w:type="dxa"/>
              <w:right w:w="80" w:type="dxa"/>
            </w:tcMar>
          </w:tcPr>
          <w:p>
            <w:pPr>
              <w:spacing w:before="0" w:after="0" w:line="252" w:lineRule="auto"/>
            </w:pPr>
            <w:r>
              <w:rPr>
                <w:rFonts w:ascii="Times New Roman" w:hAnsi="Times New Roman" w:cs="Times New Roman" w:eastAsia="Times New Roman"/>
                <w:b w:val="0"/>
                <w:i w:val="0"/>
                <w:smallCaps w:val="0"/>
                <w:sz w:val="20"/>
                <w:color w:val="222222"/>
              </w:rPr>
              <w:t>Peak-hour load</w:t>
            </w:r>
          </w:p>
        </w:tc>
        <w:tc>
          <w:tcPr>
            <w:tcW w:w="2649" w:type="dxa"/>
            <w:shd w:val="clear" w:color="auto" w:fill="F4F7F2"/>
            <w:tcMar>
              <w:top w:w="46" w:type="dxa"/>
              <w:left w:w="80" w:type="dxa"/>
              <w:bottom w:w="46" w:type="dxa"/>
              <w:right w:w="80" w:type="dxa"/>
            </w:tcMar>
          </w:tcPr>
          <w:p>
            <w:pPr>
              <w:spacing w:before="0" w:after="0" w:line="252" w:lineRule="auto"/>
            </w:pPr>
            <w:r>
              <w:rPr>
                <w:rFonts w:ascii="Times New Roman" w:hAnsi="Times New Roman" w:cs="Times New Roman" w:eastAsia="Times New Roman"/>
                <w:b w:val="0"/>
                <w:i w:val="0"/>
                <w:smallCaps w:val="0"/>
                <w:sz w:val="20"/>
                <w:color w:val="222222"/>
              </w:rPr>
              <w:t>Synthetic shoppers</w:t>
            </w:r>
          </w:p>
        </w:tc>
        <w:tc>
          <w:tcPr>
            <w:tcW w:w="2120" w:type="dxa"/>
            <w:shd w:val="clear" w:color="auto" w:fill="F4F7F2"/>
            <w:tcMar>
              <w:top w:w="46" w:type="dxa"/>
              <w:left w:w="80" w:type="dxa"/>
              <w:bottom w:w="46" w:type="dxa"/>
              <w:right w:w="80" w:type="dxa"/>
            </w:tcMar>
          </w:tcPr>
          <w:p>
            <w:pPr>
              <w:spacing w:before="0" w:after="0" w:line="252" w:lineRule="auto"/>
            </w:pPr>
            <w:r>
              <w:rPr>
                <w:rFonts w:ascii="Times New Roman" w:hAnsi="Times New Roman" w:cs="Times New Roman" w:eastAsia="Times New Roman"/>
                <w:b w:val="0"/>
                <w:i w:val="0"/>
                <w:smallCaps w:val="0"/>
                <w:sz w:val="20"/>
                <w:color w:val="222222"/>
              </w:rPr>
              <w:t>Performance</w:t>
            </w:r>
          </w:p>
        </w:tc>
      </w:tr>
      <w:tr>
        <w:trPr>
          <w:cantSplit/>
        </w:trPr>
        <w:tc>
          <w:tcPr>
            <w:tcW w:w="1766" w:type="dxa"/>
            <w:tcMar>
              <w:top w:w="46" w:type="dxa"/>
              <w:left w:w="80" w:type="dxa"/>
              <w:bottom w:w="46" w:type="dxa"/>
              <w:right w:w="80" w:type="dxa"/>
            </w:tcMar>
          </w:tcPr>
          <w:p>
            <w:pPr>
              <w:spacing w:before="0" w:after="0" w:line="252" w:lineRule="auto"/>
            </w:pPr>
            <w:r>
              <w:rPr>
                <w:rFonts w:ascii="Times New Roman" w:hAnsi="Times New Roman" w:cs="Times New Roman" w:eastAsia="Times New Roman"/>
                <w:b w:val="0"/>
                <w:i w:val="0"/>
                <w:smallCaps w:val="0"/>
                <w:sz w:val="20"/>
                <w:color w:val="222222"/>
              </w:rPr>
              <w:t>UAT</w:t>
            </w:r>
          </w:p>
        </w:tc>
        <w:tc>
          <w:tcPr>
            <w:tcW w:w="2649" w:type="dxa"/>
            <w:tcMar>
              <w:top w:w="46" w:type="dxa"/>
              <w:left w:w="80" w:type="dxa"/>
              <w:bottom w:w="46" w:type="dxa"/>
              <w:right w:w="80" w:type="dxa"/>
            </w:tcMar>
          </w:tcPr>
          <w:p>
            <w:pPr>
              <w:spacing w:before="0" w:after="0" w:line="252" w:lineRule="auto"/>
            </w:pPr>
            <w:r>
              <w:rPr>
                <w:rFonts w:ascii="Times New Roman" w:hAnsi="Times New Roman" w:cs="Times New Roman" w:eastAsia="Times New Roman"/>
                <w:b w:val="0"/>
                <w:i w:val="0"/>
                <w:smallCaps w:val="0"/>
                <w:sz w:val="20"/>
                <w:color w:val="222222"/>
              </w:rPr>
              <w:t>Business sign-off</w:t>
            </w:r>
          </w:p>
        </w:tc>
        <w:tc>
          <w:tcPr>
            <w:tcW w:w="2649" w:type="dxa"/>
            <w:tcMar>
              <w:top w:w="46" w:type="dxa"/>
              <w:left w:w="80" w:type="dxa"/>
              <w:bottom w:w="46" w:type="dxa"/>
              <w:right w:w="80" w:type="dxa"/>
            </w:tcMar>
          </w:tcPr>
          <w:p>
            <w:pPr>
              <w:spacing w:before="0" w:after="0" w:line="252" w:lineRule="auto"/>
            </w:pPr>
            <w:r>
              <w:rPr>
                <w:rFonts w:ascii="Times New Roman" w:hAnsi="Times New Roman" w:cs="Times New Roman" w:eastAsia="Times New Roman"/>
                <w:b w:val="0"/>
                <w:i w:val="0"/>
                <w:smallCaps w:val="0"/>
                <w:sz w:val="20"/>
                <w:color w:val="222222"/>
              </w:rPr>
              <w:t>Retailer sample day</w:t>
            </w:r>
          </w:p>
        </w:tc>
        <w:tc>
          <w:tcPr>
            <w:tcW w:w="2120" w:type="dxa"/>
            <w:tcMar>
              <w:top w:w="46" w:type="dxa"/>
              <w:left w:w="80" w:type="dxa"/>
              <w:bottom w:w="46" w:type="dxa"/>
              <w:right w:w="80" w:type="dxa"/>
            </w:tcMar>
          </w:tcPr>
          <w:p>
            <w:pPr>
              <w:spacing w:before="0" w:after="0" w:line="252" w:lineRule="auto"/>
            </w:pPr>
            <w:r>
              <w:rPr>
                <w:rFonts w:ascii="Times New Roman" w:hAnsi="Times New Roman" w:cs="Times New Roman" w:eastAsia="Times New Roman"/>
                <w:b w:val="0"/>
                <w:i w:val="0"/>
                <w:smallCaps w:val="0"/>
                <w:sz w:val="20"/>
                <w:color w:val="222222"/>
              </w:rPr>
              <w:t>Test manager</w:t>
            </w:r>
          </w:p>
        </w:tc>
      </w:tr>
    </w:tbl>
    <w:p>
      <w:pPr>
        <w:pStyle w:val="Heading1"/>
      </w:pPr>
      <w:r>
        <w:rPr>
          <w:rFonts w:ascii="Arial" w:hAnsi="Arial" w:cs="Arial" w:eastAsia="Arial"/>
          <w:b/>
          <w:i w:val="0"/>
          <w:smallCaps w:val="0"/>
          <w:sz w:val="32"/>
          <w:color w:val="1F4E79"/>
        </w:rPr>
        <w:t>5.  Delivery flow</w:t>
      </w:r>
    </w:p>
    <w:p>
      <w:r>
        <w:rPr>
          <w:rFonts w:ascii="Times New Roman" w:hAnsi="Times New Roman" w:cs="Times New Roman" w:eastAsia="Times New Roman"/>
          <w:b w:val="0"/>
          <w:i w:val="0"/>
          <w:smallCaps w:val="0"/>
          <w:sz w:val="24"/>
          <w:color w:val="222222"/>
        </w:rPr>
        <w:t>The figure below is part of the original strategy. It is an image, so a later template change should leave it exactly where the author placed it.</w:t>
      </w:r>
    </w:p>
    <w:p>
      <w:pPr>
        <w:spacing w:before="120" w:after="40" w:line="276" w:lineRule="auto"/>
        <w:jc w:val="center"/>
      </w:pPr>
      <w:r>
        <w:drawing>
          <wp:inline xmlns:a="http://schemas.openxmlformats.org/drawingml/2006/main" xmlns:pic="http://schemas.openxmlformats.org/drawingml/2006/picture">
            <wp:extent cx="4752000" cy="1425600"/>
            <wp:docPr id="1" name="Picture 1"/>
            <wp:cNvGraphicFramePr>
              <a:graphicFrameLocks noChangeAspect="1"/>
            </wp:cNvGraphicFramePr>
            <a:graphic>
              <a:graphicData uri="http://schemas.openxmlformats.org/drawingml/2006/picture">
                <pic:pic>
                  <pic:nvPicPr>
                    <pic:cNvPr id="0" name="legacy_flow.png"/>
                    <pic:cNvPicPr/>
                  </pic:nvPicPr>
                  <pic:blipFill>
                    <a:blip r:embed="rId11"/>
                    <a:stretch>
                      <a:fillRect/>
                    </a:stretch>
                  </pic:blipFill>
                  <pic:spPr>
                    <a:xfrm>
                      <a:off x="0" y="0"/>
                      <a:ext cx="4752000" cy="1425600"/>
                    </a:xfrm>
                    <a:prstGeom prst="rect"/>
                  </pic:spPr>
                </pic:pic>
              </a:graphicData>
            </a:graphic>
          </wp:inline>
        </w:drawing>
      </w:r>
    </w:p>
    <w:p>
      <w:pPr>
        <w:pStyle w:val="Caption"/>
        <w:spacing w:before="40" w:after="200" w:line="276" w:lineRule="auto"/>
        <w:jc w:val="center"/>
      </w:pPr>
      <w:r>
        <w:rPr>
          <w:rFonts w:ascii="Times New Roman" w:hAnsi="Times New Roman" w:cs="Times New Roman" w:eastAsia="Times New Roman"/>
          <w:b w:val="0"/>
          <w:i/>
          <w:smallCaps w:val="0"/>
          <w:sz w:val="20"/>
          <w:color w:val="555555"/>
        </w:rPr>
        <w:t>Figure 1. Plan, execute, and report — the 2019 delivery flow.</w:t>
      </w:r>
    </w:p>
    <w:p>
      <w:pPr>
        <w:pStyle w:val="Heading1"/>
      </w:pPr>
      <w:r>
        <w:rPr>
          <w:rFonts w:ascii="Arial" w:hAnsi="Arial" w:cs="Arial" w:eastAsia="Arial"/>
          <w:b/>
          <w:i w:val="0"/>
          <w:smallCaps w:val="0"/>
          <w:sz w:val="32"/>
          <w:color w:val="1F4E79"/>
        </w:rPr>
        <w:t>6.  Exit criteria</w:t>
      </w:r>
    </w:p>
    <w:p>
      <w:pPr>
        <w:pStyle w:val="ListBullet"/>
      </w:pPr>
      <w:r>
        <w:rPr>
          <w:rFonts w:ascii="Times New Roman" w:hAnsi="Times New Roman" w:cs="Times New Roman" w:eastAsia="Times New Roman"/>
          <w:b w:val="0"/>
          <w:i w:val="0"/>
          <w:smallCaps w:val="0"/>
          <w:sz w:val="24"/>
          <w:color w:val="222222"/>
        </w:rPr>
        <w:t>No open severity-1 defect on pay, decline, or settlement.</w:t>
      </w:r>
    </w:p>
    <w:p>
      <w:pPr>
        <w:pStyle w:val="ListBullet"/>
      </w:pPr>
      <w:r>
        <w:rPr>
          <w:rFonts w:ascii="Times New Roman" w:hAnsi="Times New Roman" w:cs="Times New Roman" w:eastAsia="Times New Roman"/>
          <w:b w:val="0"/>
          <w:i w:val="0"/>
          <w:smallCaps w:val="0"/>
          <w:sz w:val="24"/>
          <w:color w:val="222222"/>
        </w:rPr>
        <w:t>Peak test held the agreed orders per minute for a full hour.</w:t>
      </w:r>
    </w:p>
    <w:p>
      <w:pPr>
        <w:pStyle w:val="ListBullet"/>
      </w:pPr>
      <w:r>
        <w:rPr>
          <w:rFonts w:ascii="Times New Roman" w:hAnsi="Times New Roman" w:cs="Times New Roman" w:eastAsia="Times New Roman"/>
          <w:b w:val="0"/>
          <w:i w:val="0"/>
          <w:smallCaps w:val="0"/>
          <w:sz w:val="24"/>
          <w:color w:val="222222"/>
        </w:rPr>
        <w:t>Finance signed the sample-day reconciliation.</w:t>
      </w:r>
    </w:p>
    <w:p>
      <w:pPr>
        <w:pStyle w:val="ListBullet"/>
      </w:pPr>
      <w:r>
        <w:rPr>
          <w:rFonts w:ascii="Times New Roman" w:hAnsi="Times New Roman" w:cs="Times New Roman" w:eastAsia="Times New Roman"/>
          <w:b w:val="0"/>
          <w:i w:val="0"/>
          <w:smallCaps w:val="0"/>
          <w:sz w:val="24"/>
          <w:color w:val="222222"/>
        </w:rPr>
        <w:t>The residual risk list is attached to the release note.</w:t>
      </w:r>
    </w:p>
    <w:p>
      <w:pPr>
        <w:spacing w:before="160" w:after="0" w:line="276" w:lineRule="auto"/>
      </w:pPr>
      <w:r>
        <w:rPr>
          <w:rFonts w:ascii="Times New Roman" w:hAnsi="Times New Roman" w:cs="Times New Roman" w:eastAsia="Times New Roman"/>
          <w:b w:val="0"/>
          <w:i/>
          <w:smallCaps w:val="0"/>
          <w:sz w:val="20"/>
          <w:color w:val="555555"/>
        </w:rPr>
        <w:t>Prepared by Quality Kiosk Engineering Practice. Distribution is internal to the programme.</w:t>
      </w:r>
    </w:p>
    <w:sectPr w:rsidR="00FC693F" w:rsidRPr="0006063C" w:rsidSect="00034616">
      <w:headerReference w:type="default" r:id="rId9"/>
      <w:footerReference w:type="default" r:id="rId10"/>
      <w:pgSz w:w="11906" w:h="16838"/>
      <w:pgMar w:top="1304" w:right="1361" w:bottom="1134" w:left="1361"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p>
  <w:tbl>
    <w:tblPr>
      <w:tblLook w:firstColumn="1" w:firstRow="1" w:lastColumn="0" w:lastRow="0" w:noHBand="0" w:noVBand="1" w:val="04A0"/>
      <w:tblW w:w="9184" w:type="dxa"/>
      <w:tblLayout w:type="fixed"/>
      <w:tblInd w:w="0" w:type="dxa"/>
      <w:tblCellMar>
        <w:top w:w="0" w:type="dxa"/>
        <w:left w:w="0" w:type="dxa"/>
        <w:bottom w:w="0" w:type="dxa"/>
        <w:right w:w="0" w:type="dxa"/>
      </w:tblCellMar>
      <w:tblBorders>
        <w:top w:val="single" w:sz="12" w:space="0" w:color="000000"/>
        <w:left w:val="nil"/>
        <w:bottom w:val="nil"/>
        <w:right w:val="nil"/>
        <w:insideH w:val="nil"/>
        <w:insideV w:val="nil"/>
      </w:tblBorders>
    </w:tblPr>
    <w:tblGrid>
      <w:gridCol w:w="4224"/>
      <w:gridCol w:w="2204"/>
      <w:gridCol w:w="2756"/>
    </w:tblGrid>
    <w:tr>
      <w:tc>
        <w:tcPr>
          <w:tcW w:w="4224" w:type="dxa"/>
          <w:vAlign w:val="center"/>
          <w:tcMar>
            <w:top w:w="50" w:type="dxa"/>
            <w:left w:w="0" w:type="dxa"/>
            <w:bottom w:w="0" w:type="dxa"/>
            <w:right w:w="0" w:type="dxa"/>
          </w:tcMar>
        </w:tcPr>
        <w:p>
          <w:pPr>
            <w:spacing w:before="0" w:after="0" w:line="240" w:lineRule="auto"/>
          </w:pPr>
          <w:r>
            <w:rPr>
              <w:rFonts w:ascii="Times New Roman" w:hAnsi="Times New Roman" w:cs="Times New Roman" w:eastAsia="Times New Roman"/>
              <w:b w:val="0"/>
              <w:i/>
              <w:smallCaps w:val="0"/>
              <w:sz w:val="18"/>
              <w:color w:val="444444"/>
            </w:rPr>
            <w:t>Quality Kiosk Pvt. Ltd.</w:t>
          </w:r>
        </w:p>
      </w:tc>
      <w:tc>
        <w:tcPr>
          <w:tcW w:w="2204" w:type="dxa"/>
          <w:vAlign w:val="center"/>
          <w:tcMar>
            <w:top w:w="50" w:type="dxa"/>
            <w:left w:w="0" w:type="dxa"/>
            <w:bottom w:w="0" w:type="dxa"/>
            <w:right w:w="0" w:type="dxa"/>
          </w:tcMar>
        </w:tcPr>
        <w:p>
          <w:pPr>
            <w:spacing w:before="0" w:after="0" w:line="240" w:lineRule="auto"/>
            <w:jc w:val="center"/>
          </w:pPr>
          <w:r>
            <w:rPr>
              <w:rFonts w:ascii="Times New Roman" w:hAnsi="Times New Roman" w:cs="Times New Roman" w:eastAsia="Times New Roman"/>
              <w:b w:val="0"/>
              <w:i/>
              <w:smallCaps w:val="0"/>
              <w:sz w:val="18"/>
              <w:color w:val="444444"/>
            </w:rPr>
            <w:t>Internal</w:t>
          </w:r>
        </w:p>
      </w:tc>
      <w:tc>
        <w:tcPr>
          <w:tcW w:w="2756" w:type="dxa"/>
          <w:vAlign w:val="center"/>
          <w:tcMar>
            <w:top w:w="50" w:type="dxa"/>
            <w:left w:w="0" w:type="dxa"/>
            <w:bottom w:w="0" w:type="dxa"/>
            <w:right w:w="0" w:type="dxa"/>
          </w:tcMar>
        </w:tcPr>
        <w:p>
          <w:pPr>
            <w:spacing w:before="0" w:after="0" w:line="240" w:lineRule="auto"/>
            <w:jc w:val="right"/>
          </w:pPr>
          <w:r>
            <w:rPr>
              <w:rFonts w:ascii="Times New Roman" w:hAnsi="Times New Roman" w:cs="Times New Roman" w:eastAsia="Times New Roman"/>
              <w:b w:val="0"/>
              <w:i/>
              <w:smallCaps w:val="0"/>
              <w:sz w:val="18"/>
              <w:color w:val="444444"/>
            </w:rPr>
            <w:t xml:space="preserve">Page </w:t>
          </w:r>
          <w:r>
            <w:rPr>
              <w:rFonts w:ascii="Times New Roman" w:hAnsi="Times New Roman" w:cs="Times New Roman" w:eastAsia="Times New Roman"/>
              <w:b w:val="0"/>
              <w:i w:val="0"/>
              <w:smallCaps w:val="0"/>
              <w:sz w:val="18"/>
              <w:color w:val="444444"/>
            </w:rPr>
            <w:fldChar w:fldCharType="begin"/>
          </w:r>
          <w:r>
            <w:rPr>
              <w:rFonts w:ascii="Times New Roman" w:hAnsi="Times New Roman" w:cs="Times New Roman" w:eastAsia="Times New Roman"/>
              <w:b w:val="0"/>
              <w:i w:val="0"/>
              <w:smallCaps w:val="0"/>
              <w:sz w:val="18"/>
              <w:color w:val="444444"/>
            </w:rPr>
            <w:instrText xml:space="preserve"> PAGE </w:instrText>
          </w:r>
          <w:r>
            <w:rPr>
              <w:rFonts w:ascii="Times New Roman" w:hAnsi="Times New Roman" w:cs="Times New Roman" w:eastAsia="Times New Roman"/>
              <w:b w:val="0"/>
              <w:i w:val="0"/>
              <w:smallCaps w:val="0"/>
              <w:sz w:val="18"/>
              <w:color w:val="444444"/>
            </w:rPr>
            <w:fldChar w:fldCharType="separate"/>
          </w:r>
          <w:r>
            <w:rPr>
              <w:rFonts w:ascii="Times New Roman" w:hAnsi="Times New Roman" w:cs="Times New Roman" w:eastAsia="Times New Roman"/>
              <w:b w:val="0"/>
              <w:i w:val="0"/>
              <w:smallCaps w:val="0"/>
              <w:sz w:val="18"/>
              <w:color w:val="444444"/>
            </w:rPr>
            <w:t>1</w:t>
          </w:r>
          <w:r>
            <w:rPr>
              <w:rFonts w:ascii="Times New Roman" w:hAnsi="Times New Roman" w:cs="Times New Roman" w:eastAsia="Times New Roman"/>
              <w:b w:val="0"/>
              <w:i w:val="0"/>
              <w:smallCaps w:val="0"/>
              <w:sz w:val="18"/>
              <w:color w:val="444444"/>
            </w:rP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p>
  <w:tbl>
    <w:tblPr>
      <w:tblLook w:firstColumn="1" w:firstRow="1" w:lastColumn="0" w:lastRow="0" w:noHBand="0" w:noVBand="1" w:val="04A0"/>
      <w:tblW w:w="9184" w:type="dxa"/>
      <w:tblLayout w:type="fixed"/>
      <w:tblInd w:w="0" w:type="dxa"/>
      <w:tblCellMar>
        <w:top w:w="0" w:type="dxa"/>
        <w:left w:w="0" w:type="dxa"/>
        <w:bottom w:w="0" w:type="dxa"/>
        <w:right w:w="0" w:type="dxa"/>
      </w:tblCellMar>
      <w:tblBorders>
        <w:top w:val="nil"/>
        <w:left w:val="nil"/>
        <w:bottom w:val="nil"/>
        <w:right w:val="nil"/>
        <w:insideH w:val="nil"/>
        <w:insideV w:val="nil"/>
      </w:tblBorders>
    </w:tblPr>
    <w:tblGrid>
      <w:gridCol w:w="5694"/>
      <w:gridCol w:w="3490"/>
    </w:tblGrid>
    <w:tr>
      <w:tc>
        <w:tcPr>
          <w:tcW w:w="5694" w:type="dxa"/>
          <w:shd w:val="clear" w:color="auto" w:fill="7A1F2B"/>
          <w:vAlign w:val="center"/>
          <w:tcMar>
            <w:top w:w="80" w:type="dxa"/>
            <w:left w:w="120" w:type="dxa"/>
            <w:bottom w:w="80" w:type="dxa"/>
            <w:right w:w="120" w:type="dxa"/>
          </w:tcMar>
        </w:tcPr>
        <w:p>
          <w:pPr>
            <w:spacing w:before="0" w:after="0" w:line="240" w:lineRule="auto"/>
          </w:pPr>
          <w:r>
            <w:rPr>
              <w:rFonts w:ascii="Times New Roman" w:hAnsi="Times New Roman" w:cs="Times New Roman" w:eastAsia="Times New Roman"/>
              <w:b/>
              <w:i w:val="0"/>
              <w:smallCaps w:val="0"/>
              <w:sz w:val="28"/>
              <w:color w:val="FFFFFF"/>
            </w:rPr>
            <w:t>QUALITY KIOSK</w:t>
          </w:r>
        </w:p>
      </w:tc>
      <w:tc>
        <w:tcPr>
          <w:tcW w:w="3490" w:type="dxa"/>
          <w:shd w:val="clear" w:color="auto" w:fill="7A1F2B"/>
          <w:vAlign w:val="center"/>
          <w:tcMar>
            <w:top w:w="80" w:type="dxa"/>
            <w:left w:w="120" w:type="dxa"/>
            <w:bottom w:w="80" w:type="dxa"/>
            <w:right w:w="120" w:type="dxa"/>
          </w:tcMar>
        </w:tcPr>
        <w:p>
          <w:pPr>
            <w:spacing w:before="0" w:after="0" w:line="240" w:lineRule="auto"/>
            <w:jc w:val="right"/>
          </w:pPr>
          <w:r>
            <w:rPr>
              <w:rFonts w:ascii="Arial" w:hAnsi="Arial" w:cs="Arial" w:eastAsia="Arial"/>
              <w:b w:val="0"/>
              <w:i w:val="0"/>
              <w:smallCaps w:val="0"/>
              <w:sz w:val="18"/>
              <w:color w:val="F3D6C8"/>
            </w:rPr>
            <w:t>Engineering Practice  ·  2019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cs="Times New Roman" w:eastAsia="Times New Roman"/>
      <w:sz w:val="24"/>
      <w:color w:val="2222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cs="Arial" w:eastAsia="Arial"/>
      <w:b/>
      <w:bCs/>
      <w:i w:val="0"/>
      <w:sz w:val="32"/>
      <w:szCs w:val="28"/>
      <w:color w:val="1F4E79"/>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sz w:val="26"/>
      <w:szCs w:val="26"/>
      <w:color w:val="7A1F2B"/>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cs="Arial" w:eastAsia="Arial"/>
      <w:b/>
      <w:bCs/>
      <w:i w:val="0"/>
      <w:sz w:val="24"/>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imes New Roman" w:hAnsi="Times New Roman" w:cs="Times New Roman" w:eastAsia="Times New Roman"/>
      <w:b/>
      <w:i w:val="0"/>
      <w:spacing w:val="5"/>
      <w:kern w:val="28"/>
      <w:sz w:val="52"/>
      <w:szCs w:val="52"/>
      <w:color w:val="7A1F2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imes New Roman" w:hAnsi="Times New Roman" w:cs="Times New Roman" w:eastAsia="Times New Roman"/>
      <w:b w:val="0"/>
      <w:i w:val="0"/>
      <w:iCs/>
      <w:spacing w:val="15"/>
      <w:sz w:val="24"/>
      <w:szCs w:val="24"/>
      <w:color w:val="1F4E7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sz w:val="24"/>
      <w:color w:val="2222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sz w:val="24"/>
      <w:color w:val="2222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pPr>
    <w:rPr>
      <w:rFonts w:ascii="Times New Roman" w:hAnsi="Times New Roman" w:cs="Times New Roman" w:eastAsia="Times New Roman"/>
      <w:b w:val="0"/>
      <w:bCs/>
      <w:i/>
      <w:sz w:val="20"/>
      <w:szCs w:val="18"/>
      <w:color w:val="555555"/>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40"/>
      <w:ind w:left="0"/>
      <w:tabs>
        <w:tab w:val="right" w:leader="dot" w:pos="9064"/>
      </w:tabs>
    </w:pPr>
    <w:rPr>
      <w:rFonts w:ascii="Times New Roman" w:hAnsi="Times New Roman" w:cs="Times New Roman" w:eastAsia="Times New Roman"/>
      <w:b/>
      <w:sz w:val="24"/>
      <w:color w:val="7A1F2B"/>
    </w:rPr>
  </w:style>
  <w:style w:type="paragraph" w:customStyle="1" w:styleId="TOC2">
    <w:name w:val="TOC 2"/>
    <w:pPr>
      <w:spacing w:after="40"/>
      <w:ind w:left="200"/>
      <w:tabs>
        <w:tab w:val="right" w:leader="dot" w:pos="9064"/>
      </w:tabs>
    </w:pPr>
    <w:rPr>
      <w:rFonts w:ascii="Times New Roman" w:hAnsi="Times New Roman" w:cs="Times New Roman" w:eastAsia="Times New Roman"/>
      <w:b w:val="0"/>
      <w:sz w:val="22"/>
      <w:color w:val="1F4E7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Payments Test Strategy</dc:title>
  <dc:subject>Existing 2019 document on the previous brand</dc:subject>
  <dc:creator>Quality Kiosk Engineering Practice</dc:creator>
  <cp:keywords/>
  <dc:description>Sample of a document already in use, before the new template is applied.</dc:description>
  <cp:lastModifiedBy/>
  <cp:revision>1</cp:revision>
  <dcterms:created xsi:type="dcterms:W3CDTF">2013-12-23T23:15:00Z</dcterms:created>
  <dcterms:modified xsi:type="dcterms:W3CDTF">2013-12-23T23:15:00Z</dcterms:modified>
  <cp:category>Test strategy</cp:category>
</cp:coreProperties>
</file>