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  <w:rtl/>
        </w:rPr>
        <w:id w:val="1809223365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rtl w:val="0"/>
        </w:rPr>
      </w:sdtEndPr>
      <w:sdtContent>
        <w:p w:rsidR="006F2896" w:rsidRPr="006B6EA3" w:rsidRDefault="00A23CE3" w:rsidP="004860E1">
          <w:pPr>
            <w:jc w:val="right"/>
            <w:rPr>
              <w:noProof/>
              <w:color w:val="C4BC96" w:themeColor="background2" w:themeShade="BF"/>
              <w:sz w:val="32"/>
              <w:szCs w:val="32"/>
            </w:rPr>
          </w:pPr>
          <w:r>
            <w:rPr>
              <w:noProof/>
              <w:color w:val="C4BC96" w:themeColor="background2" w:themeShade="BF"/>
              <w:sz w:val="32"/>
              <w:szCs w:val="32"/>
            </w:rPr>
            <w:pict>
              <v:group id="_x0000_s1026" style="position:absolute;margin-left:0;margin-top:.75pt;width:595.3pt;height:841.85pt;flip:x;z-index:-251656192;mso-width-percent:1000;mso-height-percent:1000;mso-position-horizontal-relative:page;mso-position-vertical-relative:page;mso-width-percent:1000;mso-height-percent:1000" coordsize="12240,15840" o:allowincell="f">
    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365f91 [2404]" stroked="f"/>
    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  <w:r w:rsidR="00960FB6">
            <w:rPr>
              <w:noProof/>
              <w:color w:val="C4BC96" w:themeColor="background2" w:themeShade="BF"/>
              <w:sz w:val="32"/>
              <w:szCs w:val="32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-447675</wp:posOffset>
                </wp:positionV>
                <wp:extent cx="1895475" cy="695325"/>
                <wp:effectExtent l="0" t="0" r="0" b="0"/>
                <wp:wrapNone/>
                <wp:docPr id="7" name="Picture 6" descr="לוגו ללא רקע לבן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לוגו ללא רקע לבן.pn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6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53D81" w:rsidRDefault="00A23CE3" w:rsidP="004860E1">
          <w:pPr>
            <w:jc w:val="right"/>
            <w:rPr>
              <w:color w:val="7F7F7F" w:themeColor="text1" w:themeTint="80"/>
              <w:sz w:val="32"/>
              <w:szCs w:val="32"/>
            </w:rPr>
          </w:pPr>
          <w:r w:rsidRPr="00A23CE3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60.4pt;margin-top:.55pt;width:535.95pt;height:39pt;z-index:251662336" fillcolor="#e36c0a [2409]" strokecolor="#e36c0a [2409]">
                <v:textbox style="mso-next-textbox:#_x0000_s1031">
                  <w:txbxContent>
                    <w:p w:rsidR="00B70587" w:rsidRPr="0008625D" w:rsidRDefault="00B70587" w:rsidP="00960FB6">
                      <w:pPr>
                        <w:shd w:val="clear" w:color="auto" w:fill="E36C0A" w:themeFill="accent6" w:themeFillShade="BF"/>
                        <w:bidi w:val="0"/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</w:rPr>
                        <w:t xml:space="preserve">חדשות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</w:rPr>
                        <w:t>פרופרטק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</w:rPr>
                        <w:t xml:space="preserve"> השבוע שהיה</w:t>
                      </w:r>
                    </w:p>
                  </w:txbxContent>
                </v:textbox>
                <w10:wrap anchorx="page"/>
              </v:shape>
            </w:pict>
          </w:r>
        </w:p>
        <w:p w:rsidR="00E53D81" w:rsidRDefault="00A23CE3">
          <w:pPr>
            <w:jc w:val="right"/>
            <w:rPr>
              <w:color w:val="7F7F7F" w:themeColor="text1" w:themeTint="80"/>
              <w:sz w:val="32"/>
              <w:szCs w:val="32"/>
            </w:rPr>
          </w:pPr>
          <w:r w:rsidRPr="00A23CE3">
            <w:rPr>
              <w:noProof/>
            </w:rPr>
            <w:pict>
              <v:shape id="_x0000_s1032" type="#_x0000_t202" style="position:absolute;margin-left:-53.85pt;margin-top:23.85pt;width:522.75pt;height:661.25pt;z-index:251664384" filled="f" stroked="f">
                <v:textbox style="mso-next-textbox:#_x0000_s1032">
                  <w:txbxContent>
                    <w:p w:rsidR="00B70587" w:rsidRDefault="00B70587" w:rsidP="00B70587">
                      <w:pPr>
                        <w:ind w:left="360"/>
                        <w:rPr>
                          <w:rFonts w:cs="David" w:hint="cs"/>
                          <w:sz w:val="24"/>
                          <w:szCs w:val="24"/>
                          <w:rtl/>
                        </w:rPr>
                      </w:pPr>
                    </w:p>
                    <w:p w:rsidR="00B70587" w:rsidRPr="00B70587" w:rsidRDefault="00B70587" w:rsidP="00B705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B70587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 xml:space="preserve">חברת בת של </w:t>
                      </w:r>
                      <w:proofErr w:type="spellStart"/>
                      <w:r w:rsidRPr="00B70587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>פרופיט</w:t>
                      </w:r>
                      <w:proofErr w:type="spellEnd"/>
                      <w:r w:rsidRPr="00B70587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תעשיות בניה בע"מ </w:t>
                      </w:r>
                      <w:r w:rsidRPr="00B70587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התקשרה בהסכם מותנה למכירת זכויותיה ב"בית סולל בונה" בחיפה, תמורת 22.8 מיליון ש"ח (</w:t>
                      </w:r>
                      <w:hyperlink r:id="rId7" w:anchor="?id=01579&amp;reference=2013-01-062118&amp;file=1" w:history="1">
                        <w:r w:rsidRPr="00B70587">
                          <w:rPr>
                            <w:rStyle w:val="Hyperlink"/>
                            <w:rFonts w:cs="David" w:hint="cs"/>
                            <w:sz w:val="24"/>
                            <w:szCs w:val="24"/>
                            <w:rtl/>
                          </w:rPr>
                          <w:t>לדיווח החברה</w:t>
                        </w:r>
                      </w:hyperlink>
                      <w:r w:rsidRPr="00B70587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).</w:t>
                      </w:r>
                    </w:p>
                    <w:p w:rsidR="00B70587" w:rsidRPr="00A51A03" w:rsidRDefault="00B70587" w:rsidP="00A51A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David"/>
                          <w:sz w:val="24"/>
                          <w:szCs w:val="24"/>
                        </w:rPr>
                      </w:pPr>
                      <w:proofErr w:type="spellStart"/>
                      <w:r w:rsidRPr="00A51A03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>וילאר</w:t>
                      </w:r>
                      <w:proofErr w:type="spellEnd"/>
                      <w:r w:rsidRPr="00A51A03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אינטרנשיונל בע"מ </w:t>
                      </w:r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 xml:space="preserve">התקשרה בהסכם להשכרת מרכז לוגיסטי במודיעין ל </w:t>
                      </w:r>
                      <w:r w:rsidRPr="00A51A03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א. ד. החדשה בע"מ </w:t>
                      </w:r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(</w:t>
                      </w:r>
                      <w:hyperlink r:id="rId8" w:anchor="?id=01266&amp;reference=2013-01-064059&amp;file=1" w:history="1">
                        <w:r w:rsidRPr="00A51A03">
                          <w:rPr>
                            <w:rStyle w:val="Hyperlink"/>
                            <w:rFonts w:cs="David" w:hint="cs"/>
                            <w:sz w:val="24"/>
                            <w:szCs w:val="24"/>
                            <w:rtl/>
                          </w:rPr>
                          <w:t xml:space="preserve">לדיווח </w:t>
                        </w:r>
                        <w:proofErr w:type="spellStart"/>
                        <w:r w:rsidRPr="00A51A03">
                          <w:rPr>
                            <w:rStyle w:val="Hyperlink"/>
                            <w:rFonts w:cs="David" w:hint="cs"/>
                            <w:sz w:val="24"/>
                            <w:szCs w:val="24"/>
                            <w:rtl/>
                          </w:rPr>
                          <w:t>וילאר</w:t>
                        </w:r>
                        <w:proofErr w:type="spellEnd"/>
                        <w:r w:rsidRPr="00A51A03">
                          <w:rPr>
                            <w:rStyle w:val="Hyperlink"/>
                            <w:rFonts w:cs="David" w:hint="cs"/>
                            <w:sz w:val="24"/>
                            <w:szCs w:val="24"/>
                            <w:rtl/>
                          </w:rPr>
                          <w:t xml:space="preserve"> אינטרנשיונל</w:t>
                        </w:r>
                      </w:hyperlink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).</w:t>
                      </w:r>
                    </w:p>
                    <w:p w:rsidR="00B70587" w:rsidRPr="00111D03" w:rsidRDefault="00B70587" w:rsidP="0018365A">
                      <w:pPr>
                        <w:rPr>
                          <w:rFonts w:cs="David" w:hint="cs"/>
                          <w:b/>
                          <w:bCs/>
                          <w:color w:val="FF6600"/>
                          <w:sz w:val="16"/>
                          <w:szCs w:val="16"/>
                          <w:rtl/>
                        </w:rPr>
                      </w:pPr>
                    </w:p>
                    <w:p w:rsidR="00B70587" w:rsidRPr="00A51A03" w:rsidRDefault="00B70587" w:rsidP="0018365A">
                      <w:pPr>
                        <w:rPr>
                          <w:rFonts w:hint="cs"/>
                          <w:b/>
                          <w:bCs/>
                          <w:color w:val="FF66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A51A03">
                        <w:rPr>
                          <w:rFonts w:cs="David" w:hint="cs"/>
                          <w:b/>
                          <w:bCs/>
                          <w:color w:val="FF6600"/>
                          <w:sz w:val="28"/>
                          <w:szCs w:val="28"/>
                          <w:u w:val="single"/>
                          <w:rtl/>
                        </w:rPr>
                        <w:t>נדל"ן מסחרי מעבר לים</w:t>
                      </w:r>
                    </w:p>
                    <w:p w:rsidR="00B70587" w:rsidRPr="00A51A03" w:rsidRDefault="00B70587" w:rsidP="00A51A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חברת בת של</w:t>
                      </w:r>
                      <w:r w:rsidRPr="00A51A03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A51A03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>אדגר</w:t>
                      </w:r>
                      <w:proofErr w:type="spellEnd"/>
                      <w:r w:rsidRPr="00A51A03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השקעות ופיתוח בע"מ </w:t>
                      </w:r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 xml:space="preserve">השלימה </w:t>
                      </w:r>
                      <w:proofErr w:type="spellStart"/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עיסקה</w:t>
                      </w:r>
                      <w:proofErr w:type="spellEnd"/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 xml:space="preserve"> לרכישת מבנה משרדים בשטח של כ-40,000 מ"ר בוורשה, פולין, תמורת כ-36 מיליון אירו (</w:t>
                      </w:r>
                      <w:hyperlink r:id="rId9" w:anchor="?id=0115&amp;reference=2013-01-059349&amp;file=1" w:history="1">
                        <w:r w:rsidRPr="00A51A03">
                          <w:rPr>
                            <w:rStyle w:val="Hyperlink"/>
                            <w:rFonts w:cs="David" w:hint="cs"/>
                            <w:sz w:val="24"/>
                            <w:szCs w:val="24"/>
                            <w:rtl/>
                          </w:rPr>
                          <w:t>לדיווח  החברה</w:t>
                        </w:r>
                      </w:hyperlink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 xml:space="preserve">). </w:t>
                      </w:r>
                    </w:p>
                    <w:p w:rsidR="00B70587" w:rsidRPr="00A51A03" w:rsidRDefault="00B70587" w:rsidP="00A51A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A51A03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>לוי השקעות ובנין בע"מ</w:t>
                      </w:r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 xml:space="preserve"> ו</w:t>
                      </w:r>
                      <w:r w:rsidRPr="00A51A03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יורו-גלוב בע"מ </w:t>
                      </w:r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חתמו על הסכם למכירת נכס בגרמניה, תמורת 6,550 אלף אירו (</w:t>
                      </w:r>
                      <w:hyperlink r:id="rId10" w:anchor="?id=013&amp;reference=2013-01-062538&amp;file=1" w:history="1">
                        <w:r w:rsidRPr="00A51A03">
                          <w:rPr>
                            <w:rStyle w:val="Hyperlink"/>
                            <w:rFonts w:cs="David" w:hint="cs"/>
                            <w:sz w:val="24"/>
                            <w:szCs w:val="24"/>
                            <w:rtl/>
                          </w:rPr>
                          <w:t>לדיווח א. לוי השקעות ובנין</w:t>
                        </w:r>
                      </w:hyperlink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) (</w:t>
                      </w:r>
                      <w:hyperlink r:id="rId11" w:anchor="?id=012159&amp;reference=2013-01-062544&amp;file=1" w:history="1">
                        <w:r w:rsidRPr="00A51A03">
                          <w:rPr>
                            <w:rStyle w:val="Hyperlink"/>
                            <w:rFonts w:cs="David" w:hint="cs"/>
                            <w:sz w:val="24"/>
                            <w:szCs w:val="24"/>
                            <w:rtl/>
                          </w:rPr>
                          <w:t>לדיווח יורו-גלוב</w:t>
                        </w:r>
                      </w:hyperlink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).</w:t>
                      </w:r>
                    </w:p>
                    <w:p w:rsidR="00B70587" w:rsidRPr="00A51A03" w:rsidRDefault="00B70587" w:rsidP="00A51A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David" w:hint="cs"/>
                          <w:sz w:val="24"/>
                          <w:szCs w:val="24"/>
                          <w:rtl/>
                        </w:rPr>
                      </w:pPr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 xml:space="preserve">חברה בת של </w:t>
                      </w:r>
                      <w:r w:rsidRPr="00A51A03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>ש.י.ר. שלמה נדל"ן בע"מ</w:t>
                      </w:r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 xml:space="preserve"> ושותפיה, השלימו מכירת מגרש ומבנה מלונאי בשטח של כ-33 אלף מ"ר בגרמניה תמורת 9.8 מיליון אירו (</w:t>
                      </w:r>
                      <w:hyperlink r:id="rId12" w:anchor="?id=012452&amp;reference=2013-01-064266&amp;file=1" w:history="1">
                        <w:r w:rsidRPr="00A51A03">
                          <w:rPr>
                            <w:rStyle w:val="Hyperlink"/>
                            <w:rFonts w:cs="David" w:hint="cs"/>
                            <w:sz w:val="24"/>
                            <w:szCs w:val="24"/>
                            <w:rtl/>
                          </w:rPr>
                          <w:t>לדיווח החברה</w:t>
                        </w:r>
                      </w:hyperlink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).</w:t>
                      </w:r>
                    </w:p>
                    <w:p w:rsidR="00B70587" w:rsidRPr="00A51A03" w:rsidRDefault="00B70587" w:rsidP="00A51A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Times New Roman" w:hint="cs"/>
                          <w:sz w:val="24"/>
                          <w:szCs w:val="24"/>
                          <w:rtl/>
                        </w:rPr>
                      </w:pPr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 xml:space="preserve">חברת בת של </w:t>
                      </w:r>
                      <w:r w:rsidRPr="00A51A03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חברה לנכסים ולבנין בע"מ </w:t>
                      </w:r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התקשרה בהסכם, בכפוף להתניות, למכירת זכויותיה בבניין "</w:t>
                      </w:r>
                      <w:proofErr w:type="spellStart"/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ברניס</w:t>
                      </w:r>
                      <w:proofErr w:type="spellEnd"/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" בשיקגו, ארה"ב, תמורת 154 מיליון דולר ארה"ב (</w:t>
                      </w:r>
                      <w:hyperlink r:id="rId13" w:anchor="?id=01285&amp;reference=2013-01-063570" w:history="1">
                        <w:r w:rsidRPr="00A51A03">
                          <w:rPr>
                            <w:rStyle w:val="Hyperlink"/>
                            <w:rFonts w:cs="David" w:hint="cs"/>
                            <w:sz w:val="24"/>
                            <w:szCs w:val="24"/>
                            <w:rtl/>
                          </w:rPr>
                          <w:t>לדיווח החברה</w:t>
                        </w:r>
                      </w:hyperlink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).</w:t>
                      </w:r>
                    </w:p>
                    <w:p w:rsidR="00B70587" w:rsidRPr="00111D03" w:rsidRDefault="00B70587" w:rsidP="0018365A">
                      <w:pPr>
                        <w:rPr>
                          <w:rFonts w:cs="David" w:hint="cs"/>
                          <w:b/>
                          <w:bCs/>
                          <w:color w:val="FF6600"/>
                          <w:sz w:val="16"/>
                          <w:szCs w:val="16"/>
                          <w:rtl/>
                        </w:rPr>
                      </w:pPr>
                    </w:p>
                    <w:p w:rsidR="00B70587" w:rsidRPr="00A51A03" w:rsidRDefault="00B70587" w:rsidP="0018365A">
                      <w:pP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A51A03">
                        <w:rPr>
                          <w:rFonts w:cs="David" w:hint="cs"/>
                          <w:b/>
                          <w:bCs/>
                          <w:color w:val="FF6600"/>
                          <w:sz w:val="28"/>
                          <w:szCs w:val="28"/>
                          <w:u w:val="single"/>
                          <w:rtl/>
                        </w:rPr>
                        <w:t>הזדמנות עסקית בשורה</w:t>
                      </w:r>
                    </w:p>
                    <w:p w:rsidR="00B70587" w:rsidRPr="00A51A03" w:rsidRDefault="00B70587" w:rsidP="00A51A0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David" w:hint="cs"/>
                          <w:sz w:val="24"/>
                          <w:szCs w:val="24"/>
                          <w:shd w:val="clear" w:color="auto" w:fill="FFFFFF"/>
                          <w:rtl/>
                        </w:rPr>
                      </w:pPr>
                      <w:r w:rsidRPr="00A51A03">
                        <w:rPr>
                          <w:rFonts w:cs="David" w:hint="cs"/>
                          <w:sz w:val="24"/>
                          <w:szCs w:val="24"/>
                          <w:shd w:val="clear" w:color="auto" w:fill="FFFFFF"/>
                          <w:rtl/>
                        </w:rPr>
                        <w:t xml:space="preserve">למכירה </w:t>
                      </w:r>
                      <w:r w:rsidRPr="00A51A03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shd w:val="clear" w:color="auto" w:fill="FFFFFF"/>
                          <w:rtl/>
                        </w:rPr>
                        <w:t xml:space="preserve">בניין </w:t>
                      </w:r>
                      <w:proofErr w:type="spellStart"/>
                      <w:r w:rsidRPr="00A51A03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shd w:val="clear" w:color="auto" w:fill="FFFFFF"/>
                          <w:rtl/>
                        </w:rPr>
                        <w:t>בהנובר</w:t>
                      </w:r>
                      <w:proofErr w:type="spellEnd"/>
                      <w:r w:rsidRPr="00A51A03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shd w:val="clear" w:color="auto" w:fill="FFFFFF"/>
                          <w:rtl/>
                        </w:rPr>
                        <w:t xml:space="preserve"> גרמניה</w:t>
                      </w:r>
                      <w:r w:rsidRPr="00A51A03">
                        <w:rPr>
                          <w:rFonts w:cs="David" w:hint="cs"/>
                          <w:sz w:val="24"/>
                          <w:szCs w:val="24"/>
                          <w:shd w:val="clear" w:color="auto" w:fill="FFFFFF"/>
                          <w:rtl/>
                        </w:rPr>
                        <w:t>. הלקוח - ממשלת גרמניה. יתרת הסכם ל 10 שנים. תשואה 7.25%, מחיר כ- 4.5 מיליון יורו</w:t>
                      </w:r>
                      <w:r w:rsidRPr="00A51A03">
                        <w:rPr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:rsidR="00B70587" w:rsidRPr="00A51A03" w:rsidRDefault="00B70587" w:rsidP="00A51A0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David" w:hint="cs"/>
                          <w:sz w:val="24"/>
                          <w:szCs w:val="24"/>
                          <w:rtl/>
                        </w:rPr>
                      </w:pPr>
                      <w:r w:rsidRPr="00A51A03">
                        <w:rPr>
                          <w:rFonts w:cs="David" w:hint="cs"/>
                          <w:sz w:val="24"/>
                          <w:szCs w:val="24"/>
                          <w:shd w:val="clear" w:color="auto" w:fill="FFFFFF"/>
                          <w:rtl/>
                        </w:rPr>
                        <w:t>למכירה כ 450 מ"ר</w:t>
                      </w:r>
                      <w:r w:rsidRPr="00A51A03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shd w:val="clear" w:color="auto" w:fill="FFFFFF"/>
                          <w:rtl/>
                        </w:rPr>
                        <w:t xml:space="preserve"> משרדים בהרצלייה </w:t>
                      </w:r>
                      <w:r w:rsidRPr="00A51A03">
                        <w:rPr>
                          <w:rFonts w:cs="David" w:hint="cs"/>
                          <w:sz w:val="24"/>
                          <w:szCs w:val="24"/>
                          <w:shd w:val="clear" w:color="auto" w:fill="FFFFFF"/>
                          <w:rtl/>
                        </w:rPr>
                        <w:t>בבניין מפואר</w:t>
                      </w:r>
                      <w:r w:rsidRPr="00A51A03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shd w:val="clear" w:color="auto" w:fill="FFFFFF"/>
                          <w:rtl/>
                        </w:rPr>
                        <w:t>,</w:t>
                      </w:r>
                      <w:r w:rsidRPr="00A51A03">
                        <w:rPr>
                          <w:rFonts w:cs="David" w:hint="cs"/>
                          <w:sz w:val="24"/>
                          <w:szCs w:val="24"/>
                          <w:shd w:val="clear" w:color="auto" w:fill="FFFFFF"/>
                          <w:rtl/>
                        </w:rPr>
                        <w:t xml:space="preserve"> מושכרים + חניות.</w:t>
                      </w:r>
                    </w:p>
                    <w:p w:rsidR="00B70587" w:rsidRPr="00111D03" w:rsidRDefault="00B70587" w:rsidP="0018365A">
                      <w:pPr>
                        <w:rPr>
                          <w:rFonts w:cs="David" w:hint="cs"/>
                          <w:b/>
                          <w:bCs/>
                          <w:color w:val="FF6600"/>
                          <w:sz w:val="16"/>
                          <w:szCs w:val="16"/>
                          <w:rtl/>
                        </w:rPr>
                      </w:pPr>
                    </w:p>
                    <w:p w:rsidR="00B70587" w:rsidRPr="00A51A03" w:rsidRDefault="00B70587" w:rsidP="0018365A">
                      <w:pPr>
                        <w:rPr>
                          <w:rFonts w:cs="David" w:hint="cs"/>
                          <w:b/>
                          <w:bCs/>
                          <w:color w:val="FF6600"/>
                          <w:sz w:val="30"/>
                          <w:szCs w:val="30"/>
                          <w:u w:val="single"/>
                          <w:rtl/>
                        </w:rPr>
                      </w:pPr>
                      <w:r w:rsidRPr="00A51A03">
                        <w:rPr>
                          <w:rFonts w:cs="David" w:hint="cs"/>
                          <w:b/>
                          <w:bCs/>
                          <w:color w:val="FF6600"/>
                          <w:sz w:val="30"/>
                          <w:szCs w:val="30"/>
                          <w:u w:val="single"/>
                          <w:rtl/>
                        </w:rPr>
                        <w:t>נדל"ן בכותרות</w:t>
                      </w:r>
                    </w:p>
                    <w:p w:rsidR="00B70587" w:rsidRPr="00A51A03" w:rsidRDefault="00B70587" w:rsidP="00A51A0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="David" w:hint="cs"/>
                          <w:sz w:val="24"/>
                          <w:szCs w:val="24"/>
                          <w:rtl/>
                        </w:rPr>
                      </w:pPr>
                      <w:r w:rsidRPr="00A51A03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מבני תעשיה </w:t>
                      </w:r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בונה מתחם פנאי ובילוי במערב ראשון לציון, ששטחו כ- 6,500 מ"ר, בהשקעה של כ- 30 מיליון ש"ח (</w:t>
                      </w:r>
                      <w:hyperlink r:id="rId14" w:anchor="FromSearchPage" w:history="1">
                        <w:r w:rsidRPr="00A51A03">
                          <w:rPr>
                            <w:rStyle w:val="Hyperlink"/>
                            <w:rFonts w:cs="David" w:hint="cs"/>
                            <w:sz w:val="24"/>
                            <w:szCs w:val="24"/>
                            <w:rtl/>
                          </w:rPr>
                          <w:t>לכתבה בגלובס</w:t>
                        </w:r>
                      </w:hyperlink>
                      <w:r w:rsidRPr="00A51A03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).</w:t>
                      </w:r>
                    </w:p>
                    <w:p w:rsidR="00B70587" w:rsidRDefault="00B70587" w:rsidP="00111D03">
                      <w:pPr>
                        <w:rPr>
                          <w:rFonts w:hint="cs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</w:pPr>
                    </w:p>
                    <w:p w:rsidR="00B70587" w:rsidRPr="00A51A03" w:rsidRDefault="00B70587" w:rsidP="00B70587">
                      <w:pPr>
                        <w:spacing w:line="240" w:lineRule="auto"/>
                        <w:rPr>
                          <w:color w:val="244061" w:themeColor="accent1" w:themeShade="80"/>
                          <w:sz w:val="24"/>
                          <w:szCs w:val="24"/>
                        </w:rPr>
                      </w:pPr>
                      <w:proofErr w:type="spellStart"/>
                      <w:r w:rsidRPr="00A51A03">
                        <w:rPr>
                          <w:rFonts w:cs="David" w:hint="cs"/>
                          <w:b/>
                          <w:bCs/>
                          <w:color w:val="244061" w:themeColor="accent1" w:themeShade="80"/>
                          <w:sz w:val="24"/>
                          <w:szCs w:val="24"/>
                          <w:rtl/>
                        </w:rPr>
                        <w:t>פרופרטק</w:t>
                      </w:r>
                      <w:proofErr w:type="spellEnd"/>
                      <w:r w:rsidRPr="00A51A03">
                        <w:rPr>
                          <w:rFonts w:cs="David" w:hint="cs"/>
                          <w:b/>
                          <w:bCs/>
                          <w:color w:val="244061" w:themeColor="accent1" w:themeShade="80"/>
                          <w:sz w:val="24"/>
                          <w:szCs w:val="24"/>
                          <w:rtl/>
                        </w:rPr>
                        <w:t xml:space="preserve"> נכסים הינו בוטיק לנדל"ן מסחרי, מוביל מקצועי וייחודי הנותן שרותי תיווך למשרדים, שטחים לוגיסטיים, בניינים, תיווך עסקאות תשואה, קרקעות וכד'.</w:t>
                      </w:r>
                    </w:p>
                    <w:p w:rsidR="00B70587" w:rsidRDefault="00B70587" w:rsidP="00B70587">
                      <w:pPr>
                        <w:spacing w:before="100" w:beforeAutospacing="1" w:after="100" w:afterAutospacing="1" w:line="240" w:lineRule="auto"/>
                        <w:rPr>
                          <w:rFonts w:cs="David" w:hint="cs"/>
                          <w:color w:val="244061" w:themeColor="accent1" w:themeShade="80"/>
                          <w:sz w:val="24"/>
                          <w:szCs w:val="24"/>
                          <w:rtl/>
                        </w:rPr>
                      </w:pPr>
                      <w:r w:rsidRPr="00A51A03">
                        <w:rPr>
                          <w:rFonts w:cs="David" w:hint="cs"/>
                          <w:color w:val="244061" w:themeColor="accent1" w:themeShade="80"/>
                          <w:sz w:val="24"/>
                          <w:szCs w:val="24"/>
                          <w:rtl/>
                        </w:rPr>
                        <w:t xml:space="preserve">מטרת מזכר זה הינה להביא לידיעתך מידע </w:t>
                      </w:r>
                      <w:proofErr w:type="spellStart"/>
                      <w:r w:rsidRPr="00A51A03">
                        <w:rPr>
                          <w:rFonts w:cs="David" w:hint="cs"/>
                          <w:color w:val="244061" w:themeColor="accent1" w:themeShade="80"/>
                          <w:sz w:val="24"/>
                          <w:szCs w:val="24"/>
                          <w:rtl/>
                        </w:rPr>
                        <w:t>נדל"ני</w:t>
                      </w:r>
                      <w:proofErr w:type="spellEnd"/>
                      <w:r w:rsidRPr="00A51A03">
                        <w:rPr>
                          <w:rFonts w:cs="David" w:hint="cs"/>
                          <w:color w:val="244061" w:themeColor="accent1" w:themeShade="80"/>
                          <w:sz w:val="24"/>
                          <w:szCs w:val="24"/>
                          <w:rtl/>
                        </w:rPr>
                        <w:t xml:space="preserve"> מעודכן.  האמור אינו מהווה חוות דעת או יעוץ מקצועי. ממליץ להשתמש במידע המפורט במזכר רק לאחר </w:t>
                      </w:r>
                      <w:r>
                        <w:rPr>
                          <w:rFonts w:cs="David" w:hint="cs"/>
                          <w:color w:val="244061" w:themeColor="accent1" w:themeShade="80"/>
                          <w:sz w:val="24"/>
                          <w:szCs w:val="24"/>
                          <w:rtl/>
                        </w:rPr>
                        <w:t>התייעצות עם גורם מתאים במשרדנו.</w:t>
                      </w:r>
                    </w:p>
                    <w:p w:rsidR="00B70587" w:rsidRPr="00B70587" w:rsidRDefault="00B70587" w:rsidP="00B70587">
                      <w:pPr>
                        <w:spacing w:before="100" w:beforeAutospacing="1" w:after="100" w:afterAutospacing="1" w:line="240" w:lineRule="auto"/>
                        <w:rPr>
                          <w:rFonts w:cs="David" w:hint="cs"/>
                          <w:color w:val="244061" w:themeColor="accent1" w:themeShade="80"/>
                          <w:sz w:val="2"/>
                          <w:szCs w:val="2"/>
                          <w:rtl/>
                        </w:rPr>
                      </w:pPr>
                    </w:p>
                    <w:tbl>
                      <w:tblPr>
                        <w:bidiVisual/>
                        <w:tblW w:w="4948" w:type="pct"/>
                        <w:tblBorders>
                          <w:top w:val="single" w:sz="4" w:space="0" w:color="auto"/>
                        </w:tblBorders>
                        <w:tblLook w:val="00A0"/>
                      </w:tblPr>
                      <w:tblGrid>
                        <w:gridCol w:w="4857"/>
                        <w:gridCol w:w="331"/>
                        <w:gridCol w:w="5102"/>
                      </w:tblGrid>
                      <w:tr w:rsidR="00B70587" w:rsidRPr="0008625D" w:rsidTr="009E1765">
                        <w:trPr>
                          <w:trHeight w:val="285"/>
                        </w:trPr>
                        <w:tc>
                          <w:tcPr>
                            <w:tcW w:w="2360" w:type="pct"/>
                          </w:tcPr>
                          <w:p w:rsidR="00B70587" w:rsidRPr="0008625D" w:rsidRDefault="00B70587" w:rsidP="009E1765">
                            <w:pPr>
                              <w:pStyle w:val="Header"/>
                              <w:spacing w:line="276" w:lineRule="auto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proofErr w:type="spellStart"/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u w:val="single"/>
                                <w:rtl/>
                              </w:rPr>
                              <w:t>פרופרטק</w:t>
                            </w:r>
                            <w:proofErr w:type="spellEnd"/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 </w:t>
                            </w:r>
                          </w:p>
                          <w:p w:rsidR="00B70587" w:rsidRPr="0008625D" w:rsidRDefault="00B70587" w:rsidP="009E1765">
                            <w:pPr>
                              <w:pStyle w:val="Header"/>
                              <w:spacing w:line="276" w:lineRule="auto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rtl/>
                              </w:rPr>
                            </w:pPr>
                            <w:proofErr w:type="spellStart"/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rtl/>
                              </w:rPr>
                              <w:t>רח</w:t>
                            </w:r>
                            <w:proofErr w:type="spellEnd"/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rtl/>
                              </w:rPr>
                              <w:t>' ברוך הירש 14-18, בני ברק, 51202</w:t>
                            </w:r>
                          </w:p>
                          <w:p w:rsidR="00B70587" w:rsidRPr="0008625D" w:rsidRDefault="00B70587" w:rsidP="009E1765">
                            <w:pPr>
                              <w:pStyle w:val="Header"/>
                              <w:spacing w:line="276" w:lineRule="auto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rtl/>
                              </w:rPr>
                            </w:pPr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rtl/>
                              </w:rPr>
                              <w:t>טלפון:   03-5785444</w:t>
                            </w:r>
                          </w:p>
                          <w:p w:rsidR="00B70587" w:rsidRPr="0008625D" w:rsidRDefault="00B70587" w:rsidP="009E1765">
                            <w:pPr>
                              <w:pStyle w:val="Header"/>
                              <w:spacing w:line="276" w:lineRule="auto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rtl/>
                              </w:rPr>
                            </w:pPr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rtl/>
                              </w:rPr>
                              <w:t>פקס:     03-5782929</w:t>
                            </w:r>
                          </w:p>
                          <w:p w:rsidR="00B70587" w:rsidRPr="0008625D" w:rsidRDefault="00B70587" w:rsidP="009E1765">
                            <w:pPr>
                              <w:pStyle w:val="Header"/>
                              <w:spacing w:line="276" w:lineRule="auto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rtl/>
                              </w:rPr>
                            </w:pPr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rtl/>
                              </w:rPr>
                              <w:t xml:space="preserve">דוא"ל:  </w:t>
                            </w:r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</w:rPr>
                              <w:t>info@propertech.co.il</w:t>
                            </w:r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1" w:type="pct"/>
                            <w:noWrap/>
                            <w:vAlign w:val="center"/>
                          </w:tcPr>
                          <w:p w:rsidR="00B70587" w:rsidRPr="0008625D" w:rsidRDefault="00B70587" w:rsidP="009E1765">
                            <w:pPr>
                              <w:pStyle w:val="NoSpacing"/>
                              <w:ind w:left="108" w:hanging="108"/>
                              <w:rPr>
                                <w:rFonts w:ascii="Cambria" w:hAnsi="Cambria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479" w:type="pct"/>
                          </w:tcPr>
                          <w:p w:rsidR="00B70587" w:rsidRPr="0008625D" w:rsidRDefault="00B70587" w:rsidP="00C578C4">
                            <w:pPr>
                              <w:pStyle w:val="Header"/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u w:val="single"/>
                              </w:rPr>
                              <w:t>Propertech</w:t>
                            </w:r>
                            <w:proofErr w:type="spellEnd"/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</w:p>
                          <w:p w:rsidR="00B70587" w:rsidRPr="0008625D" w:rsidRDefault="00B70587" w:rsidP="00C578C4">
                            <w:pPr>
                              <w:pStyle w:val="Header"/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rtl/>
                              </w:rPr>
                            </w:pPr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</w:rPr>
                              <w:t xml:space="preserve">14-18 Baruch Hirsh, </w:t>
                            </w:r>
                            <w:proofErr w:type="spellStart"/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</w:rPr>
                              <w:t>Bnei</w:t>
                            </w:r>
                            <w:proofErr w:type="spellEnd"/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</w:rPr>
                              <w:t>Brak</w:t>
                            </w:r>
                            <w:proofErr w:type="spellEnd"/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</w:rPr>
                              <w:t>, 51202, Israel</w:t>
                            </w:r>
                          </w:p>
                          <w:p w:rsidR="00B70587" w:rsidRPr="0008625D" w:rsidRDefault="00B70587" w:rsidP="00C578C4">
                            <w:pPr>
                              <w:pStyle w:val="Header"/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rtl/>
                              </w:rPr>
                            </w:pPr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</w:rPr>
                              <w:t>Tel:   972-3-5785444</w:t>
                            </w:r>
                          </w:p>
                          <w:p w:rsidR="00B70587" w:rsidRPr="0008625D" w:rsidRDefault="00B70587" w:rsidP="00C578C4">
                            <w:pPr>
                              <w:pStyle w:val="Header"/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  <w:rtl/>
                              </w:rPr>
                            </w:pPr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</w:rPr>
                              <w:t>Fax:  972-3-5782929</w:t>
                            </w:r>
                          </w:p>
                          <w:p w:rsidR="00B70587" w:rsidRPr="0008625D" w:rsidRDefault="00B70587" w:rsidP="00C578C4">
                            <w:pPr>
                              <w:pStyle w:val="Header"/>
                              <w:bidi w:val="0"/>
                              <w:spacing w:line="276" w:lineRule="auto"/>
                              <w:rPr>
                                <w:b/>
                                <w:bCs/>
                                <w:color w:val="365F91"/>
                                <w:sz w:val="16"/>
                                <w:szCs w:val="16"/>
                              </w:rPr>
                            </w:pPr>
                            <w:r w:rsidRPr="0008625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65F91"/>
                                <w:sz w:val="16"/>
                                <w:szCs w:val="16"/>
                              </w:rPr>
                              <w:t>Email:  info@propertech.co.il</w:t>
                            </w:r>
                            <w:r w:rsidRPr="0008625D">
                              <w:rPr>
                                <w:b/>
                                <w:bCs/>
                                <w:color w:val="365F9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B70587" w:rsidRPr="000223C0" w:rsidRDefault="00B70587" w:rsidP="009E1765"/>
                  </w:txbxContent>
                </v:textbox>
                <w10:wrap anchorx="page"/>
              </v:shape>
            </w:pict>
          </w:r>
        </w:p>
        <w:p w:rsidR="00E53D81" w:rsidRPr="00772869" w:rsidRDefault="00A23CE3" w:rsidP="00772869">
          <w:pPr>
            <w:bidi w:val="0"/>
          </w:pPr>
        </w:p>
      </w:sdtContent>
    </w:sdt>
    <w:sectPr w:rsidR="00E53D81" w:rsidRPr="00772869" w:rsidSect="00E53D81"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66B4"/>
    <w:multiLevelType w:val="hybridMultilevel"/>
    <w:tmpl w:val="AA02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80AF2"/>
    <w:multiLevelType w:val="hybridMultilevel"/>
    <w:tmpl w:val="38A8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6232C"/>
    <w:multiLevelType w:val="hybridMultilevel"/>
    <w:tmpl w:val="A1E6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21D5"/>
    <w:multiLevelType w:val="hybridMultilevel"/>
    <w:tmpl w:val="73E829A4"/>
    <w:lvl w:ilvl="0" w:tplc="E314F87C">
      <w:start w:val="1"/>
      <w:numFmt w:val="hebrew1"/>
      <w:lvlText w:val="%1."/>
      <w:lvlJc w:val="left"/>
      <w:pPr>
        <w:ind w:left="720" w:hanging="360"/>
      </w:pPr>
      <w:rPr>
        <w:rFonts w:cs="Davi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92CB1"/>
    <w:multiLevelType w:val="hybridMultilevel"/>
    <w:tmpl w:val="61627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4F27582"/>
    <w:multiLevelType w:val="hybridMultilevel"/>
    <w:tmpl w:val="BF24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511FB"/>
    <w:multiLevelType w:val="hybridMultilevel"/>
    <w:tmpl w:val="E812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4602"/>
    <w:rsid w:val="000223C0"/>
    <w:rsid w:val="0008625D"/>
    <w:rsid w:val="00111D03"/>
    <w:rsid w:val="00111F67"/>
    <w:rsid w:val="00135498"/>
    <w:rsid w:val="0016251F"/>
    <w:rsid w:val="001722B3"/>
    <w:rsid w:val="0018365A"/>
    <w:rsid w:val="001A0983"/>
    <w:rsid w:val="001B6D20"/>
    <w:rsid w:val="0021563C"/>
    <w:rsid w:val="00220F75"/>
    <w:rsid w:val="002247BF"/>
    <w:rsid w:val="00225896"/>
    <w:rsid w:val="002568C9"/>
    <w:rsid w:val="00304E13"/>
    <w:rsid w:val="00422CD3"/>
    <w:rsid w:val="004860E1"/>
    <w:rsid w:val="00574CC6"/>
    <w:rsid w:val="00637E48"/>
    <w:rsid w:val="006410BD"/>
    <w:rsid w:val="006B34FB"/>
    <w:rsid w:val="006F2896"/>
    <w:rsid w:val="00741461"/>
    <w:rsid w:val="00772869"/>
    <w:rsid w:val="0077777F"/>
    <w:rsid w:val="008707CC"/>
    <w:rsid w:val="00960FB6"/>
    <w:rsid w:val="009640B6"/>
    <w:rsid w:val="009E1765"/>
    <w:rsid w:val="00A23CE3"/>
    <w:rsid w:val="00A51A03"/>
    <w:rsid w:val="00A64602"/>
    <w:rsid w:val="00B70587"/>
    <w:rsid w:val="00BE2248"/>
    <w:rsid w:val="00C578C4"/>
    <w:rsid w:val="00CF4755"/>
    <w:rsid w:val="00CF6B0D"/>
    <w:rsid w:val="00E53D81"/>
    <w:rsid w:val="00E541F0"/>
    <w:rsid w:val="00E647D0"/>
    <w:rsid w:val="00EC23E1"/>
    <w:rsid w:val="00F95D90"/>
    <w:rsid w:val="00FF5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2B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E53D81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99"/>
    <w:rsid w:val="00E53D8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D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7777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707C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he-IL"/>
    </w:rPr>
  </w:style>
  <w:style w:type="character" w:customStyle="1" w:styleId="HeaderChar">
    <w:name w:val="Header Char"/>
    <w:basedOn w:val="DefaultParagraphFont"/>
    <w:link w:val="Header"/>
    <w:uiPriority w:val="99"/>
    <w:rsid w:val="008707CC"/>
    <w:rPr>
      <w:rFonts w:ascii="Times New Roman" w:eastAsia="Times New Roman" w:hAnsi="Times New Roman" w:cs="Times New Roman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9640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gna.isa.gov.il/details.aspx?reference=2013-01-064059&amp;file=1&amp;id=01266" TargetMode="External"/><Relationship Id="rId13" Type="http://schemas.openxmlformats.org/officeDocument/2006/relationships/hyperlink" Target="http://www.magna.isa.gov.il/details.aspx?id=01285&amp;reference=2013-01-06357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gna.isa.gov.il/details.aspx?reference=2013-01-062118&amp;file=1&amp;id=01579" TargetMode="External"/><Relationship Id="rId12" Type="http://schemas.openxmlformats.org/officeDocument/2006/relationships/hyperlink" Target="http://www.magna.isa.gov.il/details.aspx?reference=2013-01-064266&amp;file=1&amp;id=01245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agna.isa.gov.il/details.aspx?reference=2013-01-062544&amp;file=1&amp;id=01215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gna.isa.gov.il/details.aspx?reference=2013-01-062538&amp;file=1&amp;id=01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gna.isa.gov.il/details.aspx?reference=2013-01-059349&amp;file=1&amp;id=0115" TargetMode="External"/><Relationship Id="rId14" Type="http://schemas.openxmlformats.org/officeDocument/2006/relationships/hyperlink" Target="http://www.globes.co.il/news/article.aspx?did=1000851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5C476-F6E9-40C4-A7D7-2A8919E2D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naamat</dc:creator>
  <cp:keywords/>
  <dc:description/>
  <cp:lastModifiedBy>naamat</cp:lastModifiedBy>
  <cp:revision>2</cp:revision>
  <dcterms:created xsi:type="dcterms:W3CDTF">2013-06-17T05:14:00Z</dcterms:created>
  <dcterms:modified xsi:type="dcterms:W3CDTF">2013-06-17T05:14:00Z</dcterms:modified>
</cp:coreProperties>
</file>