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— Qualité, SAV &amp; Suivi projets terrain</w:t>
      </w:r>
    </w:p>
    <w:p/>
    <w:p>
      <w:r>
        <w:rPr>
          <w:b/>
          <w:sz w:val="28"/>
        </w:rPr>
        <w:t>10) SAV</w:t>
      </w:r>
    </w:p>
    <w:p/>
    <w:p>
      <w:pPr>
        <w:pStyle w:val="ListBullet"/>
      </w:pPr>
      <w:r>
        <w:t>Déclaration anomalie (appel ou application)</w:t>
      </w:r>
    </w:p>
    <w:p>
      <w:pPr>
        <w:pStyle w:val="ListBullet"/>
      </w:pPr>
      <w:r>
        <w:t>Création ticket SAV</w:t>
      </w:r>
    </w:p>
    <w:p>
      <w:pPr>
        <w:pStyle w:val="ListBullet"/>
      </w:pPr>
      <w:r>
        <w:t>Affectation</w:t>
      </w:r>
    </w:p>
    <w:p>
      <w:pPr>
        <w:pStyle w:val="ListBullet"/>
      </w:pPr>
      <w:r>
        <w:t>Clôture obligatoire</w:t>
      </w:r>
    </w:p>
    <w:p/>
    <w:p>
      <w:r>
        <w:rPr>
          <w:b/>
          <w:sz w:val="28"/>
        </w:rPr>
        <w:t>11) SIG — Projets d’installation</w:t>
      </w:r>
    </w:p>
    <w:p/>
    <w:p>
      <w:pPr>
        <w:pStyle w:val="ListBullet"/>
      </w:pPr>
      <w:r>
        <w:t>Localisation géographique</w:t>
      </w:r>
    </w:p>
    <w:p>
      <w:pPr>
        <w:pStyle w:val="ListBullet"/>
      </w:pPr>
      <w:r>
        <w:t>Suivi de l’état projet</w:t>
      </w:r>
    </w:p>
    <w:p>
      <w:pPr>
        <w:pStyle w:val="ListBullet"/>
      </w:pPr>
      <w:r>
        <w:t>Formulaires de contrôle qualité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