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5 — Pilotage, RH &amp; Finance (Contrôle &amp; amélioration continue)</w:t>
      </w:r>
    </w:p>
    <w:p/>
    <w:p>
      <w:r>
        <w:rPr>
          <w:b/>
          <w:sz w:val="28"/>
        </w:rPr>
        <w:t>12) Analyse &amp; tableaux de bord</w:t>
      </w:r>
    </w:p>
    <w:p/>
    <w:p>
      <w:pPr>
        <w:pStyle w:val="ListBullet"/>
      </w:pPr>
      <w:r>
        <w:t>Objectifs : réduire les ruptures de stock</w:t>
      </w:r>
    </w:p>
    <w:p>
      <w:pPr>
        <w:pStyle w:val="ListBullet"/>
      </w:pPr>
      <w:r>
        <w:t>Objectifs : réduire les délais fournisseur</w:t>
      </w:r>
    </w:p>
    <w:p>
      <w:pPr>
        <w:pStyle w:val="ListBullet"/>
      </w:pPr>
      <w:r>
        <w:t>Objectifs : éviter le surstock et les articles à faible rotation</w:t>
      </w:r>
    </w:p>
    <w:p>
      <w:pPr>
        <w:pStyle w:val="ListBullet"/>
      </w:pPr>
      <w:r>
        <w:t>Indicateurs : rotation stock</w:t>
      </w:r>
    </w:p>
    <w:p>
      <w:pPr>
        <w:pStyle w:val="ListBullet"/>
      </w:pPr>
      <w:r>
        <w:t>Indicateurs : temps rupture → commande → livraison</w:t>
      </w:r>
    </w:p>
    <w:p>
      <w:pPr>
        <w:pStyle w:val="ListBullet"/>
      </w:pPr>
      <w:r>
        <w:t>Indicateurs : performance fournisseurs</w:t>
      </w:r>
    </w:p>
    <w:p>
      <w:pPr>
        <w:pStyle w:val="ListBullet"/>
      </w:pPr>
      <w:r>
        <w:t>Indicateurs : délais de livraison client</w:t>
      </w:r>
    </w:p>
    <w:p>
      <w:pPr>
        <w:pStyle w:val="ListBullet"/>
      </w:pPr>
      <w:r>
        <w:t>Indicateurs : marges par projet / client</w:t>
      </w:r>
    </w:p>
    <w:p/>
    <w:p>
      <w:r>
        <w:rPr>
          <w:b/>
          <w:sz w:val="28"/>
        </w:rPr>
        <w:t>13) RH — Qualification</w:t>
      </w:r>
    </w:p>
    <w:p/>
    <w:p>
      <w:pPr>
        <w:pStyle w:val="ListBullet"/>
      </w:pPr>
      <w:r>
        <w:t>Évaluation des ressources sortant d’école</w:t>
      </w:r>
    </w:p>
    <w:p>
      <w:pPr>
        <w:pStyle w:val="ListBullet"/>
      </w:pPr>
      <w:r>
        <w:t>Parcours de formation</w:t>
      </w:r>
    </w:p>
    <w:p>
      <w:pPr>
        <w:pStyle w:val="ListBullet"/>
      </w:pPr>
      <w:r>
        <w:t>Validation opérationnelle</w:t>
      </w:r>
    </w:p>
    <w:p/>
    <w:p>
      <w:r>
        <w:rPr>
          <w:b/>
          <w:sz w:val="28"/>
        </w:rPr>
        <w:t>14) Gestion financière</w:t>
      </w:r>
    </w:p>
    <w:p/>
    <w:p>
      <w:pPr>
        <w:pStyle w:val="ListBullet"/>
      </w:pPr>
      <w:r>
        <w:t>Module à détailler : encours, paiements, rapprochements, trésorerie, reporting financier, etc.</w:t>
      </w:r>
    </w:p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