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Scalable Gaussian-Splatting Representation and Real-Time Navigation of Large-Scale Volumetric Electron Microscopy</w:t>
      </w:r>
    </w:p>
    <w:p>
      <w:pPr>
        <w:jc w:val="center"/>
      </w:pPr>
      <w:r>
        <w:rPr>
          <w:i/>
          <w:sz w:val="22"/>
        </w:rPr>
        <w:t>Draft — Experiments</w:t>
      </w:r>
    </w:p>
    <w:p/>
    <w:p>
      <w:pPr>
        <w:pStyle w:val="Heading1"/>
      </w:pPr>
      <w:r>
        <w:t>4. Experiments</w:t>
      </w:r>
    </w:p>
    <w:p>
      <w:pPr>
        <w:jc w:val="both"/>
      </w:pPr>
      <w:r>
        <w:t>This section reports the experiments run against the pipeline described in Section 3. Tables and figures are left blank below, with a red instruction paragraph beneath each one specifying exactly what it should contain and which existing script or output file it should be populated from, so that the authors can insert the final, verified numbers and plots directly.</w:t>
      </w:r>
    </w:p>
    <w:p>
      <w:pPr>
        <w:pStyle w:val="Heading2"/>
      </w:pPr>
      <w:r>
        <w:t>4.1 Per-Block Reconstruction Fidelity</w:t>
      </w:r>
    </w:p>
    <w:p>
      <w:pPr>
        <w:jc w:val="both"/>
      </w:pPr>
      <w:r>
        <w:t>This experiment establishes whether independent per-block fitting achieves acceptable local reconstruction quality before any cross-block stitching is attempted, and compares the two training budgets described in Section 3.4.</w:t>
      </w:r>
    </w:p>
    <w:p>
      <w:pPr>
        <w:jc w:val="center"/>
      </w:pPr>
      <w:r>
        <w:rPr>
          <w:b/>
          <w:sz w:val="20"/>
        </w:rPr>
        <w:t>Table 1. Per-block volumetric reconstruction quality (vol_PSNR) across the 64 trained blocks, for each training configuration.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fill="D9D9D9"/>
          </w:tcPr>
          <w:p>
            <w:r>
              <w:rPr>
                <w:b/>
              </w:rPr>
              <w:t>Config</w:t>
            </w:r>
          </w:p>
        </w:tc>
        <w:tc>
          <w:tcPr>
            <w:tcW w:type="dxa" w:w="1080"/>
            <w:shd w:val="clear" w:fill="D9D9D9"/>
          </w:tcPr>
          <w:p>
            <w:r>
              <w:rPr>
                <w:b/>
              </w:rPr>
              <w:t>max_gaussians</w:t>
            </w:r>
          </w:p>
        </w:tc>
        <w:tc>
          <w:tcPr>
            <w:tcW w:type="dxa" w:w="1080"/>
            <w:shd w:val="clear" w:fill="D9D9D9"/>
          </w:tcPr>
          <w:p>
            <w:r>
              <w:rPr>
                <w:b/>
              </w:rPr>
              <w:t>epochs</w:t>
            </w:r>
          </w:p>
        </w:tc>
        <w:tc>
          <w:tcPr>
            <w:tcW w:type="dxa" w:w="1080"/>
            <w:shd w:val="clear" w:fill="D9D9D9"/>
          </w:tcPr>
          <w:p>
            <w:r>
              <w:rPr>
                <w:b/>
              </w:rPr>
              <w:t>Mean vol_PSNR (dB)</w:t>
            </w:r>
          </w:p>
        </w:tc>
        <w:tc>
          <w:tcPr>
            <w:tcW w:type="dxa" w:w="1080"/>
            <w:shd w:val="clear" w:fill="D9D9D9"/>
          </w:tcPr>
          <w:p>
            <w:r>
              <w:rPr>
                <w:b/>
              </w:rPr>
              <w:t>Std (dB)</w:t>
            </w:r>
          </w:p>
        </w:tc>
        <w:tc>
          <w:tcPr>
            <w:tcW w:type="dxa" w:w="1080"/>
            <w:shd w:val="clear" w:fill="D9D9D9"/>
          </w:tcPr>
          <w:p>
            <w:r>
              <w:rPr>
                <w:b/>
              </w:rPr>
              <w:t>Min (dB)</w:t>
            </w:r>
          </w:p>
        </w:tc>
        <w:tc>
          <w:tcPr>
            <w:tcW w:type="dxa" w:w="1080"/>
            <w:shd w:val="clear" w:fill="D9D9D9"/>
          </w:tcPr>
          <w:p>
            <w:r>
              <w:rPr>
                <w:b/>
              </w:rPr>
              <w:t>Max (dB)</w:t>
            </w:r>
          </w:p>
        </w:tc>
        <w:tc>
          <w:tcPr>
            <w:tcW w:type="dxa" w:w="1080"/>
            <w:shd w:val="clear" w:fill="D9D9D9"/>
          </w:tcPr>
          <w:p>
            <w:r>
              <w:rPr>
                <w:b/>
              </w:rPr>
              <w:t>Mean time/block</w:t>
            </w:r>
          </w:p>
        </w:tc>
      </w:tr>
      <w:tr>
        <w:tc>
          <w:tcPr>
            <w:tcW w:type="dxa" w:w="1080"/>
          </w:tcPr>
          <w:p>
            <w:r>
              <w:t>v1</w:t>
            </w:r>
          </w:p>
        </w:tc>
        <w:tc>
          <w:tcPr>
            <w:tcW w:type="dxa" w:w="1080"/>
          </w:tcPr>
          <w:p>
            <w:r>
              <w:t>5000</w:t>
            </w:r>
          </w:p>
        </w:tc>
        <w:tc>
          <w:tcPr>
            <w:tcW w:type="dxa" w:w="1080"/>
          </w:tcPr>
          <w:p>
            <w:r>
              <w:t>200</w:t>
            </w:r>
          </w:p>
        </w:tc>
        <w:tc>
          <w:tcPr>
            <w:tcW w:type="dxa" w:w="1080"/>
          </w:tcPr>
          <w:p>
            <w:r>
              <w:t>20.13</w:t>
            </w:r>
          </w:p>
        </w:tc>
        <w:tc>
          <w:tcPr>
            <w:tcW w:type="dxa" w:w="1080"/>
          </w:tcPr>
          <w:p>
            <w:r>
              <w:t>0.74</w:t>
            </w:r>
          </w:p>
        </w:tc>
        <w:tc>
          <w:tcPr>
            <w:tcW w:type="dxa" w:w="1080"/>
          </w:tcPr>
          <w:p>
            <w:r>
              <w:t>18.34</w:t>
            </w:r>
          </w:p>
        </w:tc>
        <w:tc>
          <w:tcPr>
            <w:tcW w:type="dxa" w:w="1080"/>
          </w:tcPr>
          <w:p>
            <w:r>
              <w:t>21.37</w:t>
            </w:r>
          </w:p>
        </w:tc>
        <w:tc>
          <w:tcPr>
            <w:tcW w:type="dxa" w:w="1080"/>
          </w:tcPr>
          <w:p>
            <w:r>
              <w:t>~8.5 min (approx.)</w:t>
            </w:r>
          </w:p>
        </w:tc>
      </w:tr>
      <w:tr>
        <w:tc>
          <w:tcPr>
            <w:tcW w:type="dxa" w:w="1080"/>
          </w:tcPr>
          <w:p>
            <w:r>
              <w:t>v2</w:t>
            </w:r>
          </w:p>
        </w:tc>
        <w:tc>
          <w:tcPr>
            <w:tcW w:type="dxa" w:w="1080"/>
          </w:tcPr>
          <w:p>
            <w:r>
              <w:t>50000</w:t>
            </w:r>
          </w:p>
        </w:tc>
        <w:tc>
          <w:tcPr>
            <w:tcW w:type="dxa" w:w="1080"/>
          </w:tcPr>
          <w:p>
            <w:r>
              <w:t>500</w:t>
            </w:r>
          </w:p>
        </w:tc>
        <w:tc>
          <w:tcPr>
            <w:tcW w:type="dxa" w:w="1080"/>
          </w:tcPr>
          <w:p>
            <w:r>
              <w:t>39.35</w:t>
            </w:r>
          </w:p>
        </w:tc>
        <w:tc>
          <w:tcPr>
            <w:tcW w:type="dxa" w:w="1080"/>
          </w:tcPr>
          <w:p>
            <w:r>
              <w:t>0.50</w:t>
            </w:r>
          </w:p>
        </w:tc>
        <w:tc>
          <w:tcPr>
            <w:tcW w:type="dxa" w:w="1080"/>
          </w:tcPr>
          <w:p>
            <w:r>
              <w:t>38.23</w:t>
            </w:r>
          </w:p>
        </w:tc>
        <w:tc>
          <w:tcPr>
            <w:tcW w:type="dxa" w:w="1080"/>
          </w:tcPr>
          <w:p>
            <w:r>
              <w:t>40.47</w:t>
            </w:r>
          </w:p>
        </w:tc>
        <w:tc>
          <w:tcPr>
            <w:tcW w:type="dxa" w:w="1080"/>
          </w:tcPr>
          <w:p>
            <w:r>
              <w:t>83.6 min</w:t>
            </w:r>
          </w:p>
        </w:tc>
      </w:tr>
      <w:tr>
        <w:tc>
          <w:tcPr>
            <w:tcW w:type="dxa" w:w="1080"/>
          </w:tcPr>
          <w:p>
            <w:r>
              <w:t>v3</w:t>
            </w:r>
          </w:p>
        </w:tc>
        <w:tc>
          <w:tcPr>
            <w:tcW w:type="dxa" w:w="1080"/>
          </w:tcPr>
          <w:p>
            <w:r>
              <w:t>20000</w:t>
            </w:r>
          </w:p>
        </w:tc>
        <w:tc>
          <w:tcPr>
            <w:tcW w:type="dxa" w:w="1080"/>
          </w:tcPr>
          <w:p>
            <w:r>
              <w:t>500</w:t>
            </w:r>
          </w:p>
        </w:tc>
        <w:tc>
          <w:tcPr>
            <w:tcW w:type="dxa" w:w="1080"/>
          </w:tcPr>
          <w:p>
            <w:r>
              <w:t>33.57</w:t>
            </w:r>
          </w:p>
        </w:tc>
        <w:tc>
          <w:tcPr>
            <w:tcW w:type="dxa" w:w="1080"/>
          </w:tcPr>
          <w:p>
            <w:r>
              <w:t>0.44</w:t>
            </w:r>
          </w:p>
        </w:tc>
        <w:tc>
          <w:tcPr>
            <w:tcW w:type="dxa" w:w="1080"/>
          </w:tcPr>
          <w:p>
            <w:r>
              <w:t>32.41</w:t>
            </w:r>
          </w:p>
        </w:tc>
        <w:tc>
          <w:tcPr>
            <w:tcW w:type="dxa" w:w="1080"/>
          </w:tcPr>
          <w:p>
            <w:r>
              <w:t>34.86</w:t>
            </w:r>
          </w:p>
        </w:tc>
        <w:tc>
          <w:tcPr>
            <w:tcW w:type="dxa" w:w="1080"/>
          </w:tcPr>
          <w:p>
            <w:r>
              <w:t>46.8 min</w:t>
            </w:r>
          </w:p>
        </w:tc>
      </w:tr>
    </w:tbl>
    <w:p/>
    <w:p>
      <w:pPr>
        <w:spacing w:after="280"/>
        <w:jc w:val="both"/>
      </w:pPr>
      <w:r>
        <w:rPr>
          <w:b/>
          <w:i/>
          <w:color w:val="C00000"/>
        </w:rPr>
        <w:t xml:space="preserve">TO FILL IN: </w:t>
      </w:r>
      <w:r>
        <w:rPr>
          <w:i/>
          <w:color w:val="C00000"/>
        </w:rPr>
        <w:t>populate one row per configuration (v1: config.yml, v2: config_v2.yml) by parsing the ★ new best vol_PSNR lines from each block's models/blocks*/b_*/train.log (already done once earlier in this session — v1 gave mean 20.13 dB / std 0.74, v2 gave mean 39.35 dB / std 0.50 — re-verify and insert current numbers directly from the logs rather than copying those, in case blocks were re-run since).</w:t>
      </w:r>
    </w:p>
    <w:tbl>
      <w:tblPr>
        <w:tblW w:type="auto" w:w="0"/>
        <w:jc w:val="center"/>
        <w:tblLook w:firstColumn="1" w:firstRow="1" w:lastColumn="0" w:lastRow="0" w:noHBand="0" w:noVBand="1" w:val="04A0"/>
      </w:tblPr>
      <w:tblGrid>
        <w:gridCol w:w="8640"/>
      </w:tblGrid>
      <w:tr>
        <w:tc>
          <w:tcPr>
            <w:tcW w:type="dxa" w:w="8640"/>
            <w:shd w:val="clear" w:fill="F2F2F2"/>
          </w:tcPr>
          <w:p>
            <w:pPr>
              <w:jc w:val="center"/>
            </w:pPr>
            <w:r>
              <w:rPr>
                <w:i/>
                <w:color w:val="808080"/>
              </w:rPr>
              <w:t>[ insert figure here ]</w:t>
            </w:r>
          </w:p>
          <w:p/>
          <w:p/>
          <w:p/>
        </w:tc>
      </w:tr>
    </w:tbl>
    <w:p>
      <w:pPr>
        <w:jc w:val="center"/>
      </w:pPr>
      <w:r>
        <w:rPr>
          <w:b/>
          <w:sz w:val="20"/>
        </w:rPr>
        <w:t>Figure 1. Ground-truth vs. reconstructed middle-slice comparison for one representative block, at both training budgets.</w:t>
      </w:r>
    </w:p>
    <w:p/>
    <w:p>
      <w:pPr>
        <w:spacing w:after="280"/>
        <w:jc w:val="both"/>
      </w:pPr>
      <w:r>
        <w:rPr>
          <w:b/>
          <w:i/>
          <w:color w:val="C00000"/>
        </w:rPr>
        <w:t xml:space="preserve">TO FILL IN: </w:t>
      </w:r>
      <w:r>
        <w:rPr>
          <w:i/>
          <w:color w:val="C00000"/>
        </w:rPr>
        <w:t>use the slices_epNNNN.png visualisation already saved automatically at the final epoch inside each block's output directory (models/blocks/b_000/ for v1, models/blocks_v2/b_000/ for v2, or any other representative block), which already shows GT / Prediction / |Diff| for the XY, XZ and YZ mid-planes — crop or combine the two configurations' images side by side.</w:t>
      </w:r>
    </w:p>
    <w:p>
      <w:pPr>
        <w:pStyle w:val="Heading2"/>
      </w:pPr>
      <w:r>
        <w:t>4.2 Cross-Block Stitching Artefact Characterisation</w:t>
      </w:r>
    </w:p>
    <w:p>
      <w:pPr>
        <w:jc w:val="both"/>
      </w:pPr>
      <w:r>
        <w:t>This experiment quantifies the cross-block contamination that arises when independently-trained blocks are combined by the naive additive stitching procedure of Section 3.5, motivating the need for either a higher per-block training budget or a normalised compositing scheme.</w:t>
      </w:r>
    </w:p>
    <w:p>
      <w:pPr>
        <w:jc w:val="center"/>
      </w:pPr>
      <w:r>
        <w:rPr>
          <w:b/>
          <w:sz w:val="20"/>
        </w:rPr>
        <w:t>Table 2. Distribution of per-Gaussian scale in the stitched representation, by scale threshold, for the raw (unfiltered) stitched set.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D9D9"/>
          </w:tcPr>
          <w:p>
            <w:r>
              <w:rPr>
                <w:b/>
              </w:rPr>
              <w:t>Scale threshold (global units)</w:t>
            </w:r>
          </w:p>
        </w:tc>
        <w:tc>
          <w:tcPr>
            <w:tcW w:type="dxa" w:w="2880"/>
            <w:shd w:val="clear" w:fill="D9D9D9"/>
          </w:tcPr>
          <w:p>
            <w:r>
              <w:rPr>
                <w:b/>
              </w:rPr>
              <w:t>Gaussians above threshold</w:t>
            </w:r>
          </w:p>
        </w:tc>
        <w:tc>
          <w:tcPr>
            <w:tcW w:type="dxa" w:w="2880"/>
            <w:shd w:val="clear" w:fill="D9D9D9"/>
          </w:tcPr>
          <w:p>
            <w:r>
              <w:rPr>
                <w:b/>
              </w:rPr>
              <w:t>% of total population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bl>
    <w:p/>
    <w:p>
      <w:pPr>
        <w:spacing w:after="280"/>
        <w:jc w:val="both"/>
      </w:pPr>
      <w:r>
        <w:rPr>
          <w:b/>
          <w:i/>
          <w:color w:val="C00000"/>
        </w:rPr>
        <w:t xml:space="preserve">TO FILL IN: </w:t>
      </w:r>
      <w:r>
        <w:rPr>
          <w:i/>
          <w:color w:val="C00000"/>
        </w:rPr>
        <w:t>recompute this sweep on whichever stitched checkpoint is current (models/stitched_256_last.pth or its v2 equivalent) using the same scale-threshold sweep performed earlier in this session (thresholds 0.3 / 0.15 / 0.1 / 0.05 / 0.03 were used previously, giving 580 / 3,968 / 12,871 / 73,057 / 176,839 Gaussians respectively out of 320,000 — re-verify against the current checkpoint rather than reusing these numbers, since v2's higher-budget retrain may change them substantially).</w:t>
      </w:r>
    </w:p>
    <w:tbl>
      <w:tblPr>
        <w:tblW w:type="auto" w:w="0"/>
        <w:jc w:val="center"/>
        <w:tblLook w:firstColumn="1" w:firstRow="1" w:lastColumn="0" w:lastRow="0" w:noHBand="0" w:noVBand="1" w:val="04A0"/>
      </w:tblPr>
      <w:tblGrid>
        <w:gridCol w:w="8640"/>
      </w:tblGrid>
      <w:tr>
        <w:tc>
          <w:tcPr>
            <w:tcW w:type="dxa" w:w="8640"/>
            <w:shd w:val="clear" w:fill="F2F2F2"/>
          </w:tcPr>
          <w:p>
            <w:pPr>
              <w:jc w:val="center"/>
            </w:pPr>
            <w:r>
              <w:rPr>
                <w:i/>
                <w:color w:val="808080"/>
              </w:rPr>
              <w:t>[ insert figure here ]</w:t>
            </w:r>
          </w:p>
          <w:p/>
          <w:p/>
          <w:p/>
        </w:tc>
      </w:tr>
    </w:tbl>
    <w:p>
      <w:pPr>
        <w:jc w:val="center"/>
      </w:pPr>
      <w:r>
        <w:rPr>
          <w:b/>
          <w:sz w:val="20"/>
        </w:rPr>
        <w:t>Figure 2. Stitched-reconstruction MIP renders at the six fixed camera views (yaw 0°/90°/180°/270° at pitch 0°, plus yaw 0° at pitch ±45°), before and after scale filtering.</w:t>
      </w:r>
    </w:p>
    <w:p/>
    <w:p>
      <w:pPr>
        <w:spacing w:after="280"/>
        <w:jc w:val="both"/>
      </w:pPr>
      <w:r>
        <w:rPr>
          <w:b/>
          <w:i/>
          <w:color w:val="C00000"/>
        </w:rPr>
        <w:t xml:space="preserve">TO FILL IN: </w:t>
      </w:r>
      <w:r>
        <w:rPr>
          <w:i/>
          <w:color w:val="C00000"/>
        </w:rPr>
        <w:t>regenerate the six-view renders via scripts/render_scripts/DVR/Mip_Render_Inside_Volume in pretrained_gaussian mode against the current stitched checkpoint (export first via export_renderer_bin.py), convert to PNG with pfm_to_png.py, and arrange as a 2 (raw/filtered) × 6 (views) grid; the point of this figure is to show whether the near-constant MIP floor found with the v1 checkpoint (~5.8 across all six very different viewing angles) is still present, reduced, or gone with the current checkpoint.</w:t>
      </w:r>
    </w:p>
    <w:p>
      <w:pPr>
        <w:pStyle w:val="Heading2"/>
      </w:pPr>
      <w:r>
        <w:t>4.3 Reconstruction Quality: Dense Ground Truth vs. Stitched Gaussian Representation</w:t>
      </w:r>
    </w:p>
    <w:p>
      <w:pPr>
        <w:jc w:val="both"/>
      </w:pPr>
      <w:r>
        <w:t>This experiment measures how closely the stitched Gaussian reconstruction matches the dense ground-truth volume, at both the volumetric level and the rendered-MIP level, using the metrics defined in Section 3.9.</w:t>
      </w:r>
    </w:p>
    <w:p>
      <w:pPr>
        <w:jc w:val="center"/>
      </w:pPr>
      <w:r>
        <w:rPr>
          <w:b/>
          <w:sz w:val="20"/>
        </w:rPr>
        <w:t>Table 3. MIP-level reconstruction quality (dense ground truth vs. stitched Gaussian reconstruction), averaged across the six fixed camera views.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D9D9"/>
          </w:tcPr>
          <w:p>
            <w:r>
              <w:rPr>
                <w:b/>
              </w:rPr>
              <w:t>Variant</w:t>
            </w:r>
          </w:p>
        </w:tc>
        <w:tc>
          <w:tcPr>
            <w:tcW w:type="dxa" w:w="2160"/>
            <w:shd w:val="clear" w:fill="D9D9D9"/>
          </w:tcPr>
          <w:p>
            <w:r>
              <w:rPr>
                <w:b/>
              </w:rPr>
              <w:t>PSNR (dB)</w:t>
            </w:r>
          </w:p>
        </w:tc>
        <w:tc>
          <w:tcPr>
            <w:tcW w:type="dxa" w:w="2160"/>
            <w:shd w:val="clear" w:fill="D9D9D9"/>
          </w:tcPr>
          <w:p>
            <w:r>
              <w:rPr>
                <w:b/>
              </w:rPr>
              <w:t>SSIM</w:t>
            </w:r>
          </w:p>
        </w:tc>
        <w:tc>
          <w:tcPr>
            <w:tcW w:type="dxa" w:w="2160"/>
            <w:shd w:val="clear" w:fill="D9D9D9"/>
          </w:tcPr>
          <w:p>
            <w:r>
              <w:rPr>
                <w:b/>
              </w:rPr>
              <w:t>MAE</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bl>
    <w:p/>
    <w:p>
      <w:pPr>
        <w:spacing w:after="280"/>
        <w:jc w:val="both"/>
      </w:pPr>
      <w:r>
        <w:rPr>
          <w:b/>
          <w:i/>
          <w:color w:val="C00000"/>
        </w:rPr>
        <w:t xml:space="preserve">TO FILL IN: </w:t>
      </w:r>
      <w:r>
        <w:rPr>
          <w:i/>
          <w:color w:val="C00000"/>
        </w:rPr>
        <w:t>run compute_mip_metrics.py (or the equivalent aggregate script used earlier in this session) between each dense-GT view render and the matching stitched-Gaussian view render, after independently 1st/99th-percentile normalising both images per Section 3.9, for both the raw and scale-filtered stitched variants; report mean ± std across the six views, and also insert the corresponding per-block volumetric vol_PSNR figure from Table 1 alongside it for direct comparison, since the gap between the two is itself a key finding to discuss.</w:t>
      </w:r>
    </w:p>
    <w:tbl>
      <w:tblPr>
        <w:tblW w:type="auto" w:w="0"/>
        <w:jc w:val="center"/>
        <w:tblLook w:firstColumn="1" w:firstRow="1" w:lastColumn="0" w:lastRow="0" w:noHBand="0" w:noVBand="1" w:val="04A0"/>
      </w:tblPr>
      <w:tblGrid>
        <w:gridCol w:w="8640"/>
      </w:tblGrid>
      <w:tr>
        <w:tc>
          <w:tcPr>
            <w:tcW w:type="dxa" w:w="8640"/>
            <w:shd w:val="clear" w:fill="F2F2F2"/>
          </w:tcPr>
          <w:p>
            <w:pPr>
              <w:jc w:val="center"/>
            </w:pPr>
            <w:r>
              <w:rPr>
                <w:i/>
                <w:color w:val="808080"/>
              </w:rPr>
              <w:t>[ insert figure here ]</w:t>
            </w:r>
          </w:p>
          <w:p/>
          <w:p/>
          <w:p/>
        </w:tc>
      </w:tr>
    </w:tbl>
    <w:p>
      <w:pPr>
        <w:jc w:val="center"/>
      </w:pPr>
      <w:r>
        <w:rPr>
          <w:b/>
          <w:sz w:val="20"/>
        </w:rPr>
        <w:t>Figure 3. Side-by-side visual comparison of the dense ground-truth MIP render, the raw stitched-Gaussian MIP render, and the scale-filtered stitched-Gaussian MIP render, at one representative camera view.</w:t>
      </w:r>
    </w:p>
    <w:p/>
    <w:p>
      <w:pPr>
        <w:spacing w:after="280"/>
        <w:jc w:val="both"/>
      </w:pPr>
      <w:r>
        <w:rPr>
          <w:b/>
          <w:i/>
          <w:color w:val="C00000"/>
        </w:rPr>
        <w:t xml:space="preserve">TO FILL IN: </w:t>
      </w:r>
      <w:r>
        <w:rPr>
          <w:i/>
          <w:color w:val="C00000"/>
        </w:rPr>
        <w:t>use the same percentile-stretched PNG conversion approach used earlier in this session for visual sanity-checking (pfm_to_png.py with --percentile-low 1 --percentile-high 99), not the raw aligned [0,1] range, since the point of this figure is qualitative structural comparison, not the quantitative units-aligned comparison already reported in Table 3.</w:t>
      </w:r>
    </w:p>
    <w:p>
      <w:pPr>
        <w:pStyle w:val="Heading2"/>
      </w:pPr>
      <w:r>
        <w:t>4.4 Gaussian Payload vs. Rendering Throughput and Memory</w:t>
      </w:r>
    </w:p>
    <w:p>
      <w:pPr>
        <w:jc w:val="both"/>
      </w:pPr>
      <w:r>
        <w:t>This experiment measures how rendering throughput and memory footprint scale with the number of active Gaussians in the stitched representation, using the nested-subset payload sweep described in Section 3.8.</w:t>
      </w:r>
    </w:p>
    <w:p>
      <w:pPr>
        <w:jc w:val="center"/>
      </w:pPr>
      <w:r>
        <w:rPr>
          <w:b/>
          <w:sz w:val="20"/>
        </w:rPr>
        <w:t>Table 4. Gaussian rendering throughput and memory footprint as a function of active payload.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D9D9D9"/>
          </w:tcPr>
          <w:p>
            <w:r>
              <w:rPr>
                <w:b/>
              </w:rPr>
              <w:t>Retention</w:t>
            </w:r>
          </w:p>
        </w:tc>
        <w:tc>
          <w:tcPr>
            <w:tcW w:type="dxa" w:w="1728"/>
            <w:shd w:val="clear" w:fill="D9D9D9"/>
          </w:tcPr>
          <w:p>
            <w:r>
              <w:rPr>
                <w:b/>
              </w:rPr>
              <w:t>Active Gaussians</w:t>
            </w:r>
          </w:p>
        </w:tc>
        <w:tc>
          <w:tcPr>
            <w:tcW w:type="dxa" w:w="1728"/>
            <w:shd w:val="clear" w:fill="D9D9D9"/>
          </w:tcPr>
          <w:p>
            <w:r>
              <w:rPr>
                <w:b/>
              </w:rPr>
              <w:t>Memory (MiB)</w:t>
            </w:r>
          </w:p>
        </w:tc>
        <w:tc>
          <w:tcPr>
            <w:tcW w:type="dxa" w:w="1728"/>
            <w:shd w:val="clear" w:fill="D9D9D9"/>
          </w:tcPr>
          <w:p>
            <w:r>
              <w:rPr>
                <w:b/>
              </w:rPr>
              <w:t>Memory / GPU memory (%)</w:t>
            </w:r>
          </w:p>
        </w:tc>
        <w:tc>
          <w:tcPr>
            <w:tcW w:type="dxa" w:w="1728"/>
            <w:shd w:val="clear" w:fill="D9D9D9"/>
          </w:tcPr>
          <w:p>
            <w:r>
              <w:rPr>
                <w:b/>
              </w:rPr>
              <w:t>Median FPS</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p/>
    <w:p>
      <w:pPr>
        <w:spacing w:after="280"/>
        <w:jc w:val="both"/>
      </w:pPr>
      <w:r>
        <w:rPr>
          <w:b/>
          <w:i/>
          <w:color w:val="C00000"/>
        </w:rPr>
        <w:t xml:space="preserve">TO FILL IN: </w:t>
      </w:r>
      <w:r>
        <w:rPr>
          <w:i/>
          <w:color w:val="C00000"/>
        </w:rPr>
        <w:t>re-run the gaussian_mip_rq1_auto_shuffled sweep (scripts/render_scripts/RQ1/) against the current stitched checkpoint and populate one row per retention ratio (10/20/30/40/50/60/75/100%) directly from its output CSV; do not reuse the v1-checkpoint numbers from earlier in this session, since this should reflect whichever checkpoint Table 3 uses.</w:t>
      </w:r>
    </w:p>
    <w:tbl>
      <w:tblPr>
        <w:tblW w:type="auto" w:w="0"/>
        <w:jc w:val="center"/>
        <w:tblLook w:firstColumn="1" w:firstRow="1" w:lastColumn="0" w:lastRow="0" w:noHBand="0" w:noVBand="1" w:val="04A0"/>
      </w:tblPr>
      <w:tblGrid>
        <w:gridCol w:w="8640"/>
      </w:tblGrid>
      <w:tr>
        <w:tc>
          <w:tcPr>
            <w:tcW w:type="dxa" w:w="8640"/>
            <w:shd w:val="clear" w:fill="F2F2F2"/>
          </w:tcPr>
          <w:p>
            <w:pPr>
              <w:jc w:val="center"/>
            </w:pPr>
            <w:r>
              <w:rPr>
                <w:i/>
                <w:color w:val="808080"/>
              </w:rPr>
              <w:t>[ insert figure here ]</w:t>
            </w:r>
          </w:p>
          <w:p/>
          <w:p/>
          <w:p/>
        </w:tc>
      </w:tr>
    </w:tbl>
    <w:p>
      <w:pPr>
        <w:jc w:val="center"/>
      </w:pPr>
      <w:r>
        <w:rPr>
          <w:b/>
          <w:sz w:val="20"/>
        </w:rPr>
        <w:t>Figure 4. Gaussian rendering FPS vs. active-payload memory footprint (log–log).</w:t>
      </w:r>
    </w:p>
    <w:p/>
    <w:p>
      <w:pPr>
        <w:spacing w:after="280"/>
        <w:jc w:val="both"/>
      </w:pPr>
      <w:r>
        <w:rPr>
          <w:b/>
          <w:i/>
          <w:color w:val="C00000"/>
        </w:rPr>
        <w:t xml:space="preserve">TO FILL IN: </w:t>
      </w:r>
      <w:r>
        <w:rPr>
          <w:i/>
          <w:color w:val="C00000"/>
        </w:rPr>
        <w:t>plot Table 4 directly, log–log axes, one point per retention ratio; this is the Gaussian-only half of the combined Figure 6 below and can reuse the same plotting script.</w:t>
      </w:r>
    </w:p>
    <w:p>
      <w:pPr>
        <w:pStyle w:val="Heading2"/>
      </w:pPr>
      <w:r>
        <w:t>4.5 Dense-Resident Rendering: FPS vs. Volume Memory Footprint</w:t>
      </w:r>
    </w:p>
    <w:p>
      <w:pPr>
        <w:jc w:val="both"/>
      </w:pPr>
      <w:r>
        <w:t>This experiment measures dense-resident rendering throughput as a function of volume size and memory footprint, independent of any Gaussian representation, at the three assembled volume sizes.</w:t>
      </w:r>
    </w:p>
    <w:p>
      <w:pPr>
        <w:jc w:val="center"/>
      </w:pPr>
      <w:r>
        <w:rPr>
          <w:b/>
          <w:sz w:val="20"/>
        </w:rPr>
        <w:t>Table 5. Dense-resident rendering throughput and memory footprint by volume size.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D9D9"/>
          </w:tcPr>
          <w:p>
            <w:r>
              <w:rPr>
                <w:b/>
              </w:rPr>
              <w:t>Volume size</w:t>
            </w:r>
          </w:p>
        </w:tc>
        <w:tc>
          <w:tcPr>
            <w:tcW w:type="dxa" w:w="2160"/>
            <w:shd w:val="clear" w:fill="D9D9D9"/>
          </w:tcPr>
          <w:p>
            <w:r>
              <w:rPr>
                <w:b/>
              </w:rPr>
              <w:t>Memory (MiB)</w:t>
            </w:r>
          </w:p>
        </w:tc>
        <w:tc>
          <w:tcPr>
            <w:tcW w:type="dxa" w:w="2160"/>
            <w:shd w:val="clear" w:fill="D9D9D9"/>
          </w:tcPr>
          <w:p>
            <w:r>
              <w:rPr>
                <w:b/>
              </w:rPr>
              <w:t>Memory / GPU memory (%)</w:t>
            </w:r>
          </w:p>
        </w:tc>
        <w:tc>
          <w:tcPr>
            <w:tcW w:type="dxa" w:w="2160"/>
            <w:shd w:val="clear" w:fill="D9D9D9"/>
          </w:tcPr>
          <w:p>
            <w:r>
              <w:rPr>
                <w:b/>
              </w:rPr>
              <w:t>Median FPS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bl>
    <w:p/>
    <w:p>
      <w:pPr>
        <w:spacing w:after="280"/>
        <w:jc w:val="both"/>
      </w:pPr>
      <w:r>
        <w:rPr>
          <w:b/>
          <w:i/>
          <w:color w:val="C00000"/>
        </w:rPr>
        <w:t xml:space="preserve">TO FILL IN: </w:t>
      </w:r>
      <w:r>
        <w:rPr>
          <w:i/>
          <w:color w:val="C00000"/>
        </w:rPr>
        <w:t>populate from dense_fps_vs_memory.csv (fafb_pilot/results/), one row per volume size (256³ / 512³ / 1024³); re-verify the FPS figures were measured at the same resolution and depth-sample count as Table 4 before comparing the two (128×128, 64 depth samples was used previously specifically so the two tables would be directly comparable in Figure 6).</w:t>
      </w:r>
    </w:p>
    <w:tbl>
      <w:tblPr>
        <w:tblW w:type="auto" w:w="0"/>
        <w:jc w:val="center"/>
        <w:tblLook w:firstColumn="1" w:firstRow="1" w:lastColumn="0" w:lastRow="0" w:noHBand="0" w:noVBand="1" w:val="04A0"/>
      </w:tblPr>
      <w:tblGrid>
        <w:gridCol w:w="8640"/>
      </w:tblGrid>
      <w:tr>
        <w:tc>
          <w:tcPr>
            <w:tcW w:type="dxa" w:w="8640"/>
            <w:shd w:val="clear" w:fill="F2F2F2"/>
          </w:tcPr>
          <w:p>
            <w:pPr>
              <w:jc w:val="center"/>
            </w:pPr>
            <w:r>
              <w:rPr>
                <w:i/>
                <w:color w:val="808080"/>
              </w:rPr>
              <w:t>[ insert figure here ]</w:t>
            </w:r>
          </w:p>
          <w:p/>
          <w:p/>
          <w:p/>
        </w:tc>
      </w:tr>
    </w:tbl>
    <w:p>
      <w:pPr>
        <w:jc w:val="center"/>
      </w:pPr>
      <w:r>
        <w:rPr>
          <w:b/>
          <w:sz w:val="20"/>
        </w:rPr>
        <w:t>Figure 5. Dense-resident rendering FPS vs. volume memory footprint (log–log).</w:t>
      </w:r>
    </w:p>
    <w:p/>
    <w:p>
      <w:pPr>
        <w:spacing w:after="280"/>
        <w:jc w:val="both"/>
      </w:pPr>
      <w:r>
        <w:rPr>
          <w:b/>
          <w:i/>
          <w:color w:val="C00000"/>
        </w:rPr>
        <w:t xml:space="preserve">TO FILL IN: </w:t>
      </w:r>
      <w:r>
        <w:rPr>
          <w:i/>
          <w:color w:val="C00000"/>
        </w:rPr>
        <w:t>plot Table 5 directly, log–log axes, one point per volume size, labelled 256³/512³/1024³; note in the discussion whether FPS degrades in proportion to memory or faster, since the earlier v1 measurement found a 22× FPS drop from 256³ to 1024³ despite never exceeding 12.5% GPU memory utilisation — re-verify this is still the case.</w:t>
      </w:r>
    </w:p>
    <w:p>
      <w:pPr>
        <w:pStyle w:val="Heading2"/>
      </w:pPr>
      <w:r>
        <w:t>4.6 Combined FPS vs. Representation Memory Footprint</w:t>
      </w:r>
    </w:p>
    <w:p>
      <w:pPr>
        <w:jc w:val="both"/>
      </w:pPr>
      <w:r>
        <w:t>This is the central comparison of the paper: rendering throughput as a function of memory footprint relative to GPU capacity, for both representations on the same axes, directly instantiating the general metric motivating this work.</w:t>
      </w:r>
    </w:p>
    <w:tbl>
      <w:tblPr>
        <w:tblW w:type="auto" w:w="0"/>
        <w:jc w:val="center"/>
        <w:tblLook w:firstColumn="1" w:firstRow="1" w:lastColumn="0" w:lastRow="0" w:noHBand="0" w:noVBand="1" w:val="04A0"/>
      </w:tblPr>
      <w:tblGrid>
        <w:gridCol w:w="8640"/>
      </w:tblGrid>
      <w:tr>
        <w:tc>
          <w:tcPr>
            <w:tcW w:type="dxa" w:w="8640"/>
            <w:shd w:val="clear" w:fill="F2F2F2"/>
          </w:tcPr>
          <w:p>
            <w:pPr>
              <w:jc w:val="center"/>
            </w:pPr>
            <w:r>
              <w:rPr>
                <w:i/>
                <w:color w:val="808080"/>
              </w:rPr>
              <w:t>[ insert figure here ]</w:t>
            </w:r>
          </w:p>
          <w:p/>
          <w:p/>
          <w:p/>
        </w:tc>
      </w:tr>
    </w:tbl>
    <w:p>
      <w:pPr>
        <w:jc w:val="center"/>
      </w:pPr>
      <w:r>
        <w:rPr>
          <w:b/>
          <w:sz w:val="20"/>
        </w:rPr>
        <w:t>Figure 6. Rendering FPS vs. representation memory / GPU memory (log–log), dense-resident and Gaussian-splatting representations plotted together.</w:t>
      </w:r>
    </w:p>
    <w:p/>
    <w:p>
      <w:pPr>
        <w:spacing w:after="280"/>
        <w:jc w:val="both"/>
      </w:pPr>
      <w:r>
        <w:rPr>
          <w:b/>
          <w:i/>
          <w:color w:val="C00000"/>
        </w:rPr>
        <w:t xml:space="preserve">TO FILL IN: </w:t>
      </w:r>
      <w:r>
        <w:rPr>
          <w:i/>
          <w:color w:val="C00000"/>
        </w:rPr>
        <w:t>combine Tables 4 and 5 (or Figures 4 and 5) onto one pair of log–log axes, one series per representation, using two colours from a fixed, validated categorical palette (do not reuse hue for rank); label the dense series' three points by volume size and the Gaussian series' endpoints by active Gaussian count; place the legend in empty plot space rather than over any data; this figure was already produced once earlier in this session (results/figures/fps_vs_memory_ratio.png) and can be regenerated with the same script once Tables 4–5 are confirmed current — the key thing to check when redoing it is whether the roughly 4–5-order-of-magnitude FPS gap between the two series (found previously) still holds, since that is the paper's central empirical claim.</w:t>
      </w:r>
    </w:p>
    <w:p>
      <w:pPr>
        <w:pStyle w:val="Heading2"/>
      </w:pPr>
      <w:r>
        <w:t>4.7 Moving-Cube Navigation Benchmark (Proposed)</w:t>
      </w:r>
    </w:p>
    <w:p>
      <w:pPr>
        <w:jc w:val="both"/>
      </w:pPr>
      <w:r>
        <w:t>This experiment evaluates the moving-cube navigation scheme proposed in Section 3.7, measuring throughput and memory as a function of cube size and camera position, for cube sizes with genuine room to move within the currently trained region.</w:t>
      </w:r>
    </w:p>
    <w:p>
      <w:pPr>
        <w:jc w:val="center"/>
      </w:pPr>
      <w:r>
        <w:rPr>
          <w:b/>
          <w:sz w:val="20"/>
        </w:rPr>
        <w:t>Table 6. Moving-cube rendering throughput and memory footprint, by cube size and camera position, for both representations.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D9D9D9"/>
          </w:tcPr>
          <w:p>
            <w:r>
              <w:rPr>
                <w:b/>
              </w:rPr>
              <w:t>Cube size</w:t>
            </w:r>
          </w:p>
        </w:tc>
        <w:tc>
          <w:tcPr>
            <w:tcW w:type="dxa" w:w="1440"/>
            <w:shd w:val="clear" w:fill="D9D9D9"/>
          </w:tcPr>
          <w:p>
            <w:r>
              <w:rPr>
                <w:b/>
              </w:rPr>
              <w:t>Position ID</w:t>
            </w:r>
          </w:p>
        </w:tc>
        <w:tc>
          <w:tcPr>
            <w:tcW w:type="dxa" w:w="1440"/>
            <w:shd w:val="clear" w:fill="D9D9D9"/>
          </w:tcPr>
          <w:p>
            <w:r>
              <w:rPr>
                <w:b/>
              </w:rPr>
              <w:t>Representation</w:t>
            </w:r>
          </w:p>
        </w:tc>
        <w:tc>
          <w:tcPr>
            <w:tcW w:type="dxa" w:w="1440"/>
            <w:shd w:val="clear" w:fill="D9D9D9"/>
          </w:tcPr>
          <w:p>
            <w:r>
              <w:rPr>
                <w:b/>
              </w:rPr>
              <w:t>Memory (MiB)</w:t>
            </w:r>
          </w:p>
        </w:tc>
        <w:tc>
          <w:tcPr>
            <w:tcW w:type="dxa" w:w="1440"/>
            <w:shd w:val="clear" w:fill="D9D9D9"/>
          </w:tcPr>
          <w:p>
            <w:r>
              <w:rPr>
                <w:b/>
              </w:rPr>
              <w:t>Memory / GPU memory (%)</w:t>
            </w:r>
          </w:p>
        </w:tc>
        <w:tc>
          <w:tcPr>
            <w:tcW w:type="dxa" w:w="1440"/>
            <w:shd w:val="clear" w:fill="D9D9D9"/>
          </w:tcPr>
          <w:p>
            <w:r>
              <w:rPr>
                <w:b/>
              </w:rPr>
              <w:t>FPS</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p>
      <w:pPr>
        <w:spacing w:after="280"/>
        <w:jc w:val="both"/>
      </w:pPr>
      <w:r>
        <w:rPr>
          <w:b/>
          <w:i/>
          <w:color w:val="C00000"/>
        </w:rPr>
        <w:t xml:space="preserve">TO FILL IN: </w:t>
      </w:r>
      <w:r>
        <w:rPr>
          <w:i/>
          <w:color w:val="C00000"/>
        </w:rPr>
        <w:t>this experiment has not yet been run — it requires the windowed Gaussian-gathering and windowed dense-extraction scripts discussed but not yet built (Section 3.7). Once built, populate one row per (cube size, position, representation) combination; valid grid-aligned positions per cube size within the current 4-blocks-per-axis (256³) region are 64 for a 1-block cube, 27 for a 2-block cube, and 1 (i.e. no real movement) for a 4-block cube — a genuine 8-block (512³) cube trial requires training the additional blocks discussed but not yet run.</w:t>
      </w:r>
    </w:p>
    <w:tbl>
      <w:tblPr>
        <w:tblW w:type="auto" w:w="0"/>
        <w:jc w:val="center"/>
        <w:tblLook w:firstColumn="1" w:firstRow="1" w:lastColumn="0" w:lastRow="0" w:noHBand="0" w:noVBand="1" w:val="04A0"/>
      </w:tblPr>
      <w:tblGrid>
        <w:gridCol w:w="8640"/>
      </w:tblGrid>
      <w:tr>
        <w:tc>
          <w:tcPr>
            <w:tcW w:type="dxa" w:w="8640"/>
            <w:shd w:val="clear" w:fill="F2F2F2"/>
          </w:tcPr>
          <w:p>
            <w:pPr>
              <w:jc w:val="center"/>
            </w:pPr>
            <w:r>
              <w:rPr>
                <w:i/>
                <w:color w:val="808080"/>
              </w:rPr>
              <w:t>[ insert figure here ]</w:t>
            </w:r>
          </w:p>
          <w:p/>
          <w:p/>
          <w:p/>
        </w:tc>
      </w:tr>
    </w:tbl>
    <w:p>
      <w:pPr>
        <w:jc w:val="center"/>
      </w:pPr>
      <w:r>
        <w:rPr>
          <w:b/>
          <w:sz w:val="20"/>
        </w:rPr>
        <w:t>Figure 7. FPS vs. representation memory / GPU memory, by cube size, with variance across camera positions.</w:t>
      </w:r>
    </w:p>
    <w:p/>
    <w:p>
      <w:pPr>
        <w:spacing w:after="280"/>
        <w:jc w:val="both"/>
      </w:pPr>
      <w:r>
        <w:rPr>
          <w:b/>
          <w:i/>
          <w:color w:val="C00000"/>
        </w:rPr>
        <w:t xml:space="preserve">TO FILL IN: </w:t>
      </w:r>
      <w:r>
        <w:rPr>
          <w:i/>
          <w:color w:val="C00000"/>
        </w:rPr>
        <w:t>aggregate Table 6 to mean ± std FPS per (cube size, representation) across sampled positions, and plot with error bars on the same log–log axes as Figure 6; this strengthens Figure 6 by showing whether FPS is stable across position for a fixed cube size, or varies enough to be a finding in its own right.</w:t>
      </w:r>
    </w:p>
    <w:p>
      <w:pPr>
        <w:pStyle w:val="Heading2"/>
      </w:pPr>
      <w:r>
        <w:t>4.8 Downstream-Task Validation (Proposed)</w:t>
      </w:r>
    </w:p>
    <w:p>
      <w:pPr>
        <w:jc w:val="both"/>
      </w:pPr>
      <w:r>
        <w:t>This experiment evaluates whether the stitched Gaussian reconstruction preserves the structure needed for a real downstream connectomics task, rather than relying solely on the pixel-level metrics in Section 4.3, following the validation strategy discussed in Section 2.2 for the closest related work.</w:t>
      </w:r>
    </w:p>
    <w:p>
      <w:pPr>
        <w:jc w:val="center"/>
      </w:pPr>
      <w:r>
        <w:rPr>
          <w:b/>
          <w:sz w:val="20"/>
        </w:rPr>
        <w:t>Table 7. Downstream structural-fidelity metric (ground truth vs. stitched Gaussian reconstruction), definition to be finalised.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D9D9"/>
          </w:tcPr>
          <w:p>
            <w:r>
              <w:rPr>
                <w:b/>
              </w:rPr>
              <w:t>Metric</w:t>
            </w:r>
          </w:p>
        </w:tc>
        <w:tc>
          <w:tcPr>
            <w:tcW w:type="dxa" w:w="2160"/>
            <w:shd w:val="clear" w:fill="D9D9D9"/>
          </w:tcPr>
          <w:p>
            <w:r>
              <w:rPr>
                <w:b/>
              </w:rPr>
              <w:t>Ground truth</w:t>
            </w:r>
          </w:p>
        </w:tc>
        <w:tc>
          <w:tcPr>
            <w:tcW w:type="dxa" w:w="2160"/>
            <w:shd w:val="clear" w:fill="D9D9D9"/>
          </w:tcPr>
          <w:p>
            <w:r>
              <w:rPr>
                <w:b/>
              </w:rPr>
              <w:t>Raw stitched</w:t>
            </w:r>
          </w:p>
        </w:tc>
        <w:tc>
          <w:tcPr>
            <w:tcW w:type="dxa" w:w="2160"/>
            <w:shd w:val="clear" w:fill="D9D9D9"/>
          </w:tcPr>
          <w:p>
            <w:r>
              <w:rPr>
                <w:b/>
              </w:rPr>
              <w:t>Filtered stitched</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bl>
    <w:p/>
    <w:p>
      <w:pPr>
        <w:spacing w:after="280"/>
        <w:jc w:val="both"/>
      </w:pPr>
      <w:r>
        <w:rPr>
          <w:b/>
          <w:i/>
          <w:color w:val="C00000"/>
        </w:rPr>
        <w:t xml:space="preserve">TO FILL IN: </w:t>
      </w:r>
      <w:r>
        <w:rPr>
          <w:i/>
          <w:color w:val="C00000"/>
        </w:rPr>
        <w:t>this experiment has not yet been run or fully designed. The segment_*.tif instance-segmentation labels already available for this dataset, together with the existing scripts/data_scripts/find_neuron_voxels.py crawler, are the natural starting point: voxelise the reconstructed Gaussian field back onto the ground-truth grid and measure how well intensity/structure boundaries agree with the real segment boundaries (e.g. a boundary-agreement or IoU-style score), rather than reporting raw per-voxel intensity error.</w:t>
      </w:r>
    </w:p>
    <w:tbl>
      <w:tblPr>
        <w:tblW w:type="auto" w:w="0"/>
        <w:jc w:val="center"/>
        <w:tblLook w:firstColumn="1" w:firstRow="1" w:lastColumn="0" w:lastRow="0" w:noHBand="0" w:noVBand="1" w:val="04A0"/>
      </w:tblPr>
      <w:tblGrid>
        <w:gridCol w:w="8640"/>
      </w:tblGrid>
      <w:tr>
        <w:tc>
          <w:tcPr>
            <w:tcW w:type="dxa" w:w="8640"/>
            <w:shd w:val="clear" w:fill="F2F2F2"/>
          </w:tcPr>
          <w:p>
            <w:pPr>
              <w:jc w:val="center"/>
            </w:pPr>
            <w:r>
              <w:rPr>
                <w:i/>
                <w:color w:val="808080"/>
              </w:rPr>
              <w:t>[ insert figure here ]</w:t>
            </w:r>
          </w:p>
          <w:p/>
          <w:p/>
          <w:p/>
        </w:tc>
      </w:tr>
    </w:tbl>
    <w:p>
      <w:pPr>
        <w:jc w:val="center"/>
      </w:pPr>
      <w:r>
        <w:rPr>
          <w:b/>
          <w:sz w:val="20"/>
        </w:rPr>
        <w:t>Figure 8. Example overlay of ground-truth segment boundaries on the dense and stitched-Gaussian reconstructions, for one representative region.</w:t>
      </w:r>
    </w:p>
    <w:p/>
    <w:p>
      <w:pPr>
        <w:spacing w:after="280"/>
        <w:jc w:val="both"/>
      </w:pPr>
      <w:r>
        <w:rPr>
          <w:b/>
          <w:i/>
          <w:color w:val="C00000"/>
        </w:rPr>
        <w:t xml:space="preserve">TO FILL IN: </w:t>
      </w:r>
      <w:r>
        <w:rPr>
          <w:i/>
          <w:color w:val="C00000"/>
        </w:rPr>
        <w:t>once Table 7's metric is defined, produce one qualitative example showing segment boundaries (from segment_*.tif) overlaid on both the dense GT slice and the corresponding stitched-Gaussian reconstruction slice, so a reader can visually judge what the quantitative score in Table 7 corresponds 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