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Scalable Gaussian-Splatting Representation and Real-Time Navigation of Large-Scale Volumetric Electron Microscopy</w:t>
      </w:r>
    </w:p>
    <w:p>
      <w:pPr>
        <w:jc w:val="center"/>
      </w:pPr>
      <w:r>
        <w:rPr>
          <w:i/>
          <w:sz w:val="22"/>
        </w:rPr>
        <w:t>Draft — Introduction</w:t>
      </w:r>
    </w:p>
    <w:p/>
    <w:p>
      <w:pPr>
        <w:pStyle w:val="Heading1"/>
      </w:pPr>
      <w:r>
        <w:t>1. Introduction</w:t>
      </w:r>
    </w:p>
    <w:p>
      <w:pPr>
        <w:pStyle w:val="Heading2"/>
      </w:pPr>
      <w:r>
        <w:t>1.1 Problem Explanation</w:t>
      </w:r>
    </w:p>
    <w:p>
      <w:pPr>
        <w:jc w:val="both"/>
      </w:pPr>
      <w:r>
        <w:t>Modern volumetric electron microscopy (EM) has become a foundational tool for connectomics — the reconstruction of neural circuitry at synaptic resolution across entire brains. Datasets such as the Full Adult Fly Brain (FAFB) volume (Zheng et al., 2018) capture an entire adult Drosophila melanogaster brain as a dense, isotropic voxel grid spanning hundreds of gigabytes, organised as hundreds of thousands of discrete spatial blocks. Two distinct problems arise directly from this scale, and although they are frequently conflated, they are not the same problem. The first is representational: storing, transmitting, and holding such a volume as a dense uint8 voxel grid is prohibitively expensive in disk and GPU memory, particularly once a volume of interest exceeds the resident memory capacity of a single GPU. The second is a problem of visualisation: even where storage is not a constraint, the volume is far too large to render in its entirety at interactive frame rates, and a researcher inspecting a specific circuit or verifying a segmentation typically needs to navigate a small, moving region of interest (ROI) rather than the whole dataset simultaneously. A viable system for interactive exploration of petascale EM data must therefore address representation and visualisation as two coupled but distinct sub-problems: how to compactly represent the volume, and how to render an arbitrary, movable local view of it in real time.</w:t>
      </w:r>
    </w:p>
    <w:p>
      <w:pPr>
        <w:pStyle w:val="Heading2"/>
      </w:pPr>
      <w:r>
        <w:t>1.2 Motivations</w:t>
      </w:r>
    </w:p>
    <w:p>
      <w:pPr>
        <w:jc w:val="both"/>
      </w:pPr>
      <w:r>
        <w:t>3D Gaussian Splatting (Kerbl et al., 2023) has emerged as a compact, explicit alternative to implicit neural radiance fields (Mildenhall et al., 2020) for representing and rendering three-dimensional scenes, replacing an expensive per-pixel neural network query with an explicit mixture of anisotropic Gaussians that can be rasterised directly and at real-time frame rates. While originally developed for projective, camera-captured scenes, the same explicit-mixture idea has recently been adapted to non-projective volumetric imaging, where there is no camera and no light transport to model, only a scalar density field to be reconstructed directly: ultrasound volumes (Eid et al., 2026), spinal magnetic resonance imaging (Park et al., 2026), and computed tomography and X-ray imaging (Cai et al., 2024; Zha et al., 2024; Marzol et al., 2025; Bonilla et al., 2024). These works establish that a Gaussian mixture can serve as a compact, differentiable, and directly queryable substitute for a dense voxel grid in exactly the setting relevant to volumetric microscopy: a scalar intensity field sampled at arbitrary 3D points, rather than a projected 2D image.</w:t>
      </w:r>
    </w:p>
    <w:p>
      <w:pPr>
        <w:jc w:val="both"/>
      </w:pPr>
      <w:r>
        <w:t>This motivates two complementary lines of work for large-scale EM microscopy. First, replacing the dense voxel representation of a volumetric block with a fitted Gaussian mixture, which — if it holds at scale — could reduce the storage and memory footprint required to represent a given region of tissue by a substantial factor, since a comparatively small number of Gaussian parameters may suffice to reconstruct a block that would otherwise require hundreds of thousands of raw voxels. Second, because the representation is explicit and can be queried at arbitrary points without decoding the full volume, it invites a rendering strategy built around a small, user-defined, movable region — a cube of adjustable size with the camera fixed at its centre — that only ever needs to gather and rasterise the Gaussians local to the current viewpoint, rather than the entire dataset, enabling real-time interactive navigation through an arbitrarily large volume.</w:t>
      </w:r>
    </w:p>
    <w:p>
      <w:pPr>
        <w:pStyle w:val="Heading2"/>
      </w:pPr>
      <w:r>
        <w:t>1.3 Challenges</w:t>
      </w:r>
    </w:p>
    <w:p>
      <w:pPr>
        <w:jc w:val="both"/>
      </w:pPr>
      <w:r>
        <w:t>Realising this motivation for petascale EM data surfaces several challenges that do not arise, or do not arise in the same form, in the smaller-scale medical imaging settings above.</w:t>
      </w:r>
    </w:p>
    <w:p>
      <w:pPr>
        <w:jc w:val="both"/>
      </w:pPr>
      <w:r>
        <w:t>Scale. Prior non-projective Gaussian Splatting work fits a single Gaussian mixture to a single, modestly sized volume — one ultrasound sweep, one intervertebral disc region, one CT scan — small enough that one model, trained once, suffices. A dataset the size of FAFB (262,144 sub-blocks, several hundred gigabytes) cannot be fit as one monolithic Gaussian model on a single GPU, which forces a fundamentally different training strategy: independently fitting a separate, bounded Gaussian mixture to each spatial block, and only combining them at inference time.</w:t>
      </w:r>
    </w:p>
    <w:p>
      <w:pPr>
        <w:jc w:val="both"/>
      </w:pPr>
      <w:r>
        <w:t>Cross-block consistency. This decomposition introduces a challenge that a monolithic fit never encounters: independently optimised blocks are not guaranteed to agree at their shared boundaries, nor to converge to comparably well-localised Gaussians within their own local coordinate frame. Naively combining many independently-trained blocks by remapping each into a shared global frame and summing their contributions can produce severe cross-block contamination, in which locally unremarkable Gaussians become disproportionately large once expressed in global coordinates, visibly degrading any rendering that spans more than one block.</w:t>
      </w:r>
    </w:p>
    <w:p>
      <w:pPr>
        <w:jc w:val="both"/>
      </w:pPr>
      <w:r>
        <w:t>Real-time local rendering. Supporting a movable cube of adjustable size requires a spatial windowing mechanism that gathers only the Gaussians relevant to the current cube position, rather than the flat, whole-scene Gaussian lists that existing splatting renderers assume, and this culling must remain cheap enough not to erode the real-time frame rate the representation is intended to deliver.</w:t>
      </w:r>
    </w:p>
    <w:p>
      <w:pPr>
        <w:jc w:val="both"/>
      </w:pPr>
      <w:r>
        <w:t>Fair cross-representation comparison. A dense, voxel-resident renderer and a Gaussian-based renderer are not naturally comparable on equal terms, since they differ in memory footprint, in the definition of what a rendered value represents, and in how rendering cost scales with resolution and depth sampling. A rigorous evaluation of the tradeoff between the two therefore requires care in aligning units, sampling protocols, and memory accounting before any frames-per-second or reconstruction-quality comparison can be considered meaningful.</w:t>
      </w:r>
    </w:p>
    <w:p>
      <w:pPr>
        <w:pStyle w:val="Heading2"/>
      </w:pPr>
      <w:r>
        <w:t>1.4 Contributions</w:t>
      </w:r>
    </w:p>
    <w:p>
      <w:pPr>
        <w:jc w:val="both"/>
      </w:pPr>
      <w:r>
        <w:t>This work makes the following contributions:</w:t>
      </w:r>
    </w:p>
    <w:p>
      <w:pPr>
        <w:pStyle w:val="ListBullet"/>
      </w:pPr>
      <w:r>
        <w:t>A tiled, block-wise 3D Gaussian Splatting pipeline for large-scale volumetric EM microscopy data, in which independently-fitted per-block Gaussian mixtures are combined into a single global representation without requiring a monolithic model to be trained over the full dataset.</w:t>
      </w:r>
    </w:p>
    <w:p>
      <w:pPr>
        <w:pStyle w:val="ListBullet"/>
      </w:pPr>
      <w:r>
        <w:t>Identification and empirical characterisation of a cross-block stitching artefact specific to this tiled training strategy, in which naive additive combination of independently-trained blocks produces a rendering contaminated by a near-constant density floor, together with a quantification of how broadly this artefact is distributed across the Gaussian population rather than attributable to a small number of outliers.</w:t>
      </w:r>
    </w:p>
    <w:p>
      <w:pPr>
        <w:pStyle w:val="ListBullet"/>
      </w:pPr>
      <w:r>
        <w:t>A customisable moving-cube navigation and rendering scheme, in which a user-adjustable cube with the camera fixed at its centre supports real-time local visualisation inside an arbitrarily large volume without requiring the full dataset to be loaded or rendered at once.</w:t>
      </w:r>
    </w:p>
    <w:p>
      <w:pPr>
        <w:pStyle w:val="ListBullet"/>
      </w:pPr>
      <w:r>
        <w:t>A systematic empirical study of rendering throughput as a function of representation memory footprint relative to available GPU memory, across both a dense-resident voxel renderer and a Gaussian-splatting renderer, at multiple volume and cube scales — providing, to our knowledge, the first quantitative characterisation of this tradeoff for large-scale volumetric electron microscopy data.</w:t>
      </w:r>
    </w:p>
    <w:p>
      <w:r>
        <w:br w:type="page"/>
      </w:r>
    </w:p>
    <w:p>
      <w:pPr>
        <w:pStyle w:val="Heading1"/>
      </w:pPr>
      <w:r>
        <w:t>References</w:t>
      </w:r>
    </w:p>
    <w:p>
      <w:pPr>
        <w:spacing w:after="120"/>
        <w:ind w:left="432" w:hanging="432"/>
      </w:pPr>
      <w:r>
        <w:t>Bonilla, S., Zhang, S., Psychogyios, D., Stoyanov, D., Vasconcelos, F., &amp; Bano, S. (2024). Gaussian Pancakes: Geometrically-Regularized 3D Gaussian Splatting for Realistic Endoscopic Reconstruction. In Medical Image Computing and Computer Assisted Intervention (MICCAI 2024), vol. 15006, pp. 274–283.</w:t>
      </w:r>
    </w:p>
    <w:p>
      <w:pPr>
        <w:spacing w:after="120"/>
        <w:ind w:left="432" w:hanging="432"/>
      </w:pPr>
      <w:r>
        <w:t>Cai, Y., Liang, Y., Wang, J., Wang, A., Zhang, Y., Yang, X., Zhou, Z., &amp; Yuille, A. (2024). Radiative Gaussian Splatting for Efficient X-Ray Novel View Synthesis. In European Conference on Computer Vision (ECCV), pp. 283–299.</w:t>
      </w:r>
    </w:p>
    <w:p>
      <w:pPr>
        <w:spacing w:after="120"/>
        <w:ind w:left="432" w:hanging="432"/>
      </w:pPr>
      <w:r>
        <w:t>Eid, M. C., Namburete, A. I., &amp; Henriques, J. F. (2026). UltraGauss: Ultrafast Gaussian Reconstruction of 3D Ultrasound Volumes. In International Conference on Learning Representations (ICLR).</w:t>
      </w:r>
    </w:p>
    <w:p>
      <w:pPr>
        <w:spacing w:after="120"/>
        <w:ind w:left="432" w:hanging="432"/>
      </w:pPr>
      <w:r>
        <w:t>Kerbl, B., Kopanas, G., Leimkühler, T., &amp; Drettakis, G. (2023). 3D Gaussian Splatting for Real-Time Radiance Field Rendering. ACM Transactions on Graphics, 42(4), 139-1.</w:t>
      </w:r>
    </w:p>
    <w:p>
      <w:pPr>
        <w:spacing w:after="120"/>
        <w:ind w:left="432" w:hanging="432"/>
      </w:pPr>
      <w:r>
        <w:t>Marzol, K., Kolton, I., Smolak-Dyżewska, W., Kaleta, J., Mazur, M., Spurek, P., et al. (2025). MedGS: Gaussian Splatting for Multi-Modal 3D Medical Imaging. arXiv preprint arXiv:2509.16806.</w:t>
      </w:r>
    </w:p>
    <w:p>
      <w:pPr>
        <w:spacing w:after="120"/>
        <w:ind w:left="432" w:hanging="432"/>
      </w:pPr>
      <w:r>
        <w:t>Mildenhall, B., Srinivasan, P. P., Tancik, M., Barron, J. T., Ramamoorthi, R., &amp; Ng, R. (2020). NeRF: Representing Scenes as Neural Radiance Fields for View Synthesis. In European Conference on Computer Vision (ECCV).</w:t>
      </w:r>
    </w:p>
    <w:p>
      <w:pPr>
        <w:spacing w:after="120"/>
        <w:ind w:left="432" w:hanging="432"/>
      </w:pPr>
      <w:r>
        <w:t>Park, R. Y., Eid, M. C., Windsor, R., Jamaludin, A., Namburete, A. I. L., Henriques, J. F., &amp; Zisserman, A. (2026). Rendering Novel Views of MRI Using 3D Gaussian Splatting. arXiv preprint arXiv:2606.26236.</w:t>
      </w:r>
    </w:p>
    <w:p>
      <w:pPr>
        <w:spacing w:after="120"/>
        <w:ind w:left="432" w:hanging="432"/>
      </w:pPr>
      <w:r>
        <w:t>Zha, R., Lin, T. J., Cai, Y., Cao, J., Zhang, Y., &amp; Li, H. (2024). R²-Gaussian: Rectifying Radiative Gaussian Splatting for Tomographic Reconstruction. In Advances in Neural Information Processing Systems (NeurIPS), vol. 37, pp. 44907–44934.</w:t>
      </w:r>
    </w:p>
    <w:p>
      <w:pPr>
        <w:spacing w:after="120"/>
        <w:ind w:left="432" w:hanging="432"/>
      </w:pPr>
      <w:r>
        <w:t>Zheng, Z., Lauritzen, J. S., Perlman, E., Robinson, C. G., Nichols, M., Milkie, D., et al. (2018). A Complete Electron Microscopy Volume of the Brain of Adult Drosophila melanogaster. Cell, 174(3), 730–743.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