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Scalable Gaussian-Splatting Representation and Real-Time Navigation of Large-Scale Volumetric Electron Microscopy</w:t>
      </w:r>
    </w:p>
    <w:p>
      <w:pPr>
        <w:jc w:val="center"/>
      </w:pPr>
      <w:r>
        <w:rPr>
          <w:i/>
          <w:sz w:val="22"/>
        </w:rPr>
        <w:t>Draft — Methodology</w:t>
      </w:r>
    </w:p>
    <w:p/>
    <w:p>
      <w:pPr>
        <w:pStyle w:val="Heading1"/>
      </w:pPr>
      <w:r>
        <w:t>3. Methodology</w:t>
      </w:r>
    </w:p>
    <w:p>
      <w:pPr>
        <w:jc w:val="both"/>
      </w:pPr>
      <w:r>
        <w:t>This section describes the pipeline as implemented: the volumetric data preparation, the per-block Gaussian mixture representation and its CUDA training kernels, the training configurations used, the cross-block coordinate remapping and stitching procedure, the rendering pipeline for both the dense-resident and Gaussian-splatting representations, the moving-cube navigation scheme this rendering pipeline is being extended to support, and the benchmarking protocol and evaluation metrics used to compare the two representations.</w:t>
      </w:r>
    </w:p>
    <w:p>
      <w:pPr>
        <w:pStyle w:val="Heading2"/>
      </w:pPr>
      <w:r>
        <w:t>3.1 Data Preparation</w:t>
      </w:r>
    </w:p>
    <w:p>
      <w:pPr>
        <w:jc w:val="both"/>
      </w:pPr>
      <w:r>
        <w:t>The source data is the Full Adult Fly Brain (FAFB) v14 electron microscopy volume, pre-partitioned into 262,144 blocks arranged on a 64×64×64 grid (Z×Y×X), each block a 64×64×64 uint8 sub-volume named image_z{Z}_y{Y}_x{X}.tif. For the experiments in this paper, a 256³ region was assembled by directly concatenating a 4×4×4 sub-grid of blocks (Z, Y, X ∈ [30, 33]) into one contiguous array via direct array indexing, with no interpolation or resampling. Two additional volumes — 512³ (an 8×8×8 sub-grid) and 1024³ (a 16×16×16 sub-grid) — were assembled in the same way, for the dense-representation side of the memory/throughput study only; no Gaussian mixture was fit to these two larger volumes. Prior to training, raw uint8 intensities are normalised per-volume to [0, 1] via min–max scaling using that volume's own observed minimum and maximum, rather than a fixed 255-based scaling, since this is the exact normalisation the training loader applies.</w:t>
      </w:r>
    </w:p>
    <w:p>
      <w:pPr>
        <w:pStyle w:val="Heading2"/>
      </w:pPr>
      <w:r>
        <w:t>3.2 Gaussian Mixture Representation</w:t>
      </w:r>
    </w:p>
    <w:p>
      <w:pPr>
        <w:jc w:val="both"/>
      </w:pPr>
      <w:r>
        <w:t>Each block is represented as a mixture of N anisotropic 3D Gaussians, with the reconstructed density field defined as</w:t>
      </w:r>
    </w:p>
    <w:p>
      <w:pPr>
        <w:jc w:val="center"/>
      </w:pPr>
      <w:r>
        <w:rPr>
          <w:rFonts w:ascii="Cambria Math" w:hAnsi="Cambria Math"/>
          <w:i/>
        </w:rPr>
        <w:t>f(x) = Σₖ softplus(ιₖ) · exp( −½ (x − μₖ)ᵀ Σₖ⁻¹ (x − μₖ) )</w:t>
      </w:r>
    </w:p>
    <w:p>
      <w:pPr>
        <w:jc w:val="both"/>
      </w:pPr>
      <w:r>
        <w:t>where each Gaussian k is parameterised by a centre μₖ ∈ [−1, 1]³ (means), a raw pre-activation intensity ιₖ (inten), a rotation quaternion qₖ = [w, x, y, z] (quats), and a per-axis log-scale vector (log_scales), with the covariance recovered as Σₖ = Rₖ · diag(sₖ²) · Rₖᵀ, where Rₖ is the rotation matrix formed from qₖ and sₖ = exp(log_scales). The intensity activation softplus(ιₖ) constrains the contribution of every Gaussian to be strictly positive, and this is the only activation applied to the density value; scale is recovered by direct exponentiation of the stored log-scale, with no additional normalisation term. The population size N is not fixed: starting from n_init randomly initialised Gaussians, an adaptive density-control procedure periodically clones small, high-image-gradient Gaussians (offsetting the clone by approximately one standard deviation), splits large, high-gradient Gaussians into two shrunk daughters in place of the parent, and prunes Gaussians whose contribution has decayed below a fixed intensity threshold, up to a hard ceiling max_gaussians.</w:t>
      </w:r>
    </w:p>
    <w:p>
      <w:pPr>
        <w:pStyle w:val="Heading2"/>
      </w:pPr>
      <w:r>
        <w:t>3.3 CUDA Training Kernels</w:t>
      </w:r>
    </w:p>
    <w:p>
      <w:pPr>
        <w:jc w:val="both"/>
      </w:pPr>
      <w:r>
        <w:t>Both the forward evaluation of the density field and its gradient are computed by hand-written, JIT-compiled CUDA kernels rather than generic autodiff, to make per-block training tractable at the scale required. The forward kernel uses a tiled shared-memory layout — 256 threads per block, Gaussians loaded cooperatively into shared memory in tiles of 256 — with one thread per query sample point, so that every thread in the block reuses the same cached tile of Gaussians rather than re-reading global memory. The backward kernel uses the transposed layout instead: one thread per Gaussian, looping over all sample points contributing to its gradient, which eliminates the atomic-add contention that a naive one-thread-per-sample-point backward pass would incur when many threads write gradients to the same Gaussian concurrently. Gradients through quaternion normalisation and the Rodrigues rotation formula are derived and implemented analytically rather than through automatic differentiation of the rotation construction.</w:t>
      </w:r>
    </w:p>
    <w:p>
      <w:pPr>
        <w:pStyle w:val="Heading2"/>
      </w:pPr>
      <w:r>
        <w:t>3.4 Training Procedure and Configuration</w:t>
      </w:r>
    </w:p>
    <w:p>
      <w:pPr>
        <w:jc w:val="both"/>
      </w:pPr>
      <w:r>
        <w:t>Each block is trained independently against its own local axis-aligned bounding box [−1, 1]³, using the Adam optimiser with separate learning-rate schedules per parameter group (means, log-scales, quaternions, intensities), rebuilt whenever the population size N changes, since densification invalidates the optimiser's momentum buffers for the newly-introduced parameters. The training objective combines an L1 reconstruction loss against ground-truth voxel intensities with a structural-similarity term on randomly-sampled 2D crops, together with a set of regularisation terms penalising oversized scales, anisotropy beyond a target ratio, and low-intensity (“dead”) Gaussians, so that the optimiser is discouraged from leaving degenerate, poorly-localised Gaussians in the final population.</w:t>
      </w:r>
    </w:p>
    <w:p>
      <w:pPr>
        <w:jc w:val="both"/>
      </w:pPr>
      <w:r>
        <w:t>Two training configurations were used in this paper, both applied identically to every block. The first (“v1”) matches the production defaults used for whole-dataset block-wise training elsewhere in this pipeline: n_init = 1,000, max_gaussians = 5,000, 200 epochs of 50 steps each, with the default densification schedule. The second (“v2”) is a substantially higher-budget retraining of the same 64 blocks: max_gaussians = 50,000 (a ten-fold increase), 500 epochs, and an explicitly bounded densification window — clone/split/prune active only between epoch 10 and epoch 400 (steps 500–20,000 of 25,000 total) — so that the final 100 epochs run on a frozen population, allowing it to stabilise before training ends rather than being densified or pruned up to the last step. Both configurations were run as one independent training process per block, 16 blocks concurrently per batch, on a single GPU.</w:t>
      </w:r>
    </w:p>
    <w:p>
      <w:pPr>
        <w:pStyle w:val="Heading2"/>
      </w:pPr>
      <w:r>
        <w:t>3.5 Cross-Block Coordinate Remapping and Stitching</w:t>
      </w:r>
    </w:p>
    <w:p>
      <w:pPr>
        <w:jc w:val="both"/>
      </w:pPr>
      <w:r>
        <w:t>Because each block is trained against its own local [−1, 1]³ frame, combining N_g × N_g × N_g trained blocks into one global representation requires remapping every Gaussian's centre and scale from its block's local frame into the shared global frame. For a block at grid index (i_z, i_y, i_x) within an N_g-blocks-per-axis grid, a local mean μ_local and log-scale are remapped as</w:t>
      </w:r>
    </w:p>
    <w:p>
      <w:pPr>
        <w:jc w:val="center"/>
      </w:pPr>
      <w:r>
        <w:rPr>
          <w:rFonts w:ascii="Cambria Math" w:hAnsi="Cambria Math"/>
          <w:i/>
        </w:rPr>
        <w:t>μ_global = c(i) + μ_local · (1 / N_g)</w:t>
      </w:r>
    </w:p>
    <w:p>
      <w:pPr>
        <w:jc w:val="center"/>
      </w:pPr>
      <w:r>
        <w:rPr>
          <w:rFonts w:ascii="Cambria Math" w:hAnsi="Cambria Math"/>
          <w:i/>
        </w:rPr>
        <w:t>log_scale_global = log_scale_local + log(1 / N_g)</w:t>
      </w:r>
    </w:p>
    <w:p>
      <w:pPr>
        <w:jc w:val="both"/>
      </w:pPr>
      <w:r>
        <w:t>per axis, where c(i) is the global-frame centre of block i. This follows from each block occupying a uniform 1/N_g fraction of the 2-unit-wide global domain along every axis; because the rescaling is isotropic (the same factor on all three axes), quaternions and intensities are unaffected and are carried over unchanged. Because the reconstructed density field is additive — the contribution of each Gaussian to f(x) is summed independently of every other Gaussian — a flat concatenation of the remapped Gaussians from every trained block reproduces the mathematically correct combined field with no further correction required; no separate block-aware compositing step is needed at the representation level, only at render time (see Section 3.6).</w:t>
      </w:r>
    </w:p>
    <w:p>
      <w:pPr>
        <w:jc w:val="both"/>
      </w:pPr>
      <w:r>
        <w:t>Blocks are trained and stored independently and only combined at this remapping step, which allows new blocks to be added to a previously-stitched representation without retraining or otherwise modifying any block already trained.</w:t>
      </w:r>
    </w:p>
    <w:p>
      <w:pPr>
        <w:pStyle w:val="Heading2"/>
      </w:pPr>
      <w:r>
        <w:t>3.6 Rendering Pipeline</w:t>
      </w:r>
    </w:p>
    <w:p>
      <w:pPr>
        <w:jc w:val="both"/>
      </w:pPr>
      <w:r>
        <w:t>A single CUDA renderer supports two representations under an identical camera and ray-marching model: a perspective camera fixed at the centre of the axis-aligned bounding box being rendered, with user-controlled yaw, pitch, roll and vertical field of view, each pixel's ray marched from the camera through the box and its value computed as the maximum accumulated density along the ray (maximum-intensity projection, MIP).</w:t>
      </w:r>
    </w:p>
    <w:p>
      <w:pPr>
        <w:jc w:val="both"/>
      </w:pPr>
      <w:r>
        <w:t>In dense_voxel mode, the volume is uploaded once to a GPU-resident 3D texture with hardware trilinear filtering, and each ray sample is a single texture fetch, so per-sample cost is independent of the underlying voxel resolution.</w:t>
      </w:r>
    </w:p>
    <w:p>
      <w:pPr>
        <w:jc w:val="both"/>
      </w:pPr>
      <w:r>
        <w:t>In pretrained_gaussian mode, rendering proceeds in four stages. A preprocessing kernel computes, for every Gaussian, its camera-relative position and an upper bound on its projected screen-space support radius (via a Gershgorin bound on the largest eigenvalue of its projected covariance and a fixed Mahalanobis cutoff), and assigns it to every 16×16-pixel screen tile its support overlaps; Gaussians whose support contains the camera itself, or which straddle the near plane, are conservatively assigned to every tile rather than risk a false-negative cull. A prefix sum over per-Gaussian tile counts gives each Gaussian's write offset into a flat (tile, Gaussian) pair list, which is populated by a duplication kernel and then sorted by tile using a GPU radix sort, after which a per-tile contiguous range is recovered directly from the sorted key array. The render kernel then processes one screen tile per CUDA block: for each of a fixed number of depth samples along each pixel's ray, it loads that tile's candidate Gaussians into shared memory in batches, accumulates Σₖ softplus(ιₖ)·exp(−½ Mahalanobis(x, k)) over every candidate Gaussian whose Mahalanobis distance to the current sample point is within the cutoff, and only after this per-sample summation is complete does it take the running maximum over depth samples — i.e. the accumulation is max over depth of a sum over Gaussians, not a per-Gaussian maximum, which is the behaviour the additive density field in Section 3.2 requires.</w:t>
      </w:r>
    </w:p>
    <w:p>
      <w:pPr>
        <w:pStyle w:val="Heading2"/>
      </w:pPr>
      <w:r>
        <w:t>3.7 Moving-Cube Navigation (Proposed Extension)</w:t>
      </w:r>
    </w:p>
    <w:p>
      <w:pPr>
        <w:jc w:val="both"/>
      </w:pPr>
      <w:r>
        <w:t>The rendering pipeline in Section 3.6 renders a single, fixed axis-aligned box with the camera at its centre. To support interactive navigation through a volume too large to render or hold in its entirety, this is being extended to a moving cube of user-adjustable size: a cube of k blocks per axis, centred at an arbitrary position within the stitched dataset, with the camera always fixed at the current cube's centre. Rendering a given cube position requires only the Gaussians belonging to the k³ blocks the cube currently covers, gathered and remapped exactly as in Section 3.5 but restricted to that spatial window rather than the full dataset, so that neither the full set of trained blocks nor the full stitched representation needs to be resident for any single view. For a region of N_g blocks per axis, a cube of k blocks per axis admits (N_g − k + 1)³ distinct grid-aligned centre positions, which provides the basis for sampling multiple camera positions per cube size when benchmarking navigation throughput (Section 3.8) rather than reporting a single fixed-position measurement.</w:t>
      </w:r>
    </w:p>
    <w:p>
      <w:pPr>
        <w:pStyle w:val="Heading2"/>
      </w:pPr>
      <w:r>
        <w:t>3.8 Benchmarking Protocol</w:t>
      </w:r>
    </w:p>
    <w:p>
      <w:pPr>
        <w:jc w:val="both"/>
      </w:pPr>
      <w:r>
        <w:t>The central quantity measured throughout is rendering throughput (frames per second) as a function of a representation's memory footprint relative to total GPU memory. For the dense representation, memory is the volume's voxel count times 4 bytes (float32); for the Gaussian representation, memory is the active Gaussian count times 44 bytes (11 float32 values per Gaussian: 3 for the mean, 3 for scale, 4 for the quaternion, 1 for intensity). Both representations are benchmarked with the renderer described in Section 3.6 under matched resolution, depth-sample count, vertical field of view, and bounding box, so that a difference in measured throughput reflects the representation and rendering algorithm rather than a difference in workload. Timing is performed with CUDA events placed immediately around the render kernel launch, after a fixed number of untimed warm-up frames, over a fixed number of measured frames, from which mean, median, standard deviation, minimum, maximum, and 5th/95th percentile render time and frames-per-second are computed; for the Gaussian representation, the active payload is additionally varied by rendering deterministic nested subsets of one fixed, shuffled Gaussian ordering, so that every smaller payload is a strict subset of every larger one and results from different payload levels remain directly comparable.</w:t>
      </w:r>
    </w:p>
    <w:p>
      <w:pPr>
        <w:pStyle w:val="Heading2"/>
      </w:pPr>
      <w:r>
        <w:t>3.9 Evaluation Metrics</w:t>
      </w:r>
    </w:p>
    <w:p>
      <w:pPr>
        <w:jc w:val="both"/>
      </w:pPr>
      <w:r>
        <w:t>Reconstruction quality is reported at two levels. Volumetric quality is measured by an exact, full-voxel-grid PSNR, computed by evaluating the trained density field at every voxel centre of the block being reconstructed and comparing directly against the ground-truth voxel grid; this is the same metric used internally during training to select the best checkpoint for each block, and is reused rather than recomputed. Rendered-image quality is measured by PSNR, structural similarity, and mean absolute error between a dense-representation MIP render and a Gaussian-representation MIP render of the same camera view. Because the dense representation's MIP output is naturally confined to the [0, 1] range established by the per-volume min–max normalisation in Section 3.1, while the Gaussian representation's MIP output is an unbounded sum with no equivalent fixed range, the two rendered images are independently normalised to [0, 1] by their own 1st and 99th percentile before these metrics are computed, since comparing them on their raw, differently-scaled ranges would not be a meaningful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