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FD2F" w14:textId="793D8109" w:rsidR="00175180" w:rsidRPr="0032279E" w:rsidRDefault="00175180" w:rsidP="00106F80">
      <w:pPr>
        <w:spacing w:before="240" w:after="120"/>
        <w:jc w:val="center"/>
        <w:rPr>
          <w:sz w:val="32"/>
          <w:szCs w:val="32"/>
          <w:u w:val="single"/>
        </w:rPr>
      </w:pPr>
      <w:r w:rsidRPr="0032279E">
        <w:rPr>
          <w:sz w:val="32"/>
          <w:szCs w:val="32"/>
          <w:u w:val="single"/>
        </w:rPr>
        <w:t>Conference Call for Papers</w:t>
      </w:r>
    </w:p>
    <w:p w14:paraId="667C8787" w14:textId="3DD82516" w:rsidR="004C2779" w:rsidRPr="004C2779" w:rsidRDefault="00175180" w:rsidP="004C2779">
      <w:pPr>
        <w:spacing w:after="120"/>
        <w:jc w:val="center"/>
        <w:rPr>
          <w:b/>
          <w:bCs/>
          <w:sz w:val="40"/>
          <w:szCs w:val="40"/>
        </w:rPr>
      </w:pPr>
      <w:r w:rsidRPr="0032279E">
        <w:rPr>
          <w:b/>
          <w:bCs/>
          <w:sz w:val="40"/>
          <w:szCs w:val="40"/>
        </w:rPr>
        <w:t xml:space="preserve">Transitional Justice </w:t>
      </w:r>
      <w:r w:rsidR="004C2779">
        <w:rPr>
          <w:b/>
          <w:bCs/>
          <w:sz w:val="40"/>
          <w:szCs w:val="40"/>
        </w:rPr>
        <w:t xml:space="preserve">beyond the State: </w:t>
      </w:r>
      <w:r w:rsidR="004C2779" w:rsidRPr="004C2779">
        <w:rPr>
          <w:b/>
          <w:bCs/>
          <w:sz w:val="40"/>
          <w:szCs w:val="40"/>
        </w:rPr>
        <w:t>Non-State Actors as Object and Agents in Transitional Justice Processes</w:t>
      </w:r>
    </w:p>
    <w:p w14:paraId="3161B3D9" w14:textId="264ADA83" w:rsidR="00175180" w:rsidRPr="0032279E" w:rsidRDefault="00175180" w:rsidP="004C2779">
      <w:pPr>
        <w:spacing w:after="360"/>
        <w:jc w:val="center"/>
        <w:rPr>
          <w:sz w:val="28"/>
          <w:szCs w:val="28"/>
        </w:rPr>
      </w:pPr>
      <w:r w:rsidRPr="0032279E">
        <w:rPr>
          <w:sz w:val="28"/>
          <w:szCs w:val="28"/>
        </w:rPr>
        <w:t xml:space="preserve">Jerusalem, June </w:t>
      </w:r>
      <w:r w:rsidR="004C2779">
        <w:rPr>
          <w:sz w:val="28"/>
          <w:szCs w:val="28"/>
        </w:rPr>
        <w:t>14</w:t>
      </w:r>
      <w:r w:rsidRPr="0032279E">
        <w:rPr>
          <w:sz w:val="28"/>
          <w:szCs w:val="28"/>
        </w:rPr>
        <w:t>-</w:t>
      </w:r>
      <w:r w:rsidR="004C2779">
        <w:rPr>
          <w:sz w:val="28"/>
          <w:szCs w:val="28"/>
        </w:rPr>
        <w:t>15</w:t>
      </w:r>
      <w:r w:rsidRPr="0032279E">
        <w:rPr>
          <w:sz w:val="28"/>
          <w:szCs w:val="28"/>
        </w:rPr>
        <w:t>, 202</w:t>
      </w:r>
      <w:r w:rsidR="004C2779">
        <w:rPr>
          <w:sz w:val="28"/>
          <w:szCs w:val="28"/>
        </w:rPr>
        <w:t>3</w:t>
      </w:r>
    </w:p>
    <w:p w14:paraId="0C3D6214" w14:textId="77777777" w:rsidR="00175180" w:rsidRPr="00192BF3" w:rsidRDefault="00175180" w:rsidP="00175180">
      <w:pPr>
        <w:spacing w:after="120"/>
        <w:jc w:val="both"/>
        <w:rPr>
          <w:rFonts w:cstheme="minorHAnsi"/>
          <w:b/>
          <w:bCs/>
        </w:rPr>
      </w:pPr>
      <w:r w:rsidRPr="00192BF3">
        <w:rPr>
          <w:rFonts w:cstheme="minorHAnsi"/>
          <w:b/>
          <w:bCs/>
          <w:u w:val="single"/>
        </w:rPr>
        <w:t>Introduction</w:t>
      </w:r>
      <w:r w:rsidRPr="00192BF3">
        <w:rPr>
          <w:rFonts w:cstheme="minorHAnsi"/>
          <w:b/>
          <w:bCs/>
        </w:rPr>
        <w:t>:</w:t>
      </w:r>
    </w:p>
    <w:p w14:paraId="4778A8BF" w14:textId="43531ECF" w:rsidR="00973726" w:rsidRPr="00192BF3" w:rsidRDefault="00175180" w:rsidP="00973726">
      <w:pPr>
        <w:spacing w:after="120"/>
        <w:jc w:val="both"/>
        <w:rPr>
          <w:rFonts w:cstheme="minorHAnsi"/>
        </w:rPr>
      </w:pPr>
      <w:r w:rsidRPr="00192BF3">
        <w:rPr>
          <w:rFonts w:cstheme="minorHAnsi"/>
        </w:rPr>
        <w:t xml:space="preserve">The Minerva Center for Human Rights at the Hebrew University of Jerusalem and Tel-Aviv University is organizing an international conference on </w:t>
      </w:r>
      <w:r w:rsidR="004C2779" w:rsidRPr="00192BF3">
        <w:rPr>
          <w:rFonts w:cstheme="minorHAnsi"/>
        </w:rPr>
        <w:t>non-</w:t>
      </w:r>
      <w:r w:rsidR="00607E85" w:rsidRPr="00192BF3">
        <w:rPr>
          <w:rFonts w:cstheme="minorHAnsi"/>
        </w:rPr>
        <w:t>s</w:t>
      </w:r>
      <w:r w:rsidR="004C2779" w:rsidRPr="00192BF3">
        <w:rPr>
          <w:rFonts w:cstheme="minorHAnsi"/>
        </w:rPr>
        <w:t xml:space="preserve">tate actors in transitional justice processes, </w:t>
      </w:r>
      <w:r w:rsidR="00C1546D" w:rsidRPr="00192BF3">
        <w:rPr>
          <w:rFonts w:cstheme="minorHAnsi"/>
        </w:rPr>
        <w:t xml:space="preserve">examining their rising importance and diverse roles </w:t>
      </w:r>
      <w:r w:rsidR="004C2779" w:rsidRPr="00192BF3">
        <w:rPr>
          <w:rFonts w:cstheme="minorHAnsi"/>
        </w:rPr>
        <w:t xml:space="preserve">as objects and as agents in </w:t>
      </w:r>
      <w:r w:rsidR="00D05A03" w:rsidRPr="00192BF3">
        <w:rPr>
          <w:rFonts w:cstheme="minorHAnsi"/>
        </w:rPr>
        <w:t>transitional justice interventions</w:t>
      </w:r>
      <w:r w:rsidR="004C2779" w:rsidRPr="00192BF3">
        <w:rPr>
          <w:rFonts w:cstheme="minorHAnsi"/>
        </w:rPr>
        <w:t>.</w:t>
      </w:r>
      <w:r w:rsidRPr="00192BF3">
        <w:rPr>
          <w:rFonts w:cstheme="minorHAnsi"/>
        </w:rPr>
        <w:t xml:space="preserve"> The conference will take place </w:t>
      </w:r>
      <w:r w:rsidR="004C2779" w:rsidRPr="00192BF3">
        <w:rPr>
          <w:rFonts w:cstheme="minorHAnsi"/>
        </w:rPr>
        <w:t xml:space="preserve">in Jerusalem </w:t>
      </w:r>
      <w:r w:rsidRPr="00192BF3">
        <w:rPr>
          <w:rFonts w:cstheme="minorHAnsi"/>
        </w:rPr>
        <w:t xml:space="preserve">on June </w:t>
      </w:r>
      <w:r w:rsidR="004C2779" w:rsidRPr="00192BF3">
        <w:rPr>
          <w:rFonts w:cstheme="minorHAnsi"/>
        </w:rPr>
        <w:t>14</w:t>
      </w:r>
      <w:r w:rsidRPr="00192BF3">
        <w:rPr>
          <w:rFonts w:cstheme="minorHAnsi"/>
        </w:rPr>
        <w:t>-</w:t>
      </w:r>
      <w:r w:rsidR="004C2779" w:rsidRPr="00192BF3">
        <w:rPr>
          <w:rFonts w:cstheme="minorHAnsi"/>
        </w:rPr>
        <w:t>15</w:t>
      </w:r>
      <w:r w:rsidRPr="00192BF3">
        <w:rPr>
          <w:rFonts w:cstheme="minorHAnsi"/>
        </w:rPr>
        <w:t>, 202</w:t>
      </w:r>
      <w:r w:rsidR="004C2779" w:rsidRPr="00192BF3">
        <w:rPr>
          <w:rFonts w:cstheme="minorHAnsi"/>
        </w:rPr>
        <w:t>3.</w:t>
      </w:r>
      <w:r w:rsidRPr="00192BF3">
        <w:rPr>
          <w:rFonts w:cstheme="minorHAnsi"/>
        </w:rPr>
        <w:t xml:space="preserve"> </w:t>
      </w:r>
    </w:p>
    <w:p w14:paraId="29E84F5E" w14:textId="0C14579A" w:rsidR="00175180" w:rsidRPr="00192BF3" w:rsidRDefault="00607E85" w:rsidP="00622371">
      <w:pPr>
        <w:spacing w:after="120"/>
        <w:jc w:val="both"/>
        <w:rPr>
          <w:rFonts w:cstheme="minorHAnsi"/>
        </w:rPr>
      </w:pPr>
      <w:r w:rsidRPr="00192BF3">
        <w:rPr>
          <w:rFonts w:cstheme="minorHAnsi"/>
        </w:rPr>
        <w:t xml:space="preserve">Prof. Kieran McEvoy </w:t>
      </w:r>
      <w:r w:rsidR="00973726" w:rsidRPr="00192BF3">
        <w:rPr>
          <w:rFonts w:cstheme="minorHAnsi"/>
        </w:rPr>
        <w:t>o</w:t>
      </w:r>
      <w:r w:rsidRPr="00192BF3">
        <w:rPr>
          <w:rFonts w:cstheme="minorHAnsi"/>
        </w:rPr>
        <w:t xml:space="preserve">f </w:t>
      </w:r>
      <w:r w:rsidR="00973726" w:rsidRPr="00192BF3">
        <w:rPr>
          <w:rFonts w:cstheme="minorHAnsi"/>
        </w:rPr>
        <w:t>Queen’s University Belfast School of Law and Senator George J Mitchell Institute for Global Peace, Security and Justice</w:t>
      </w:r>
      <w:r w:rsidR="00622371" w:rsidRPr="00192BF3">
        <w:rPr>
          <w:rFonts w:cstheme="minorHAnsi"/>
        </w:rPr>
        <w:t>,</w:t>
      </w:r>
      <w:r w:rsidR="00973726" w:rsidRPr="00192BF3">
        <w:rPr>
          <w:rFonts w:cstheme="minorHAnsi"/>
        </w:rPr>
        <w:t xml:space="preserve"> </w:t>
      </w:r>
      <w:r w:rsidR="009F7DF3">
        <w:rPr>
          <w:rFonts w:cstheme="minorHAnsi"/>
        </w:rPr>
        <w:t>world-</w:t>
      </w:r>
      <w:r w:rsidR="00973726" w:rsidRPr="00192BF3">
        <w:rPr>
          <w:rFonts w:cstheme="minorHAnsi"/>
        </w:rPr>
        <w:t xml:space="preserve">renowned </w:t>
      </w:r>
      <w:r w:rsidR="009F7DF3">
        <w:rPr>
          <w:rFonts w:cstheme="minorHAnsi"/>
        </w:rPr>
        <w:t>scholar and practitioner</w:t>
      </w:r>
      <w:r w:rsidR="00973726" w:rsidRPr="00192BF3">
        <w:rPr>
          <w:rFonts w:cstheme="minorHAnsi"/>
        </w:rPr>
        <w:t xml:space="preserve"> in the </w:t>
      </w:r>
      <w:r w:rsidR="00622371" w:rsidRPr="00192BF3">
        <w:rPr>
          <w:rFonts w:cstheme="minorHAnsi"/>
        </w:rPr>
        <w:t xml:space="preserve">field, </w:t>
      </w:r>
      <w:r w:rsidR="006F4AA8">
        <w:rPr>
          <w:rFonts w:cstheme="minorHAnsi"/>
        </w:rPr>
        <w:t>will</w:t>
      </w:r>
      <w:r w:rsidR="00973726" w:rsidRPr="00192BF3">
        <w:rPr>
          <w:rFonts w:cstheme="minorHAnsi"/>
        </w:rPr>
        <w:t xml:space="preserve"> present the Conference Keynote Address.</w:t>
      </w:r>
    </w:p>
    <w:p w14:paraId="5039822B" w14:textId="56366E27" w:rsidR="00175180" w:rsidRPr="00192BF3" w:rsidRDefault="00175180" w:rsidP="00175180">
      <w:pPr>
        <w:spacing w:after="120"/>
        <w:jc w:val="both"/>
        <w:rPr>
          <w:rFonts w:cstheme="minorHAnsi"/>
        </w:rPr>
      </w:pPr>
      <w:r w:rsidRPr="00192BF3">
        <w:rPr>
          <w:rFonts w:cstheme="minorHAnsi"/>
        </w:rPr>
        <w:t xml:space="preserve">This call for papers invites proposals for presentation of </w:t>
      </w:r>
      <w:r w:rsidR="008A0FE7" w:rsidRPr="00192BF3">
        <w:rPr>
          <w:rFonts w:cstheme="minorHAnsi"/>
        </w:rPr>
        <w:t>papers</w:t>
      </w:r>
      <w:r w:rsidRPr="00192BF3">
        <w:rPr>
          <w:rFonts w:cstheme="minorHAnsi"/>
        </w:rPr>
        <w:t xml:space="preserve"> at the conference. Authors of selected proposals </w:t>
      </w:r>
      <w:r w:rsidR="000C2120" w:rsidRPr="00192BF3">
        <w:rPr>
          <w:rFonts w:cstheme="minorHAnsi"/>
        </w:rPr>
        <w:t xml:space="preserve">will </w:t>
      </w:r>
      <w:r w:rsidRPr="00192BF3">
        <w:rPr>
          <w:rFonts w:cstheme="minorHAnsi"/>
        </w:rPr>
        <w:t>be offered full or partial flight and accommodation expenses.</w:t>
      </w:r>
    </w:p>
    <w:p w14:paraId="49438E3A" w14:textId="4B8C8D9F" w:rsidR="00175180" w:rsidRPr="00192BF3" w:rsidRDefault="00175180" w:rsidP="003401CB">
      <w:pPr>
        <w:spacing w:after="120"/>
        <w:jc w:val="both"/>
        <w:rPr>
          <w:rFonts w:cstheme="minorHAnsi"/>
        </w:rPr>
      </w:pPr>
      <w:r w:rsidRPr="00192BF3">
        <w:rPr>
          <w:rFonts w:cstheme="minorHAnsi"/>
          <w:u w:val="single"/>
        </w:rPr>
        <w:t>Submission deadline</w:t>
      </w:r>
      <w:r w:rsidRPr="00192BF3">
        <w:rPr>
          <w:rFonts w:cstheme="minorHAnsi"/>
        </w:rPr>
        <w:t xml:space="preserve">: </w:t>
      </w:r>
      <w:r w:rsidR="004C2779" w:rsidRPr="00192BF3">
        <w:rPr>
          <w:rFonts w:cstheme="minorHAnsi"/>
        </w:rPr>
        <w:t xml:space="preserve">April </w:t>
      </w:r>
      <w:r w:rsidR="003401CB" w:rsidRPr="00192BF3">
        <w:rPr>
          <w:rFonts w:cstheme="minorHAnsi"/>
        </w:rPr>
        <w:t>3</w:t>
      </w:r>
      <w:r w:rsidRPr="00192BF3">
        <w:rPr>
          <w:rFonts w:cstheme="minorHAnsi"/>
        </w:rPr>
        <w:t>, 202</w:t>
      </w:r>
      <w:r w:rsidR="004C2779" w:rsidRPr="00192BF3">
        <w:rPr>
          <w:rFonts w:cstheme="minorHAnsi"/>
        </w:rPr>
        <w:t>3.</w:t>
      </w:r>
    </w:p>
    <w:p w14:paraId="3FB42269" w14:textId="77777777" w:rsidR="00175180" w:rsidRPr="00192BF3" w:rsidRDefault="00175180" w:rsidP="00175180">
      <w:pPr>
        <w:spacing w:before="240" w:after="120"/>
        <w:jc w:val="both"/>
        <w:rPr>
          <w:rFonts w:cstheme="minorHAnsi"/>
        </w:rPr>
      </w:pPr>
      <w:r w:rsidRPr="00192BF3">
        <w:rPr>
          <w:rFonts w:cstheme="minorHAnsi"/>
          <w:b/>
          <w:bCs/>
          <w:u w:val="single"/>
        </w:rPr>
        <w:t>Background</w:t>
      </w:r>
      <w:r w:rsidRPr="00192BF3">
        <w:rPr>
          <w:rFonts w:cstheme="minorHAnsi"/>
          <w:b/>
          <w:bCs/>
        </w:rPr>
        <w:t>:</w:t>
      </w:r>
    </w:p>
    <w:p w14:paraId="61F749BD" w14:textId="3C2B4B7A" w:rsidR="00607E85" w:rsidRPr="00192BF3" w:rsidRDefault="00ED0259" w:rsidP="00ED0259">
      <w:pPr>
        <w:spacing w:after="120"/>
        <w:jc w:val="both"/>
        <w:rPr>
          <w:rFonts w:cstheme="minorHAnsi"/>
        </w:rPr>
      </w:pPr>
      <w:r w:rsidRPr="00192BF3">
        <w:rPr>
          <w:rFonts w:cstheme="minorHAnsi"/>
        </w:rPr>
        <w:t>Historically, t</w:t>
      </w:r>
      <w:r w:rsidR="004C2779" w:rsidRPr="00192BF3">
        <w:rPr>
          <w:rFonts w:cstheme="minorHAnsi"/>
        </w:rPr>
        <w:t>he field of transitional justice, developed in the context of transitions from authoritarian to democratic regimes in the late 1980s, has focused on the action</w:t>
      </w:r>
      <w:r w:rsidRPr="00192BF3">
        <w:rPr>
          <w:rFonts w:cstheme="minorHAnsi"/>
        </w:rPr>
        <w:t>s</w:t>
      </w:r>
      <w:r w:rsidR="004C2779" w:rsidRPr="00192BF3">
        <w:rPr>
          <w:rFonts w:cstheme="minorHAnsi"/>
        </w:rPr>
        <w:t xml:space="preserve"> of the state – in line with the traditional framework of human rights. However, in recent years there is growing attention to the existing and potential roles of non-state actors – armed groups, private companies, </w:t>
      </w:r>
      <w:r w:rsidR="00607E85" w:rsidRPr="00192BF3">
        <w:rPr>
          <w:rFonts w:cstheme="minorHAnsi"/>
        </w:rPr>
        <w:t xml:space="preserve">municipalities, </w:t>
      </w:r>
      <w:r w:rsidR="004C2779" w:rsidRPr="00192BF3">
        <w:rPr>
          <w:rFonts w:cstheme="minorHAnsi"/>
        </w:rPr>
        <w:t>religious organizations</w:t>
      </w:r>
      <w:r w:rsidR="00607E85" w:rsidRPr="00192BF3">
        <w:rPr>
          <w:rFonts w:cstheme="minorHAnsi"/>
        </w:rPr>
        <w:t>, universities, museums,</w:t>
      </w:r>
      <w:r w:rsidR="004C2779" w:rsidRPr="00192BF3">
        <w:rPr>
          <w:rFonts w:cstheme="minorHAnsi"/>
        </w:rPr>
        <w:t xml:space="preserve"> </w:t>
      </w:r>
      <w:r w:rsidR="00607E85" w:rsidRPr="00192BF3">
        <w:rPr>
          <w:rFonts w:cstheme="minorHAnsi"/>
        </w:rPr>
        <w:t xml:space="preserve">professional bodies, </w:t>
      </w:r>
      <w:r w:rsidR="00BD2FAC">
        <w:rPr>
          <w:rFonts w:cstheme="minorHAnsi"/>
        </w:rPr>
        <w:t>civil society</w:t>
      </w:r>
      <w:r w:rsidR="00BD2FAC">
        <w:rPr>
          <w:rFonts w:cstheme="minorHAnsi"/>
        </w:rPr>
        <w:t xml:space="preserve"> organizations</w:t>
      </w:r>
      <w:r w:rsidR="00BD2FAC">
        <w:rPr>
          <w:rFonts w:cstheme="minorHAnsi"/>
        </w:rPr>
        <w:t xml:space="preserve">, </w:t>
      </w:r>
      <w:r w:rsidR="004C2779" w:rsidRPr="00192BF3">
        <w:rPr>
          <w:rFonts w:cstheme="minorHAnsi"/>
        </w:rPr>
        <w:t xml:space="preserve">and others – within the transitional justice universe. </w:t>
      </w:r>
    </w:p>
    <w:p w14:paraId="2CF3618C" w14:textId="122F59A1" w:rsidR="004C2779" w:rsidRPr="00192BF3" w:rsidRDefault="004C2779" w:rsidP="00ED0259">
      <w:pPr>
        <w:spacing w:after="120"/>
        <w:jc w:val="both"/>
        <w:rPr>
          <w:rFonts w:cstheme="minorHAnsi"/>
        </w:rPr>
      </w:pPr>
      <w:r w:rsidRPr="00192BF3">
        <w:rPr>
          <w:rFonts w:cstheme="minorHAnsi"/>
        </w:rPr>
        <w:t xml:space="preserve">There are two, intersecting, dimensions to the ways </w:t>
      </w:r>
      <w:r w:rsidR="00ED0259" w:rsidRPr="00192BF3">
        <w:rPr>
          <w:rFonts w:cstheme="minorHAnsi"/>
        </w:rPr>
        <w:t xml:space="preserve">in which </w:t>
      </w:r>
      <w:r w:rsidRPr="00192BF3">
        <w:rPr>
          <w:rFonts w:cstheme="minorHAnsi"/>
        </w:rPr>
        <w:t>non-state actors are brought within the purview of transitional justice. First, there is the notion that non-state actors have responsibility for the commission of abuses that are the object of transitional justice interventions, and that they could and should be hel</w:t>
      </w:r>
      <w:r w:rsidR="00607E85" w:rsidRPr="00192BF3">
        <w:rPr>
          <w:rFonts w:cstheme="minorHAnsi"/>
        </w:rPr>
        <w:t>d</w:t>
      </w:r>
      <w:r w:rsidRPr="00192BF3">
        <w:rPr>
          <w:rFonts w:cstheme="minorHAnsi"/>
        </w:rPr>
        <w:t xml:space="preserve"> to account (as collective entities, in addition to the targeting of individuals from their ranks). Second, there is the claim that non-state actors </w:t>
      </w:r>
      <w:r w:rsidR="00622371" w:rsidRPr="00192BF3">
        <w:rPr>
          <w:rFonts w:cstheme="minorHAnsi"/>
        </w:rPr>
        <w:t>could lead</w:t>
      </w:r>
      <w:r w:rsidRPr="00192BF3">
        <w:rPr>
          <w:rFonts w:cstheme="minorHAnsi"/>
        </w:rPr>
        <w:t xml:space="preserve"> or be integrated into transitional justice processes, for example </w:t>
      </w:r>
      <w:r w:rsidR="00ED0259" w:rsidRPr="00192BF3">
        <w:rPr>
          <w:rFonts w:cstheme="minorHAnsi"/>
        </w:rPr>
        <w:t xml:space="preserve">by </w:t>
      </w:r>
      <w:r w:rsidRPr="00192BF3">
        <w:rPr>
          <w:rFonts w:cstheme="minorHAnsi"/>
        </w:rPr>
        <w:t xml:space="preserve">leading truth-recovery processes, providing apologies and reparations, and so on. In other words, non-state actors can become both </w:t>
      </w:r>
      <w:r w:rsidRPr="00192BF3">
        <w:rPr>
          <w:rFonts w:cstheme="minorHAnsi"/>
          <w:b/>
          <w:bCs/>
        </w:rPr>
        <w:t>objects</w:t>
      </w:r>
      <w:r w:rsidRPr="00192BF3">
        <w:rPr>
          <w:rFonts w:cstheme="minorHAnsi"/>
        </w:rPr>
        <w:t xml:space="preserve"> and </w:t>
      </w:r>
      <w:r w:rsidR="00ED0259" w:rsidRPr="00192BF3">
        <w:rPr>
          <w:rFonts w:cstheme="minorHAnsi"/>
          <w:b/>
          <w:bCs/>
        </w:rPr>
        <w:t>agents</w:t>
      </w:r>
      <w:r w:rsidRPr="00192BF3">
        <w:rPr>
          <w:rFonts w:cstheme="minorHAnsi"/>
        </w:rPr>
        <w:t xml:space="preserve"> of transitional justice, whether in conjunction with states or independently. </w:t>
      </w:r>
    </w:p>
    <w:p w14:paraId="0FF1FD52" w14:textId="66950C6B" w:rsidR="004C2779" w:rsidRPr="00192BF3" w:rsidRDefault="004C2779" w:rsidP="00ED0259">
      <w:pPr>
        <w:spacing w:after="120"/>
        <w:jc w:val="both"/>
        <w:rPr>
          <w:rFonts w:cstheme="minorHAnsi"/>
        </w:rPr>
      </w:pPr>
      <w:r w:rsidRPr="00192BF3">
        <w:rPr>
          <w:rFonts w:cstheme="minorHAnsi"/>
        </w:rPr>
        <w:t>These developments reflect changes in global politics</w:t>
      </w:r>
      <w:r w:rsidR="00ED0259" w:rsidRPr="00192BF3">
        <w:rPr>
          <w:rFonts w:cstheme="minorHAnsi"/>
        </w:rPr>
        <w:t>,</w:t>
      </w:r>
      <w:r w:rsidRPr="00192BF3">
        <w:rPr>
          <w:rFonts w:cstheme="minorHAnsi"/>
        </w:rPr>
        <w:t xml:space="preserve"> such as the rise in importance of rebel/terrorist groups, corporations and </w:t>
      </w:r>
      <w:r w:rsidR="00622371" w:rsidRPr="00192BF3">
        <w:rPr>
          <w:rFonts w:cstheme="minorHAnsi"/>
        </w:rPr>
        <w:t>others</w:t>
      </w:r>
      <w:r w:rsidRPr="00192BF3">
        <w:rPr>
          <w:rFonts w:cstheme="minorHAnsi"/>
        </w:rPr>
        <w:t xml:space="preserve">, as well as the evolution of transitional justice thinking and practice. The issues involved are at the cutting edge of </w:t>
      </w:r>
      <w:r w:rsidR="00ED0259" w:rsidRPr="00192BF3">
        <w:rPr>
          <w:rFonts w:cstheme="minorHAnsi"/>
        </w:rPr>
        <w:t xml:space="preserve">contemporary </w:t>
      </w:r>
      <w:r w:rsidRPr="00192BF3">
        <w:rPr>
          <w:rFonts w:cstheme="minorHAnsi"/>
        </w:rPr>
        <w:t>transitional justice, as illustrated by the fact that the latest thematic report of the</w:t>
      </w:r>
      <w:r w:rsidR="00607E85" w:rsidRPr="00192BF3">
        <w:rPr>
          <w:rFonts w:cstheme="minorHAnsi"/>
        </w:rPr>
        <w:t xml:space="preserve"> UN</w:t>
      </w:r>
      <w:r w:rsidRPr="00192BF3">
        <w:rPr>
          <w:rFonts w:cstheme="minorHAnsi"/>
        </w:rPr>
        <w:t xml:space="preserve"> Special Rapporteur on transitional justice (</w:t>
      </w:r>
      <w:r w:rsidR="00607E85" w:rsidRPr="00192BF3">
        <w:rPr>
          <w:rFonts w:cstheme="minorHAnsi"/>
        </w:rPr>
        <w:t xml:space="preserve">in </w:t>
      </w:r>
      <w:r w:rsidRPr="00192BF3">
        <w:rPr>
          <w:rFonts w:cstheme="minorHAnsi"/>
        </w:rPr>
        <w:t>2022) was on the topic of non-state actors. At the same time</w:t>
      </w:r>
      <w:r w:rsidR="00607E85" w:rsidRPr="00192BF3">
        <w:rPr>
          <w:rFonts w:cstheme="minorHAnsi"/>
        </w:rPr>
        <w:t>,</w:t>
      </w:r>
      <w:r w:rsidRPr="00192BF3">
        <w:rPr>
          <w:rFonts w:cstheme="minorHAnsi"/>
        </w:rPr>
        <w:t xml:space="preserve"> there are many lingering questions and dilemmas involved in pursuing accountability for the actions and inactions of non-state actors and </w:t>
      </w:r>
      <w:r w:rsidR="009C3DA9">
        <w:rPr>
          <w:rFonts w:cstheme="minorHAnsi"/>
        </w:rPr>
        <w:t xml:space="preserve">in </w:t>
      </w:r>
      <w:r w:rsidRPr="00192BF3">
        <w:rPr>
          <w:rFonts w:cstheme="minorHAnsi"/>
        </w:rPr>
        <w:t>facilitating and encouraging their engagement with transitional justice processes. More specifically, discussions tend to be held separately in relation to armed groups, corporations</w:t>
      </w:r>
      <w:r w:rsidR="009C3DA9">
        <w:rPr>
          <w:rFonts w:cstheme="minorHAnsi"/>
        </w:rPr>
        <w:t>,</w:t>
      </w:r>
      <w:r w:rsidRPr="00192BF3">
        <w:rPr>
          <w:rFonts w:cstheme="minorHAnsi"/>
        </w:rPr>
        <w:t xml:space="preserve"> and other non-state actors, and there will be much benefit in pursuing them together in a coherent way.  </w:t>
      </w:r>
    </w:p>
    <w:p w14:paraId="38E8C054" w14:textId="36B0D7FC" w:rsidR="00607E85" w:rsidRPr="00192BF3" w:rsidRDefault="004C2779" w:rsidP="00ED0259">
      <w:pPr>
        <w:spacing w:after="120"/>
        <w:jc w:val="both"/>
        <w:rPr>
          <w:rFonts w:cstheme="minorHAnsi"/>
        </w:rPr>
      </w:pPr>
      <w:r w:rsidRPr="00192BF3">
        <w:rPr>
          <w:rFonts w:cstheme="minorHAnsi"/>
        </w:rPr>
        <w:lastRenderedPageBreak/>
        <w:t>Armed groups have long been recognized as under the purview of international law, especially in relation to international humanitarian law, and their leaders have become a common target o</w:t>
      </w:r>
      <w:r w:rsidR="00607E85" w:rsidRPr="00192BF3">
        <w:rPr>
          <w:rFonts w:cstheme="minorHAnsi"/>
        </w:rPr>
        <w:t>f</w:t>
      </w:r>
      <w:r w:rsidRPr="00192BF3">
        <w:rPr>
          <w:rFonts w:cstheme="minorHAnsi"/>
        </w:rPr>
        <w:t xml:space="preserve"> international criminal law. Their involvement in transitional justice processes</w:t>
      </w:r>
      <w:r w:rsidR="00607E85" w:rsidRPr="00192BF3">
        <w:rPr>
          <w:rFonts w:cstheme="minorHAnsi"/>
        </w:rPr>
        <w:t>,</w:t>
      </w:r>
      <w:r w:rsidRPr="00192BF3">
        <w:rPr>
          <w:rFonts w:cstheme="minorHAnsi"/>
        </w:rPr>
        <w:t xml:space="preserve"> such as providing reparations (material or symbolic) raises intricate questions and is now at the forefront of transitional justice debates. The links between corporate responsibility and transitional justice have also been pursued</w:t>
      </w:r>
      <w:r w:rsidR="00607E85" w:rsidRPr="00192BF3">
        <w:rPr>
          <w:rFonts w:cstheme="minorHAnsi"/>
        </w:rPr>
        <w:t>,</w:t>
      </w:r>
      <w:r w:rsidRPr="00192BF3">
        <w:rPr>
          <w:rFonts w:cstheme="minorHAnsi"/>
        </w:rPr>
        <w:t xml:space="preserve"> and addressing the challenges involved remain crucial, with the prominent involvement of mercenaries in the Ukraine war providing yet another illustration.</w:t>
      </w:r>
    </w:p>
    <w:p w14:paraId="518FF4E0" w14:textId="173962D8" w:rsidR="004C2779" w:rsidRPr="00192BF3" w:rsidRDefault="004C2779" w:rsidP="00607E85">
      <w:pPr>
        <w:spacing w:after="120"/>
        <w:jc w:val="both"/>
        <w:rPr>
          <w:rFonts w:cstheme="minorHAnsi"/>
        </w:rPr>
      </w:pPr>
      <w:r w:rsidRPr="00192BF3">
        <w:rPr>
          <w:rFonts w:cstheme="minorHAnsi"/>
        </w:rPr>
        <w:t xml:space="preserve">More broadly, in many countries debates about historical responsibility for wrongs have addressed the roles of sub-state public bodies such as municipalities, universities, religious bodies, museums or professional associations (e.g. of lawyers and physicians). Protests against the legacy of slavery, colonialism and discrimination – associated with Rhodes Must Fall and Black Lives Matter – have often focused on the role of municipalities and universities in addressing legacies of discrimination and abuses, including in relation to statues symbolizing racial supremacy. Religious institutions have also been object and at times actors of transitional justice-like processes, most notably in relation to the responsibility of churches for systematic sexual abuses, though there is much more to be done in this respect. Professional bodies – e.g. the legal professions and physicians – have been addressed by the South African TRC and elsewhere, but challenges remain.  </w:t>
      </w:r>
    </w:p>
    <w:p w14:paraId="7E2C9EBA" w14:textId="788CCE2F" w:rsidR="004C2779" w:rsidRPr="00192BF3" w:rsidRDefault="004C2779" w:rsidP="00607E85">
      <w:pPr>
        <w:spacing w:after="120"/>
        <w:jc w:val="both"/>
        <w:rPr>
          <w:rFonts w:cstheme="minorHAnsi"/>
        </w:rPr>
      </w:pPr>
      <w:r w:rsidRPr="00192BF3">
        <w:rPr>
          <w:rFonts w:cstheme="minorHAnsi"/>
        </w:rPr>
        <w:t xml:space="preserve">Across these different contexts and cases, several shared questions arise, </w:t>
      </w:r>
      <w:r w:rsidR="00607E85" w:rsidRPr="00192BF3">
        <w:rPr>
          <w:rFonts w:cstheme="minorHAnsi"/>
        </w:rPr>
        <w:t xml:space="preserve">with </w:t>
      </w:r>
      <w:r w:rsidRPr="00192BF3">
        <w:rPr>
          <w:rFonts w:cstheme="minorHAnsi"/>
        </w:rPr>
        <w:t xml:space="preserve">which the conference </w:t>
      </w:r>
      <w:r w:rsidR="00607E85" w:rsidRPr="00192BF3">
        <w:rPr>
          <w:rFonts w:cstheme="minorHAnsi"/>
        </w:rPr>
        <w:t>seeks to engage</w:t>
      </w:r>
      <w:r w:rsidRPr="00192BF3">
        <w:rPr>
          <w:rFonts w:cstheme="minorHAnsi"/>
        </w:rPr>
        <w:t xml:space="preserve">: </w:t>
      </w:r>
      <w:r w:rsidR="00607E85" w:rsidRPr="00192BF3">
        <w:rPr>
          <w:rFonts w:cstheme="minorHAnsi"/>
        </w:rPr>
        <w:t>W</w:t>
      </w:r>
      <w:r w:rsidRPr="00192BF3">
        <w:rPr>
          <w:rFonts w:cstheme="minorHAnsi"/>
        </w:rPr>
        <w:t>hat are the relevant international human rights standards</w:t>
      </w:r>
      <w:r w:rsidR="00607E85" w:rsidRPr="00192BF3">
        <w:rPr>
          <w:rFonts w:cstheme="minorHAnsi"/>
        </w:rPr>
        <w:t>? H</w:t>
      </w:r>
      <w:r w:rsidRPr="00192BF3">
        <w:rPr>
          <w:rFonts w:cstheme="minorHAnsi"/>
        </w:rPr>
        <w:t>ow to address the limitations of the international law framework in relation to non-state actors? What is the repertoire of mechanisms</w:t>
      </w:r>
      <w:r w:rsidR="00ED0259" w:rsidRPr="00192BF3">
        <w:rPr>
          <w:rFonts w:cstheme="minorHAnsi"/>
        </w:rPr>
        <w:t>,</w:t>
      </w:r>
      <w:r w:rsidRPr="00192BF3">
        <w:rPr>
          <w:rFonts w:cstheme="minorHAnsi"/>
        </w:rPr>
        <w:t xml:space="preserve"> and what new practice</w:t>
      </w:r>
      <w:r w:rsidR="009C3DA9">
        <w:rPr>
          <w:rFonts w:cstheme="minorHAnsi"/>
        </w:rPr>
        <w:t>s, technologies, and</w:t>
      </w:r>
      <w:r w:rsidRPr="00192BF3">
        <w:rPr>
          <w:rFonts w:cstheme="minorHAnsi"/>
        </w:rPr>
        <w:t xml:space="preserve"> methods can be developed in these cases</w:t>
      </w:r>
      <w:r w:rsidR="009C3DA9">
        <w:rPr>
          <w:rFonts w:cstheme="minorHAnsi"/>
        </w:rPr>
        <w:t xml:space="preserve">, </w:t>
      </w:r>
      <w:r w:rsidR="004D3B26">
        <w:rPr>
          <w:rFonts w:cstheme="minorHAnsi"/>
        </w:rPr>
        <w:t>including in</w:t>
      </w:r>
      <w:r w:rsidR="009C3DA9">
        <w:rPr>
          <w:rFonts w:cstheme="minorHAnsi"/>
        </w:rPr>
        <w:t xml:space="preserve"> social and cultural rather than legal settings</w:t>
      </w:r>
      <w:r w:rsidRPr="00192BF3">
        <w:rPr>
          <w:rFonts w:cstheme="minorHAnsi"/>
        </w:rPr>
        <w:t>? How to navigate the disparate needs and positions of victims? How to determine the responsibility of non-state actors without minimizing that of the state? When does inaction turn into complicity in abuses? What lessons can be identified from past and ongoing interventions?</w:t>
      </w:r>
    </w:p>
    <w:p w14:paraId="251FE24B" w14:textId="1230B727" w:rsidR="00175180" w:rsidRPr="00192BF3" w:rsidRDefault="00175180" w:rsidP="00175180">
      <w:pPr>
        <w:spacing w:after="120"/>
        <w:jc w:val="both"/>
        <w:rPr>
          <w:rFonts w:cstheme="minorHAnsi"/>
          <w:b/>
          <w:bCs/>
        </w:rPr>
      </w:pPr>
      <w:r w:rsidRPr="00192BF3">
        <w:rPr>
          <w:rFonts w:cstheme="minorHAnsi"/>
          <w:b/>
          <w:bCs/>
        </w:rPr>
        <w:t>The conference organizers invite proposals to present a paper dealing with one or more of the above issues, or</w:t>
      </w:r>
      <w:r w:rsidRPr="00192BF3">
        <w:rPr>
          <w:rFonts w:cstheme="minorHAnsi"/>
        </w:rPr>
        <w:t xml:space="preserve"> </w:t>
      </w:r>
      <w:r w:rsidRPr="00192BF3">
        <w:rPr>
          <w:rFonts w:cstheme="minorHAnsi"/>
          <w:b/>
          <w:bCs/>
        </w:rPr>
        <w:t>other relevant and contemporary issues relating to the topic of the conference.</w:t>
      </w:r>
    </w:p>
    <w:p w14:paraId="63609202" w14:textId="77777777" w:rsidR="000C2120" w:rsidRPr="00192BF3" w:rsidRDefault="000C2120" w:rsidP="000C2120">
      <w:pPr>
        <w:spacing w:before="240" w:after="120"/>
        <w:jc w:val="both"/>
        <w:rPr>
          <w:rFonts w:cstheme="minorHAnsi"/>
          <w:b/>
          <w:bCs/>
        </w:rPr>
      </w:pPr>
      <w:r w:rsidRPr="00192BF3">
        <w:rPr>
          <w:rFonts w:cstheme="minorHAnsi"/>
          <w:b/>
          <w:bCs/>
          <w:u w:val="single"/>
        </w:rPr>
        <w:t>Publication</w:t>
      </w:r>
      <w:r w:rsidRPr="00192BF3">
        <w:rPr>
          <w:rFonts w:cstheme="minorHAnsi"/>
          <w:b/>
          <w:bCs/>
        </w:rPr>
        <w:t>:</w:t>
      </w:r>
    </w:p>
    <w:p w14:paraId="0ACE4F4A" w14:textId="62966561" w:rsidR="000C2120" w:rsidRPr="00192BF3" w:rsidRDefault="000C2120" w:rsidP="000C2120">
      <w:pPr>
        <w:pStyle w:val="Standard"/>
        <w:spacing w:after="120"/>
        <w:jc w:val="both"/>
        <w:rPr>
          <w:rFonts w:asciiTheme="minorHAnsi" w:hAnsiTheme="minorHAnsi" w:cstheme="minorHAnsi"/>
          <w:sz w:val="22"/>
          <w:szCs w:val="22"/>
          <w:lang w:val="en-GB"/>
        </w:rPr>
      </w:pPr>
      <w:r w:rsidRPr="00192BF3">
        <w:rPr>
          <w:rFonts w:asciiTheme="minorHAnsi" w:hAnsiTheme="minorHAnsi" w:cstheme="minorHAnsi"/>
          <w:sz w:val="22"/>
          <w:szCs w:val="22"/>
          <w:lang w:val="en-GB"/>
        </w:rPr>
        <w:t xml:space="preserve">The </w:t>
      </w:r>
      <w:r w:rsidRPr="00192BF3">
        <w:rPr>
          <w:rFonts w:asciiTheme="minorHAnsi" w:hAnsiTheme="minorHAnsi" w:cstheme="minorHAnsi"/>
          <w:i/>
          <w:iCs/>
          <w:sz w:val="22"/>
          <w:szCs w:val="22"/>
          <w:lang w:val="en-GB"/>
        </w:rPr>
        <w:t>Israel Law Revie</w:t>
      </w:r>
      <w:r w:rsidRPr="00192BF3">
        <w:rPr>
          <w:rFonts w:asciiTheme="minorHAnsi" w:hAnsiTheme="minorHAnsi" w:cstheme="minorHAnsi"/>
          <w:sz w:val="22"/>
          <w:szCs w:val="22"/>
          <w:lang w:val="en-GB"/>
        </w:rPr>
        <w:t>w, the Minerva Center’s journal of human rights,</w:t>
      </w:r>
      <w:r w:rsidR="00192BF3">
        <w:rPr>
          <w:rFonts w:asciiTheme="minorHAnsi" w:hAnsiTheme="minorHAnsi" w:cstheme="minorHAnsi"/>
          <w:sz w:val="22"/>
          <w:szCs w:val="22"/>
          <w:lang w:val="en-GB"/>
        </w:rPr>
        <w:t xml:space="preserve"> public and</w:t>
      </w:r>
      <w:r w:rsidRPr="00192BF3">
        <w:rPr>
          <w:rFonts w:asciiTheme="minorHAnsi" w:hAnsiTheme="minorHAnsi" w:cstheme="minorHAnsi"/>
          <w:sz w:val="22"/>
          <w:szCs w:val="22"/>
          <w:lang w:val="en-GB"/>
        </w:rPr>
        <w:t xml:space="preserve"> international law (published by Cambridge University Press), is interested in publishing selected full-length papers based on conference presentations, subject to its standard review and editing procedures. </w:t>
      </w:r>
      <w:r w:rsidR="00106F80" w:rsidRPr="00192BF3">
        <w:rPr>
          <w:rFonts w:asciiTheme="minorHAnsi" w:hAnsiTheme="minorHAnsi" w:cstheme="minorHAnsi"/>
          <w:sz w:val="22"/>
          <w:szCs w:val="22"/>
          <w:lang w:val="en-GB"/>
        </w:rPr>
        <w:t>The organizers will consider o</w:t>
      </w:r>
      <w:r w:rsidRPr="00192BF3">
        <w:rPr>
          <w:rFonts w:asciiTheme="minorHAnsi" w:hAnsiTheme="minorHAnsi" w:cstheme="minorHAnsi"/>
          <w:sz w:val="22"/>
          <w:szCs w:val="22"/>
          <w:lang w:val="en-GB"/>
        </w:rPr>
        <w:t>ther publication options</w:t>
      </w:r>
      <w:r w:rsidR="00106F80" w:rsidRPr="00192BF3">
        <w:rPr>
          <w:rFonts w:asciiTheme="minorHAnsi" w:hAnsiTheme="minorHAnsi" w:cstheme="minorHAnsi"/>
          <w:sz w:val="22"/>
          <w:szCs w:val="22"/>
          <w:lang w:val="en-GB"/>
        </w:rPr>
        <w:t xml:space="preserve"> as well</w:t>
      </w:r>
      <w:r w:rsidRPr="00192BF3">
        <w:rPr>
          <w:rFonts w:asciiTheme="minorHAnsi" w:hAnsiTheme="minorHAnsi" w:cstheme="minorHAnsi"/>
          <w:sz w:val="22"/>
          <w:szCs w:val="22"/>
          <w:lang w:val="en-GB"/>
        </w:rPr>
        <w:t>, such as publishing an edited collection or a special issue arising from the proceedings.</w:t>
      </w:r>
    </w:p>
    <w:p w14:paraId="51C145D2" w14:textId="77777777" w:rsidR="00175180" w:rsidRPr="00192BF3" w:rsidRDefault="00175180" w:rsidP="00175180">
      <w:pPr>
        <w:spacing w:before="240" w:after="120"/>
        <w:jc w:val="both"/>
        <w:rPr>
          <w:rFonts w:cstheme="minorHAnsi"/>
          <w:b/>
          <w:bCs/>
        </w:rPr>
      </w:pPr>
      <w:r w:rsidRPr="00192BF3">
        <w:rPr>
          <w:rFonts w:cstheme="minorHAnsi"/>
          <w:b/>
          <w:bCs/>
          <w:u w:val="single"/>
        </w:rPr>
        <w:t>Submissions</w:t>
      </w:r>
      <w:r w:rsidRPr="00192BF3">
        <w:rPr>
          <w:rFonts w:cstheme="minorHAnsi"/>
          <w:b/>
          <w:bCs/>
        </w:rPr>
        <w:t>:</w:t>
      </w:r>
    </w:p>
    <w:p w14:paraId="3A8CD1A4" w14:textId="77777777" w:rsidR="00885894" w:rsidRDefault="00175180" w:rsidP="00106F80">
      <w:pPr>
        <w:spacing w:after="120"/>
        <w:jc w:val="both"/>
        <w:rPr>
          <w:rFonts w:cstheme="minorHAnsi"/>
        </w:rPr>
      </w:pPr>
      <w:r w:rsidRPr="00192BF3">
        <w:rPr>
          <w:rFonts w:cstheme="minorHAnsi"/>
        </w:rPr>
        <w:t>Researchers</w:t>
      </w:r>
      <w:r w:rsidR="00973726" w:rsidRPr="00192BF3">
        <w:rPr>
          <w:rFonts w:cstheme="minorHAnsi"/>
        </w:rPr>
        <w:t xml:space="preserve"> and practitioners</w:t>
      </w:r>
      <w:r w:rsidRPr="00192BF3">
        <w:rPr>
          <w:rFonts w:cstheme="minorHAnsi"/>
        </w:rPr>
        <w:t xml:space="preserve"> interested in addressing these issues are invited to respond to this call for papers with a proposal of up to </w:t>
      </w:r>
      <w:r w:rsidR="000C2120" w:rsidRPr="00192BF3">
        <w:rPr>
          <w:rFonts w:cstheme="minorHAnsi"/>
        </w:rPr>
        <w:t xml:space="preserve">500 </w:t>
      </w:r>
      <w:r w:rsidRPr="00192BF3">
        <w:rPr>
          <w:rFonts w:cstheme="minorHAnsi"/>
        </w:rPr>
        <w:t>words for an article</w:t>
      </w:r>
      <w:r w:rsidR="005A6EC8" w:rsidRPr="00192BF3">
        <w:rPr>
          <w:rFonts w:cstheme="minorHAnsi"/>
        </w:rPr>
        <w:t xml:space="preserve"> </w:t>
      </w:r>
      <w:r w:rsidRPr="00192BF3">
        <w:rPr>
          <w:rFonts w:cstheme="minorHAnsi"/>
        </w:rPr>
        <w:t xml:space="preserve">and presentation, along with a brief CV. </w:t>
      </w:r>
    </w:p>
    <w:p w14:paraId="53600FBA" w14:textId="147E6CA4" w:rsidR="00106F80" w:rsidRPr="00192BF3" w:rsidRDefault="00175180" w:rsidP="00106F80">
      <w:pPr>
        <w:spacing w:after="120"/>
        <w:jc w:val="both"/>
        <w:rPr>
          <w:rFonts w:cstheme="minorHAnsi"/>
          <w:lang w:val="en-GB"/>
        </w:rPr>
      </w:pPr>
      <w:r w:rsidRPr="00885894">
        <w:rPr>
          <w:rFonts w:cstheme="minorHAnsi"/>
          <w:b/>
          <w:bCs/>
        </w:rPr>
        <w:t xml:space="preserve">Proposals should be submitted </w:t>
      </w:r>
      <w:r w:rsidR="00106F80" w:rsidRPr="00192BF3">
        <w:rPr>
          <w:rFonts w:cstheme="minorHAnsi"/>
          <w:b/>
          <w:bCs/>
          <w:lang w:val="en-GB"/>
        </w:rPr>
        <w:t>no later than</w:t>
      </w:r>
      <w:r w:rsidR="00106F80" w:rsidRPr="00192BF3">
        <w:rPr>
          <w:rFonts w:cstheme="minorHAnsi"/>
          <w:lang w:val="en-GB"/>
        </w:rPr>
        <w:t xml:space="preserve"> </w:t>
      </w:r>
      <w:r w:rsidR="00106F80" w:rsidRPr="00885894">
        <w:rPr>
          <w:rFonts w:cstheme="minorHAnsi"/>
          <w:b/>
          <w:bCs/>
          <w:u w:val="single"/>
          <w:lang w:val="en-GB"/>
        </w:rPr>
        <w:t>April 3, 2023</w:t>
      </w:r>
      <w:r w:rsidR="00106F80" w:rsidRPr="00885894">
        <w:rPr>
          <w:rFonts w:cstheme="minorHAnsi"/>
          <w:b/>
          <w:bCs/>
          <w:lang w:val="en-GB"/>
        </w:rPr>
        <w:t xml:space="preserve">, </w:t>
      </w:r>
      <w:r w:rsidR="0032279E" w:rsidRPr="00885894">
        <w:rPr>
          <w:rFonts w:cstheme="minorHAnsi"/>
          <w:b/>
          <w:bCs/>
        </w:rPr>
        <w:t>via</w:t>
      </w:r>
      <w:r w:rsidR="00ED0259" w:rsidRPr="00885894">
        <w:rPr>
          <w:rFonts w:cstheme="minorHAnsi"/>
          <w:b/>
          <w:bCs/>
        </w:rPr>
        <w:t xml:space="preserve"> the Hebrew </w:t>
      </w:r>
      <w:r w:rsidR="00106F80" w:rsidRPr="00885894">
        <w:rPr>
          <w:rFonts w:cstheme="minorHAnsi"/>
          <w:b/>
          <w:bCs/>
        </w:rPr>
        <w:t>U</w:t>
      </w:r>
      <w:r w:rsidR="00ED0259" w:rsidRPr="00885894">
        <w:rPr>
          <w:rFonts w:cstheme="minorHAnsi"/>
          <w:b/>
          <w:bCs/>
        </w:rPr>
        <w:t>niversity’s application platform</w:t>
      </w:r>
      <w:r w:rsidR="00DE08EB" w:rsidRPr="00885894">
        <w:rPr>
          <w:rFonts w:cstheme="minorHAnsi"/>
          <w:b/>
          <w:bCs/>
        </w:rPr>
        <w:t>:</w:t>
      </w:r>
      <w:r w:rsidRPr="00192BF3">
        <w:rPr>
          <w:rFonts w:cstheme="minorHAnsi"/>
        </w:rPr>
        <w:t xml:space="preserve"> </w:t>
      </w:r>
      <w:hyperlink r:id="rId7" w:history="1">
        <w:r w:rsidR="004D3B26" w:rsidRPr="004D3B26">
          <w:rPr>
            <w:rStyle w:val="Hyperlink"/>
            <w:rFonts w:cstheme="minorHAnsi"/>
          </w:rPr>
          <w:t>https://gss.ekmd.huji.ac.il</w:t>
        </w:r>
      </w:hyperlink>
      <w:r w:rsidR="00885894">
        <w:rPr>
          <w:rFonts w:cstheme="minorHAnsi"/>
        </w:rPr>
        <w:t>.</w:t>
      </w:r>
      <w:r w:rsidR="004D3B26" w:rsidRPr="004D3B26">
        <w:rPr>
          <w:rFonts w:cstheme="minorHAnsi"/>
        </w:rPr>
        <w:t xml:space="preserve"> </w:t>
      </w:r>
      <w:r w:rsidR="00885894">
        <w:rPr>
          <w:rFonts w:cstheme="minorHAnsi"/>
        </w:rPr>
        <w:t>A</w:t>
      </w:r>
      <w:r w:rsidR="00DE08EB" w:rsidRPr="00192BF3">
        <w:rPr>
          <w:rFonts w:cstheme="minorHAnsi"/>
        </w:rPr>
        <w:t xml:space="preserve">fter creating an account on the platform, select “General and Cross-Faculty Applications”, and then “Minerva Conference on Transitional Justice </w:t>
      </w:r>
      <w:r w:rsidR="00FB5D2B">
        <w:rPr>
          <w:rFonts w:cstheme="minorHAnsi"/>
        </w:rPr>
        <w:t>b</w:t>
      </w:r>
      <w:r w:rsidR="00DE08EB" w:rsidRPr="00192BF3">
        <w:rPr>
          <w:rFonts w:cstheme="minorHAnsi"/>
        </w:rPr>
        <w:t>eyond the State”.</w:t>
      </w:r>
    </w:p>
    <w:p w14:paraId="62949051" w14:textId="6D8DFC84" w:rsidR="00175180" w:rsidRDefault="00175180" w:rsidP="00622371">
      <w:pPr>
        <w:pStyle w:val="Standard"/>
        <w:spacing w:after="120"/>
        <w:jc w:val="both"/>
        <w:rPr>
          <w:rFonts w:asciiTheme="minorHAnsi" w:hAnsiTheme="minorHAnsi" w:cstheme="minorHAnsi"/>
          <w:sz w:val="22"/>
          <w:szCs w:val="22"/>
          <w:lang w:val="en-GB"/>
        </w:rPr>
      </w:pPr>
      <w:r w:rsidRPr="00885894">
        <w:rPr>
          <w:rFonts w:asciiTheme="minorHAnsi" w:hAnsiTheme="minorHAnsi" w:cstheme="minorHAnsi"/>
          <w:b/>
          <w:bCs/>
          <w:sz w:val="22"/>
          <w:szCs w:val="22"/>
          <w:lang w:val="en-GB"/>
        </w:rPr>
        <w:t xml:space="preserve">Applicants should expect notification of the committee's decision by </w:t>
      </w:r>
      <w:r w:rsidR="00973726" w:rsidRPr="00885894">
        <w:rPr>
          <w:rFonts w:asciiTheme="minorHAnsi" w:hAnsiTheme="minorHAnsi" w:cstheme="minorHAnsi"/>
          <w:b/>
          <w:bCs/>
          <w:sz w:val="22"/>
          <w:szCs w:val="22"/>
          <w:lang w:val="en-GB"/>
        </w:rPr>
        <w:t>mid-April</w:t>
      </w:r>
      <w:r w:rsidRPr="00885894">
        <w:rPr>
          <w:rFonts w:asciiTheme="minorHAnsi" w:hAnsiTheme="minorHAnsi" w:cstheme="minorHAnsi"/>
          <w:b/>
          <w:bCs/>
          <w:sz w:val="22"/>
          <w:szCs w:val="22"/>
          <w:lang w:val="en-GB"/>
        </w:rPr>
        <w:t xml:space="preserve"> 202</w:t>
      </w:r>
      <w:r w:rsidR="00973726" w:rsidRPr="00885894">
        <w:rPr>
          <w:rFonts w:asciiTheme="minorHAnsi" w:hAnsiTheme="minorHAnsi" w:cstheme="minorHAnsi"/>
          <w:b/>
          <w:bCs/>
          <w:sz w:val="22"/>
          <w:szCs w:val="22"/>
          <w:lang w:val="en-GB"/>
        </w:rPr>
        <w:t>3.</w:t>
      </w:r>
      <w:r w:rsidR="00973726" w:rsidRPr="00192BF3">
        <w:rPr>
          <w:rFonts w:asciiTheme="minorHAnsi" w:hAnsiTheme="minorHAnsi" w:cstheme="minorHAnsi"/>
          <w:sz w:val="22"/>
          <w:szCs w:val="22"/>
          <w:lang w:val="en-GB"/>
        </w:rPr>
        <w:t xml:space="preserve"> Written drafts </w:t>
      </w:r>
      <w:r w:rsidR="00622371" w:rsidRPr="00192BF3">
        <w:rPr>
          <w:rFonts w:asciiTheme="minorHAnsi" w:hAnsiTheme="minorHAnsi" w:cstheme="minorHAnsi"/>
          <w:sz w:val="22"/>
          <w:szCs w:val="22"/>
          <w:lang w:val="en-GB"/>
        </w:rPr>
        <w:t>or outlines</w:t>
      </w:r>
      <w:r w:rsidRPr="00192BF3">
        <w:rPr>
          <w:rFonts w:asciiTheme="minorHAnsi" w:hAnsiTheme="minorHAnsi" w:cstheme="minorHAnsi"/>
          <w:sz w:val="22"/>
          <w:szCs w:val="22"/>
          <w:lang w:val="en-GB"/>
        </w:rPr>
        <w:t xml:space="preserve">, based on the selected proposals, will be expected by June </w:t>
      </w:r>
      <w:r w:rsidR="00973726" w:rsidRPr="00192BF3">
        <w:rPr>
          <w:rFonts w:asciiTheme="minorHAnsi" w:hAnsiTheme="minorHAnsi" w:cstheme="minorHAnsi"/>
          <w:sz w:val="22"/>
          <w:szCs w:val="22"/>
          <w:lang w:val="en-GB"/>
        </w:rPr>
        <w:t>7</w:t>
      </w:r>
      <w:r w:rsidRPr="00192BF3">
        <w:rPr>
          <w:rFonts w:asciiTheme="minorHAnsi" w:hAnsiTheme="minorHAnsi" w:cstheme="minorHAnsi"/>
          <w:sz w:val="22"/>
          <w:szCs w:val="22"/>
          <w:lang w:val="en-GB"/>
        </w:rPr>
        <w:t>, 202</w:t>
      </w:r>
      <w:r w:rsidR="00973726" w:rsidRPr="00192BF3">
        <w:rPr>
          <w:rFonts w:asciiTheme="minorHAnsi" w:hAnsiTheme="minorHAnsi" w:cstheme="minorHAnsi"/>
          <w:sz w:val="22"/>
          <w:szCs w:val="22"/>
          <w:lang w:val="en-GB"/>
        </w:rPr>
        <w:t>3</w:t>
      </w:r>
      <w:r w:rsidR="00622371" w:rsidRPr="00192BF3">
        <w:rPr>
          <w:rFonts w:asciiTheme="minorHAnsi" w:hAnsiTheme="minorHAnsi" w:cstheme="minorHAnsi"/>
          <w:sz w:val="22"/>
          <w:szCs w:val="22"/>
          <w:lang w:val="en-GB"/>
        </w:rPr>
        <w:t>,</w:t>
      </w:r>
      <w:r w:rsidR="00973726" w:rsidRPr="00192BF3">
        <w:rPr>
          <w:rFonts w:asciiTheme="minorHAnsi" w:hAnsiTheme="minorHAnsi" w:cstheme="minorHAnsi"/>
          <w:sz w:val="22"/>
          <w:szCs w:val="22"/>
          <w:lang w:val="en-GB"/>
        </w:rPr>
        <w:t xml:space="preserve"> for distribution among the conference speakers</w:t>
      </w:r>
      <w:r w:rsidRPr="00192BF3">
        <w:rPr>
          <w:rFonts w:asciiTheme="minorHAnsi" w:hAnsiTheme="minorHAnsi" w:cstheme="minorHAnsi"/>
          <w:sz w:val="22"/>
          <w:szCs w:val="22"/>
          <w:lang w:val="en-GB"/>
        </w:rPr>
        <w:t>.</w:t>
      </w:r>
    </w:p>
    <w:p w14:paraId="2ADCC633" w14:textId="77777777" w:rsidR="00885894" w:rsidRPr="00192BF3" w:rsidRDefault="00885894" w:rsidP="00885894">
      <w:pPr>
        <w:pStyle w:val="Standard"/>
        <w:spacing w:before="120" w:after="120"/>
        <w:jc w:val="both"/>
        <w:rPr>
          <w:rStyle w:val="Hyperlink"/>
          <w:rFonts w:asciiTheme="minorHAnsi" w:hAnsiTheme="minorHAnsi" w:cstheme="minorHAnsi"/>
          <w:sz w:val="22"/>
          <w:szCs w:val="22"/>
        </w:rPr>
      </w:pPr>
      <w:r w:rsidRPr="00192BF3">
        <w:rPr>
          <w:rFonts w:asciiTheme="minorHAnsi" w:hAnsiTheme="minorHAnsi" w:cstheme="minorHAnsi"/>
          <w:sz w:val="22"/>
          <w:szCs w:val="22"/>
        </w:rPr>
        <w:t xml:space="preserve">For questions regarding the application process, please contact: </w:t>
      </w:r>
      <w:hyperlink r:id="rId8" w:history="1">
        <w:r w:rsidRPr="00192BF3">
          <w:rPr>
            <w:rStyle w:val="Hyperlink"/>
            <w:rFonts w:asciiTheme="minorHAnsi" w:hAnsiTheme="minorHAnsi" w:cstheme="minorHAnsi"/>
            <w:sz w:val="22"/>
            <w:szCs w:val="22"/>
          </w:rPr>
          <w:t>mchr@savion.huji.ac.il</w:t>
        </w:r>
      </w:hyperlink>
    </w:p>
    <w:p w14:paraId="46CA2ECE" w14:textId="323A261B" w:rsidR="00175180" w:rsidRPr="00192BF3" w:rsidRDefault="003401CB" w:rsidP="00175180">
      <w:pPr>
        <w:spacing w:before="240" w:after="120"/>
        <w:jc w:val="both"/>
        <w:rPr>
          <w:rFonts w:cstheme="minorHAnsi"/>
          <w:b/>
          <w:bCs/>
        </w:rPr>
      </w:pPr>
      <w:r w:rsidRPr="00192BF3">
        <w:rPr>
          <w:rFonts w:cstheme="minorHAnsi"/>
          <w:b/>
          <w:bCs/>
          <w:u w:val="single"/>
        </w:rPr>
        <w:t>Organizing</w:t>
      </w:r>
      <w:r w:rsidR="00175180" w:rsidRPr="00192BF3">
        <w:rPr>
          <w:rFonts w:cstheme="minorHAnsi"/>
          <w:b/>
          <w:bCs/>
          <w:u w:val="single"/>
        </w:rPr>
        <w:t xml:space="preserve"> Committee</w:t>
      </w:r>
      <w:r w:rsidR="00175180" w:rsidRPr="00192BF3">
        <w:rPr>
          <w:rFonts w:cstheme="minorHAnsi"/>
          <w:b/>
          <w:bCs/>
        </w:rPr>
        <w:t>:</w:t>
      </w:r>
    </w:p>
    <w:p w14:paraId="45C66DAF" w14:textId="395F16F1" w:rsidR="00DF1241" w:rsidRPr="00192BF3" w:rsidRDefault="00E324A9" w:rsidP="00192BF3">
      <w:pPr>
        <w:pStyle w:val="Standard"/>
        <w:jc w:val="both"/>
        <w:outlineLvl w:val="0"/>
        <w:rPr>
          <w:rFonts w:asciiTheme="minorHAnsi" w:hAnsiTheme="minorHAnsi" w:cstheme="minorHAnsi"/>
          <w:sz w:val="22"/>
          <w:szCs w:val="22"/>
          <w:lang w:val="en-GB"/>
        </w:rPr>
      </w:pPr>
      <w:r w:rsidRPr="00192BF3">
        <w:rPr>
          <w:rFonts w:asciiTheme="minorHAnsi" w:hAnsiTheme="minorHAnsi" w:cstheme="minorHAnsi"/>
          <w:sz w:val="22"/>
          <w:szCs w:val="22"/>
          <w:lang w:val="en-GB"/>
        </w:rPr>
        <w:t>Dr. Ron Dudai</w:t>
      </w:r>
      <w:r w:rsidR="00DE08EB" w:rsidRPr="00192BF3">
        <w:rPr>
          <w:rFonts w:asciiTheme="minorHAnsi" w:hAnsiTheme="minorHAnsi" w:cstheme="minorHAnsi"/>
          <w:sz w:val="22"/>
          <w:szCs w:val="22"/>
          <w:lang w:val="en-GB"/>
        </w:rPr>
        <w:t>,</w:t>
      </w:r>
      <w:r w:rsidRPr="00192BF3">
        <w:rPr>
          <w:rFonts w:asciiTheme="minorHAnsi" w:hAnsiTheme="minorHAnsi" w:cstheme="minorHAnsi"/>
          <w:sz w:val="22"/>
          <w:szCs w:val="22"/>
          <w:lang w:val="en-GB"/>
        </w:rPr>
        <w:t xml:space="preserve"> Ben-Gurion University of the Negev</w:t>
      </w:r>
      <w:r w:rsidR="00ED0259" w:rsidRPr="00192BF3">
        <w:rPr>
          <w:rFonts w:asciiTheme="minorHAnsi" w:hAnsiTheme="minorHAnsi" w:cstheme="minorHAnsi"/>
          <w:sz w:val="22"/>
          <w:szCs w:val="22"/>
          <w:lang w:val="en-GB"/>
        </w:rPr>
        <w:t xml:space="preserve">; </w:t>
      </w:r>
      <w:r w:rsidRPr="00192BF3">
        <w:rPr>
          <w:rFonts w:asciiTheme="minorHAnsi" w:hAnsiTheme="minorHAnsi" w:cstheme="minorHAnsi"/>
          <w:sz w:val="22"/>
          <w:szCs w:val="22"/>
          <w:lang w:val="en-GB"/>
        </w:rPr>
        <w:t xml:space="preserve">Dr. Einat Albin, Dr. </w:t>
      </w:r>
      <w:r w:rsidR="00175180" w:rsidRPr="00192BF3">
        <w:rPr>
          <w:rFonts w:asciiTheme="minorHAnsi" w:hAnsiTheme="minorHAnsi" w:cstheme="minorHAnsi"/>
          <w:sz w:val="22"/>
          <w:szCs w:val="22"/>
          <w:lang w:val="en-GB"/>
        </w:rPr>
        <w:t>Or Avi-Guy</w:t>
      </w:r>
      <w:r w:rsidR="00622371" w:rsidRPr="00192BF3">
        <w:rPr>
          <w:rFonts w:asciiTheme="minorHAnsi" w:hAnsiTheme="minorHAnsi" w:cstheme="minorHAnsi"/>
          <w:sz w:val="22"/>
          <w:szCs w:val="22"/>
          <w:lang w:val="en-GB"/>
        </w:rPr>
        <w:t>, Dr. Michal Huss, Dr. Uri Ansenberg, and Adv. Danny Evron</w:t>
      </w:r>
      <w:r w:rsidR="00DE08EB" w:rsidRPr="00192BF3">
        <w:rPr>
          <w:rFonts w:asciiTheme="minorHAnsi" w:hAnsiTheme="minorHAnsi" w:cstheme="minorHAnsi"/>
          <w:sz w:val="22"/>
          <w:szCs w:val="22"/>
          <w:lang w:val="en-GB"/>
        </w:rPr>
        <w:t>,</w:t>
      </w:r>
      <w:r w:rsidR="00622371" w:rsidRPr="00192BF3">
        <w:rPr>
          <w:rFonts w:asciiTheme="minorHAnsi" w:hAnsiTheme="minorHAnsi" w:cstheme="minorHAnsi"/>
          <w:sz w:val="22"/>
          <w:szCs w:val="22"/>
          <w:lang w:val="en-GB"/>
        </w:rPr>
        <w:t xml:space="preserve"> The </w:t>
      </w:r>
      <w:r w:rsidR="00175180" w:rsidRPr="00192BF3">
        <w:rPr>
          <w:rFonts w:asciiTheme="minorHAnsi" w:hAnsiTheme="minorHAnsi" w:cstheme="minorHAnsi"/>
          <w:sz w:val="22"/>
          <w:szCs w:val="22"/>
          <w:lang w:val="en-GB"/>
        </w:rPr>
        <w:t>Hebrew University of Jerusalem</w:t>
      </w:r>
      <w:r w:rsidR="00ED0259" w:rsidRPr="00192BF3">
        <w:rPr>
          <w:rFonts w:asciiTheme="minorHAnsi" w:hAnsiTheme="minorHAnsi" w:cstheme="minorHAnsi"/>
          <w:sz w:val="22"/>
          <w:szCs w:val="22"/>
          <w:lang w:val="en-GB"/>
        </w:rPr>
        <w:t xml:space="preserve">; </w:t>
      </w:r>
      <w:r w:rsidR="00622371" w:rsidRPr="00192BF3">
        <w:rPr>
          <w:rFonts w:asciiTheme="minorHAnsi" w:hAnsiTheme="minorHAnsi" w:cstheme="minorHAnsi"/>
          <w:sz w:val="22"/>
          <w:szCs w:val="22"/>
          <w:lang w:val="en-GB"/>
        </w:rPr>
        <w:t xml:space="preserve">Prof. Leora Bilsky, Dr. Hagit Keysar, and </w:t>
      </w:r>
      <w:r w:rsidR="003401CB" w:rsidRPr="00192BF3">
        <w:rPr>
          <w:rFonts w:asciiTheme="minorHAnsi" w:hAnsiTheme="minorHAnsi" w:cstheme="minorHAnsi"/>
          <w:sz w:val="22"/>
          <w:szCs w:val="22"/>
          <w:lang w:val="en-GB"/>
        </w:rPr>
        <w:t xml:space="preserve">Ms. </w:t>
      </w:r>
      <w:r w:rsidRPr="00192BF3">
        <w:rPr>
          <w:rFonts w:asciiTheme="minorHAnsi" w:hAnsiTheme="minorHAnsi" w:cstheme="minorHAnsi"/>
          <w:sz w:val="22"/>
          <w:szCs w:val="22"/>
          <w:lang w:val="en-GB"/>
        </w:rPr>
        <w:t>Yuli Litov</w:t>
      </w:r>
      <w:r w:rsidR="00DE08EB" w:rsidRPr="00192BF3">
        <w:rPr>
          <w:rFonts w:asciiTheme="minorHAnsi" w:hAnsiTheme="minorHAnsi" w:cstheme="minorHAnsi"/>
          <w:sz w:val="22"/>
          <w:szCs w:val="22"/>
          <w:lang w:val="en-GB"/>
        </w:rPr>
        <w:t>,</w:t>
      </w:r>
      <w:r w:rsidRPr="00192BF3">
        <w:rPr>
          <w:rFonts w:asciiTheme="minorHAnsi" w:hAnsiTheme="minorHAnsi" w:cstheme="minorHAnsi"/>
          <w:sz w:val="22"/>
          <w:szCs w:val="22"/>
          <w:lang w:val="en-GB"/>
        </w:rPr>
        <w:t xml:space="preserve"> Tel-Aviv University</w:t>
      </w:r>
      <w:r w:rsidR="00622371" w:rsidRPr="00192BF3">
        <w:rPr>
          <w:rFonts w:asciiTheme="minorHAnsi" w:hAnsiTheme="minorHAnsi" w:cstheme="minorHAnsi"/>
          <w:sz w:val="22"/>
          <w:szCs w:val="22"/>
          <w:lang w:val="en-GB"/>
        </w:rPr>
        <w:t>.</w:t>
      </w:r>
    </w:p>
    <w:sectPr w:rsidR="00DF1241" w:rsidRPr="00192BF3" w:rsidSect="00192BF3">
      <w:headerReference w:type="default" r:id="rId9"/>
      <w:footerReference w:type="even" r:id="rId10"/>
      <w:footerReference w:type="default" r:id="rId11"/>
      <w:pgSz w:w="11906" w:h="16838" w:code="9"/>
      <w:pgMar w:top="1440" w:right="926" w:bottom="990" w:left="990" w:header="1584"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2917" w14:textId="77777777" w:rsidR="00604D43" w:rsidRDefault="00604D43" w:rsidP="00162EDC">
      <w:pPr>
        <w:spacing w:after="0" w:line="240" w:lineRule="auto"/>
      </w:pPr>
      <w:r>
        <w:separator/>
      </w:r>
    </w:p>
  </w:endnote>
  <w:endnote w:type="continuationSeparator" w:id="0">
    <w:p w14:paraId="139BFDB0" w14:textId="77777777" w:rsidR="00604D43" w:rsidRDefault="00604D43" w:rsidP="0016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1630" w14:textId="2CD856E5" w:rsidR="008218AE" w:rsidRDefault="008218AE" w:rsidP="008F2075">
    <w:pPr>
      <w:pStyle w:val="Footer"/>
      <w:framePr w:wrap="none" w:vAnchor="text" w:hAnchor="margin" w:xAlign="center" w:y="1"/>
      <w:rPr>
        <w:rStyle w:val="PageNumber"/>
      </w:rPr>
    </w:pPr>
  </w:p>
  <w:p w14:paraId="046A091B" w14:textId="77777777" w:rsidR="008218AE" w:rsidRDefault="00821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672F" w14:textId="6A16C4CC" w:rsidR="008218AE" w:rsidRDefault="008218AE" w:rsidP="0032279E">
    <w:pPr>
      <w:pStyle w:val="Footer"/>
      <w:framePr w:wrap="none" w:vAnchor="text" w:hAnchor="margin" w:xAlign="center" w:y="1"/>
      <w:rPr>
        <w:rStyle w:val="PageNumber"/>
      </w:rPr>
    </w:pPr>
  </w:p>
  <w:p w14:paraId="528FD05D" w14:textId="309B3447" w:rsidR="008218AE" w:rsidRDefault="00821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7EB3" w14:textId="77777777" w:rsidR="00604D43" w:rsidRDefault="00604D43" w:rsidP="00162EDC">
      <w:pPr>
        <w:spacing w:after="0" w:line="240" w:lineRule="auto"/>
      </w:pPr>
      <w:r>
        <w:separator/>
      </w:r>
    </w:p>
  </w:footnote>
  <w:footnote w:type="continuationSeparator" w:id="0">
    <w:p w14:paraId="072ED546" w14:textId="77777777" w:rsidR="00604D43" w:rsidRDefault="00604D43" w:rsidP="0016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E6645" w14:paraId="58892443" w14:textId="77777777" w:rsidTr="009E6645">
      <w:tc>
        <w:tcPr>
          <w:tcW w:w="3116" w:type="dxa"/>
        </w:tcPr>
        <w:p w14:paraId="2FC96E2C" w14:textId="7960B8A7" w:rsidR="009E6645" w:rsidRDefault="009E6645" w:rsidP="009E6645">
          <w:pPr>
            <w:pStyle w:val="Header"/>
            <w:jc w:val="center"/>
          </w:pPr>
          <w:r>
            <w:rPr>
              <w:noProof/>
            </w:rPr>
            <w:drawing>
              <wp:anchor distT="0" distB="0" distL="114300" distR="114300" simplePos="0" relativeHeight="251658752" behindDoc="0" locked="0" layoutInCell="1" allowOverlap="1" wp14:anchorId="0E98DCA0" wp14:editId="45665632">
                <wp:simplePos x="0" y="0"/>
                <wp:positionH relativeFrom="column">
                  <wp:posOffset>-201930</wp:posOffset>
                </wp:positionH>
                <wp:positionV relativeFrom="paragraph">
                  <wp:posOffset>-278130</wp:posOffset>
                </wp:positionV>
                <wp:extent cx="2545690" cy="525729"/>
                <wp:effectExtent l="0" t="0" r="0" b="825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wMinervaENG.png"/>
                        <pic:cNvPicPr/>
                      </pic:nvPicPr>
                      <pic:blipFill>
                        <a:blip r:embed="rId1">
                          <a:extLst>
                            <a:ext uri="{28A0092B-C50C-407E-A947-70E740481C1C}">
                              <a14:useLocalDpi xmlns:a14="http://schemas.microsoft.com/office/drawing/2010/main" val="0"/>
                            </a:ext>
                          </a:extLst>
                        </a:blip>
                        <a:stretch>
                          <a:fillRect/>
                        </a:stretch>
                      </pic:blipFill>
                      <pic:spPr>
                        <a:xfrm>
                          <a:off x="0" y="0"/>
                          <a:ext cx="2545690" cy="525729"/>
                        </a:xfrm>
                        <a:prstGeom prst="rect">
                          <a:avLst/>
                        </a:prstGeom>
                      </pic:spPr>
                    </pic:pic>
                  </a:graphicData>
                </a:graphic>
                <wp14:sizeRelH relativeFrom="page">
                  <wp14:pctWidth>0</wp14:pctWidth>
                </wp14:sizeRelH>
                <wp14:sizeRelV relativeFrom="page">
                  <wp14:pctHeight>0</wp14:pctHeight>
                </wp14:sizeRelV>
              </wp:anchor>
            </w:drawing>
          </w:r>
        </w:p>
      </w:tc>
      <w:tc>
        <w:tcPr>
          <w:tcW w:w="3117" w:type="dxa"/>
        </w:tcPr>
        <w:p w14:paraId="5D944DF9" w14:textId="174D5E3A" w:rsidR="009E6645" w:rsidRDefault="009E6645" w:rsidP="009E6645">
          <w:pPr>
            <w:pStyle w:val="Header"/>
            <w:jc w:val="center"/>
          </w:pPr>
        </w:p>
      </w:tc>
      <w:tc>
        <w:tcPr>
          <w:tcW w:w="3117" w:type="dxa"/>
        </w:tcPr>
        <w:p w14:paraId="1D8027F2" w14:textId="79B71B84" w:rsidR="009E6645" w:rsidRDefault="003763D8" w:rsidP="009E6645">
          <w:pPr>
            <w:pStyle w:val="Header"/>
            <w:jc w:val="center"/>
          </w:pPr>
          <w:r>
            <w:rPr>
              <w:noProof/>
            </w:rPr>
            <w:drawing>
              <wp:anchor distT="0" distB="0" distL="114300" distR="114300" simplePos="0" relativeHeight="251653632" behindDoc="0" locked="0" layoutInCell="1" allowOverlap="1" wp14:anchorId="3E63AE3C" wp14:editId="10C3E759">
                <wp:simplePos x="0" y="0"/>
                <wp:positionH relativeFrom="column">
                  <wp:posOffset>-1306195</wp:posOffset>
                </wp:positionH>
                <wp:positionV relativeFrom="paragraph">
                  <wp:posOffset>-239335</wp:posOffset>
                </wp:positionV>
                <wp:extent cx="2439620" cy="455344"/>
                <wp:effectExtent l="0" t="0" r="0" b="190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erva-huj-logo.jpg"/>
                        <pic:cNvPicPr/>
                      </pic:nvPicPr>
                      <pic:blipFill>
                        <a:blip r:embed="rId2">
                          <a:extLst>
                            <a:ext uri="{28A0092B-C50C-407E-A947-70E740481C1C}">
                              <a14:useLocalDpi xmlns:a14="http://schemas.microsoft.com/office/drawing/2010/main" val="0"/>
                            </a:ext>
                          </a:extLst>
                        </a:blip>
                        <a:stretch>
                          <a:fillRect/>
                        </a:stretch>
                      </pic:blipFill>
                      <pic:spPr>
                        <a:xfrm>
                          <a:off x="0" y="0"/>
                          <a:ext cx="2439620" cy="455344"/>
                        </a:xfrm>
                        <a:prstGeom prst="rect">
                          <a:avLst/>
                        </a:prstGeom>
                      </pic:spPr>
                    </pic:pic>
                  </a:graphicData>
                </a:graphic>
                <wp14:sizeRelH relativeFrom="page">
                  <wp14:pctWidth>0</wp14:pctWidth>
                </wp14:sizeRelH>
                <wp14:sizeRelV relativeFrom="page">
                  <wp14:pctHeight>0</wp14:pctHeight>
                </wp14:sizeRelV>
              </wp:anchor>
            </w:drawing>
          </w:r>
        </w:p>
      </w:tc>
    </w:tr>
  </w:tbl>
  <w:p w14:paraId="55192C77" w14:textId="213E9A6D" w:rsidR="00162EDC" w:rsidRDefault="003763D8" w:rsidP="009E6645">
    <w:pPr>
      <w:pStyle w:val="Header"/>
      <w:jc w:val="center"/>
    </w:pPr>
    <w:r>
      <w:rPr>
        <w:noProof/>
      </w:rPr>
      <w:drawing>
        <wp:anchor distT="0" distB="0" distL="114300" distR="114300" simplePos="0" relativeHeight="251663872" behindDoc="0" locked="0" layoutInCell="1" allowOverlap="1" wp14:anchorId="555006C3" wp14:editId="57077178">
          <wp:simplePos x="0" y="0"/>
          <wp:positionH relativeFrom="margin">
            <wp:align>right</wp:align>
          </wp:positionH>
          <wp:positionV relativeFrom="paragraph">
            <wp:posOffset>-669925</wp:posOffset>
          </wp:positionV>
          <wp:extent cx="561691" cy="897517"/>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1691" cy="8975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15516" w14:textId="77777777" w:rsidR="00162EDC" w:rsidRDefault="00162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618B5"/>
    <w:multiLevelType w:val="multilevel"/>
    <w:tmpl w:val="396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13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CE"/>
    <w:rsid w:val="000578DD"/>
    <w:rsid w:val="00097EE1"/>
    <w:rsid w:val="000B6C45"/>
    <w:rsid w:val="000C2120"/>
    <w:rsid w:val="000C56AC"/>
    <w:rsid w:val="000D26EF"/>
    <w:rsid w:val="001048FA"/>
    <w:rsid w:val="00106F80"/>
    <w:rsid w:val="00113FB5"/>
    <w:rsid w:val="00135319"/>
    <w:rsid w:val="0013754E"/>
    <w:rsid w:val="00162EDC"/>
    <w:rsid w:val="0017283E"/>
    <w:rsid w:val="00175180"/>
    <w:rsid w:val="00183871"/>
    <w:rsid w:val="00192BF3"/>
    <w:rsid w:val="00193951"/>
    <w:rsid w:val="001F44CD"/>
    <w:rsid w:val="00204CAA"/>
    <w:rsid w:val="002155BF"/>
    <w:rsid w:val="00222B51"/>
    <w:rsid w:val="00233BBA"/>
    <w:rsid w:val="00245E13"/>
    <w:rsid w:val="00255B57"/>
    <w:rsid w:val="00266CC5"/>
    <w:rsid w:val="002A5E8D"/>
    <w:rsid w:val="002E1592"/>
    <w:rsid w:val="00312D5F"/>
    <w:rsid w:val="0032279E"/>
    <w:rsid w:val="0032537A"/>
    <w:rsid w:val="00326C55"/>
    <w:rsid w:val="003270E9"/>
    <w:rsid w:val="003401CB"/>
    <w:rsid w:val="00356326"/>
    <w:rsid w:val="00362055"/>
    <w:rsid w:val="003763D8"/>
    <w:rsid w:val="00394616"/>
    <w:rsid w:val="0039728D"/>
    <w:rsid w:val="003C5953"/>
    <w:rsid w:val="003F05CE"/>
    <w:rsid w:val="0040354C"/>
    <w:rsid w:val="0045216F"/>
    <w:rsid w:val="0047213E"/>
    <w:rsid w:val="0048699D"/>
    <w:rsid w:val="004919DB"/>
    <w:rsid w:val="004B2837"/>
    <w:rsid w:val="004C2779"/>
    <w:rsid w:val="004C5A4B"/>
    <w:rsid w:val="004D3B26"/>
    <w:rsid w:val="004E30DC"/>
    <w:rsid w:val="005149A8"/>
    <w:rsid w:val="005268D5"/>
    <w:rsid w:val="00545C0C"/>
    <w:rsid w:val="005662CB"/>
    <w:rsid w:val="00572605"/>
    <w:rsid w:val="0059637D"/>
    <w:rsid w:val="005A6EC8"/>
    <w:rsid w:val="005B08DC"/>
    <w:rsid w:val="00604D43"/>
    <w:rsid w:val="00607E85"/>
    <w:rsid w:val="00615A82"/>
    <w:rsid w:val="00622371"/>
    <w:rsid w:val="006226BB"/>
    <w:rsid w:val="0068225F"/>
    <w:rsid w:val="00686863"/>
    <w:rsid w:val="006B271A"/>
    <w:rsid w:val="006B40A9"/>
    <w:rsid w:val="006F4AA8"/>
    <w:rsid w:val="00702755"/>
    <w:rsid w:val="007565F6"/>
    <w:rsid w:val="0078578D"/>
    <w:rsid w:val="007A2F87"/>
    <w:rsid w:val="007B6B73"/>
    <w:rsid w:val="007D4556"/>
    <w:rsid w:val="007F13A1"/>
    <w:rsid w:val="007F1448"/>
    <w:rsid w:val="007F715C"/>
    <w:rsid w:val="0080283E"/>
    <w:rsid w:val="0081306B"/>
    <w:rsid w:val="008218AE"/>
    <w:rsid w:val="008378A9"/>
    <w:rsid w:val="00862268"/>
    <w:rsid w:val="00864A9F"/>
    <w:rsid w:val="008706C6"/>
    <w:rsid w:val="008727B9"/>
    <w:rsid w:val="008748AC"/>
    <w:rsid w:val="00885894"/>
    <w:rsid w:val="00890822"/>
    <w:rsid w:val="008A0FE7"/>
    <w:rsid w:val="008A62E6"/>
    <w:rsid w:val="008C6548"/>
    <w:rsid w:val="008D44CE"/>
    <w:rsid w:val="009037F5"/>
    <w:rsid w:val="00906149"/>
    <w:rsid w:val="0093677A"/>
    <w:rsid w:val="00952679"/>
    <w:rsid w:val="00973726"/>
    <w:rsid w:val="009973F9"/>
    <w:rsid w:val="009A0B1C"/>
    <w:rsid w:val="009C3DA9"/>
    <w:rsid w:val="009D02C5"/>
    <w:rsid w:val="009D7146"/>
    <w:rsid w:val="009E6645"/>
    <w:rsid w:val="009F52B0"/>
    <w:rsid w:val="009F7DF3"/>
    <w:rsid w:val="00A03200"/>
    <w:rsid w:val="00A06314"/>
    <w:rsid w:val="00A24C0F"/>
    <w:rsid w:val="00A41173"/>
    <w:rsid w:val="00A44782"/>
    <w:rsid w:val="00A45CAD"/>
    <w:rsid w:val="00A65DA0"/>
    <w:rsid w:val="00AD271C"/>
    <w:rsid w:val="00AF0304"/>
    <w:rsid w:val="00B30281"/>
    <w:rsid w:val="00B36289"/>
    <w:rsid w:val="00B42C45"/>
    <w:rsid w:val="00B51319"/>
    <w:rsid w:val="00B70C7C"/>
    <w:rsid w:val="00B85D0C"/>
    <w:rsid w:val="00B9489C"/>
    <w:rsid w:val="00BA3D70"/>
    <w:rsid w:val="00BB4368"/>
    <w:rsid w:val="00BC699E"/>
    <w:rsid w:val="00BD2FAC"/>
    <w:rsid w:val="00BD3247"/>
    <w:rsid w:val="00BE422D"/>
    <w:rsid w:val="00C1546D"/>
    <w:rsid w:val="00C427B9"/>
    <w:rsid w:val="00C45257"/>
    <w:rsid w:val="00C46150"/>
    <w:rsid w:val="00C85D11"/>
    <w:rsid w:val="00C918D3"/>
    <w:rsid w:val="00D02FCF"/>
    <w:rsid w:val="00D05A03"/>
    <w:rsid w:val="00D346DB"/>
    <w:rsid w:val="00D62334"/>
    <w:rsid w:val="00D67C04"/>
    <w:rsid w:val="00DE08EB"/>
    <w:rsid w:val="00DF1241"/>
    <w:rsid w:val="00E324A9"/>
    <w:rsid w:val="00E46B37"/>
    <w:rsid w:val="00E6667B"/>
    <w:rsid w:val="00E72EFC"/>
    <w:rsid w:val="00E90034"/>
    <w:rsid w:val="00E912BB"/>
    <w:rsid w:val="00EC67B3"/>
    <w:rsid w:val="00EC757E"/>
    <w:rsid w:val="00ED0259"/>
    <w:rsid w:val="00F02E26"/>
    <w:rsid w:val="00F160A8"/>
    <w:rsid w:val="00F35620"/>
    <w:rsid w:val="00F43BC9"/>
    <w:rsid w:val="00F723AA"/>
    <w:rsid w:val="00FA3F79"/>
    <w:rsid w:val="00FA4574"/>
    <w:rsid w:val="00FB5D2B"/>
    <w:rsid w:val="00FE48B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F0593"/>
  <w15:docId w15:val="{72E05C12-DA5D-4DD7-8D9A-C42EBFF9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180"/>
  </w:style>
  <w:style w:type="paragraph" w:styleId="Heading1">
    <w:name w:val="heading 1"/>
    <w:basedOn w:val="Normal"/>
    <w:next w:val="Normal"/>
    <w:link w:val="Heading1Char"/>
    <w:uiPriority w:val="9"/>
    <w:qFormat/>
    <w:rsid w:val="00486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8AC"/>
    <w:rPr>
      <w:color w:val="0563C1" w:themeColor="hyperlink"/>
      <w:u w:val="single"/>
    </w:rPr>
  </w:style>
  <w:style w:type="character" w:customStyle="1" w:styleId="UnresolvedMention1">
    <w:name w:val="Unresolved Mention1"/>
    <w:basedOn w:val="DefaultParagraphFont"/>
    <w:uiPriority w:val="99"/>
    <w:semiHidden/>
    <w:unhideWhenUsed/>
    <w:rsid w:val="008748AC"/>
    <w:rPr>
      <w:color w:val="605E5C"/>
      <w:shd w:val="clear" w:color="auto" w:fill="E1DFDD"/>
    </w:rPr>
  </w:style>
  <w:style w:type="character" w:customStyle="1" w:styleId="Heading1Char">
    <w:name w:val="Heading 1 Char"/>
    <w:basedOn w:val="DefaultParagraphFont"/>
    <w:link w:val="Heading1"/>
    <w:uiPriority w:val="9"/>
    <w:rsid w:val="0048699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D44C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44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578DD"/>
    <w:rPr>
      <w:sz w:val="16"/>
      <w:szCs w:val="16"/>
    </w:rPr>
  </w:style>
  <w:style w:type="paragraph" w:styleId="CommentText">
    <w:name w:val="annotation text"/>
    <w:basedOn w:val="Normal"/>
    <w:link w:val="CommentTextChar"/>
    <w:uiPriority w:val="99"/>
    <w:semiHidden/>
    <w:unhideWhenUsed/>
    <w:rsid w:val="000578DD"/>
    <w:pPr>
      <w:spacing w:line="240" w:lineRule="auto"/>
    </w:pPr>
    <w:rPr>
      <w:sz w:val="20"/>
      <w:szCs w:val="20"/>
    </w:rPr>
  </w:style>
  <w:style w:type="character" w:customStyle="1" w:styleId="CommentTextChar">
    <w:name w:val="Comment Text Char"/>
    <w:basedOn w:val="DefaultParagraphFont"/>
    <w:link w:val="CommentText"/>
    <w:uiPriority w:val="99"/>
    <w:semiHidden/>
    <w:rsid w:val="000578DD"/>
    <w:rPr>
      <w:sz w:val="20"/>
      <w:szCs w:val="20"/>
    </w:rPr>
  </w:style>
  <w:style w:type="paragraph" w:styleId="CommentSubject">
    <w:name w:val="annotation subject"/>
    <w:basedOn w:val="CommentText"/>
    <w:next w:val="CommentText"/>
    <w:link w:val="CommentSubjectChar"/>
    <w:uiPriority w:val="99"/>
    <w:semiHidden/>
    <w:unhideWhenUsed/>
    <w:rsid w:val="000578DD"/>
    <w:rPr>
      <w:b/>
      <w:bCs/>
    </w:rPr>
  </w:style>
  <w:style w:type="character" w:customStyle="1" w:styleId="CommentSubjectChar">
    <w:name w:val="Comment Subject Char"/>
    <w:basedOn w:val="CommentTextChar"/>
    <w:link w:val="CommentSubject"/>
    <w:uiPriority w:val="99"/>
    <w:semiHidden/>
    <w:rsid w:val="000578DD"/>
    <w:rPr>
      <w:b/>
      <w:bCs/>
      <w:sz w:val="20"/>
      <w:szCs w:val="20"/>
    </w:rPr>
  </w:style>
  <w:style w:type="paragraph" w:styleId="Revision">
    <w:name w:val="Revision"/>
    <w:hidden/>
    <w:uiPriority w:val="99"/>
    <w:semiHidden/>
    <w:rsid w:val="000578DD"/>
    <w:pPr>
      <w:spacing w:after="0" w:line="240" w:lineRule="auto"/>
    </w:pPr>
  </w:style>
  <w:style w:type="character" w:customStyle="1" w:styleId="apple-converted-space">
    <w:name w:val="apple-converted-space"/>
    <w:basedOn w:val="DefaultParagraphFont"/>
    <w:rsid w:val="008727B9"/>
  </w:style>
  <w:style w:type="paragraph" w:customStyle="1" w:styleId="authors">
    <w:name w:val="authors"/>
    <w:basedOn w:val="Normal"/>
    <w:rsid w:val="008727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5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906149"/>
    <w:rPr>
      <w:color w:val="605E5C"/>
      <w:shd w:val="clear" w:color="auto" w:fill="E1DFDD"/>
    </w:rPr>
  </w:style>
  <w:style w:type="character" w:styleId="FollowedHyperlink">
    <w:name w:val="FollowedHyperlink"/>
    <w:basedOn w:val="DefaultParagraphFont"/>
    <w:uiPriority w:val="99"/>
    <w:semiHidden/>
    <w:unhideWhenUsed/>
    <w:rsid w:val="00FA4574"/>
    <w:rPr>
      <w:color w:val="954F72" w:themeColor="followedHyperlink"/>
      <w:u w:val="single"/>
    </w:rPr>
  </w:style>
  <w:style w:type="paragraph" w:styleId="Header">
    <w:name w:val="header"/>
    <w:basedOn w:val="Normal"/>
    <w:link w:val="HeaderChar"/>
    <w:uiPriority w:val="99"/>
    <w:unhideWhenUsed/>
    <w:rsid w:val="0016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EDC"/>
  </w:style>
  <w:style w:type="paragraph" w:styleId="Footer">
    <w:name w:val="footer"/>
    <w:basedOn w:val="Normal"/>
    <w:link w:val="FooterChar"/>
    <w:uiPriority w:val="99"/>
    <w:unhideWhenUsed/>
    <w:rsid w:val="0016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EDC"/>
  </w:style>
  <w:style w:type="table" w:styleId="TableGrid">
    <w:name w:val="Table Grid"/>
    <w:basedOn w:val="TableNormal"/>
    <w:uiPriority w:val="39"/>
    <w:rsid w:val="009E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218AE"/>
  </w:style>
  <w:style w:type="character" w:customStyle="1" w:styleId="UnresolvedMention3">
    <w:name w:val="Unresolved Mention3"/>
    <w:basedOn w:val="DefaultParagraphFont"/>
    <w:uiPriority w:val="99"/>
    <w:semiHidden/>
    <w:unhideWhenUsed/>
    <w:rsid w:val="00BE422D"/>
    <w:rPr>
      <w:color w:val="605E5C"/>
      <w:shd w:val="clear" w:color="auto" w:fill="E1DFDD"/>
    </w:rPr>
  </w:style>
  <w:style w:type="paragraph" w:customStyle="1" w:styleId="Standard">
    <w:name w:val="Standard"/>
    <w:uiPriority w:val="99"/>
    <w:rsid w:val="00175180"/>
    <w:pPr>
      <w:suppressAutoHyphens/>
      <w:autoSpaceDN w:val="0"/>
      <w:spacing w:after="0" w:line="240" w:lineRule="auto"/>
      <w:jc w:val="right"/>
      <w:textAlignment w:val="baseline"/>
    </w:pPr>
    <w:rPr>
      <w:rFonts w:ascii="Times New Roman" w:eastAsia="Times New Roman" w:hAnsi="Times New Roman" w:cs="Times New Roman"/>
      <w:kern w:val="3"/>
      <w:sz w:val="24"/>
      <w:szCs w:val="24"/>
      <w:lang w:eastAsia="he-IL"/>
    </w:rPr>
  </w:style>
  <w:style w:type="character" w:styleId="UnresolvedMention">
    <w:name w:val="Unresolved Mention"/>
    <w:basedOn w:val="DefaultParagraphFont"/>
    <w:uiPriority w:val="99"/>
    <w:semiHidden/>
    <w:unhideWhenUsed/>
    <w:rsid w:val="00106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345">
      <w:bodyDiv w:val="1"/>
      <w:marLeft w:val="0"/>
      <w:marRight w:val="0"/>
      <w:marTop w:val="0"/>
      <w:marBottom w:val="0"/>
      <w:divBdr>
        <w:top w:val="none" w:sz="0" w:space="0" w:color="auto"/>
        <w:left w:val="none" w:sz="0" w:space="0" w:color="auto"/>
        <w:bottom w:val="none" w:sz="0" w:space="0" w:color="auto"/>
        <w:right w:val="none" w:sz="0" w:space="0" w:color="auto"/>
      </w:divBdr>
    </w:div>
    <w:div w:id="89009390">
      <w:bodyDiv w:val="1"/>
      <w:marLeft w:val="0"/>
      <w:marRight w:val="0"/>
      <w:marTop w:val="0"/>
      <w:marBottom w:val="0"/>
      <w:divBdr>
        <w:top w:val="none" w:sz="0" w:space="0" w:color="auto"/>
        <w:left w:val="none" w:sz="0" w:space="0" w:color="auto"/>
        <w:bottom w:val="none" w:sz="0" w:space="0" w:color="auto"/>
        <w:right w:val="none" w:sz="0" w:space="0" w:color="auto"/>
      </w:divBdr>
    </w:div>
    <w:div w:id="253366110">
      <w:bodyDiv w:val="1"/>
      <w:marLeft w:val="0"/>
      <w:marRight w:val="0"/>
      <w:marTop w:val="0"/>
      <w:marBottom w:val="0"/>
      <w:divBdr>
        <w:top w:val="none" w:sz="0" w:space="0" w:color="auto"/>
        <w:left w:val="none" w:sz="0" w:space="0" w:color="auto"/>
        <w:bottom w:val="none" w:sz="0" w:space="0" w:color="auto"/>
        <w:right w:val="none" w:sz="0" w:space="0" w:color="auto"/>
      </w:divBdr>
    </w:div>
    <w:div w:id="274603983">
      <w:bodyDiv w:val="1"/>
      <w:marLeft w:val="0"/>
      <w:marRight w:val="0"/>
      <w:marTop w:val="0"/>
      <w:marBottom w:val="0"/>
      <w:divBdr>
        <w:top w:val="none" w:sz="0" w:space="0" w:color="auto"/>
        <w:left w:val="none" w:sz="0" w:space="0" w:color="auto"/>
        <w:bottom w:val="none" w:sz="0" w:space="0" w:color="auto"/>
        <w:right w:val="none" w:sz="0" w:space="0" w:color="auto"/>
      </w:divBdr>
    </w:div>
    <w:div w:id="356739868">
      <w:bodyDiv w:val="1"/>
      <w:marLeft w:val="0"/>
      <w:marRight w:val="0"/>
      <w:marTop w:val="0"/>
      <w:marBottom w:val="0"/>
      <w:divBdr>
        <w:top w:val="none" w:sz="0" w:space="0" w:color="auto"/>
        <w:left w:val="none" w:sz="0" w:space="0" w:color="auto"/>
        <w:bottom w:val="none" w:sz="0" w:space="0" w:color="auto"/>
        <w:right w:val="none" w:sz="0" w:space="0" w:color="auto"/>
      </w:divBdr>
    </w:div>
    <w:div w:id="584262856">
      <w:bodyDiv w:val="1"/>
      <w:marLeft w:val="0"/>
      <w:marRight w:val="0"/>
      <w:marTop w:val="0"/>
      <w:marBottom w:val="0"/>
      <w:divBdr>
        <w:top w:val="none" w:sz="0" w:space="0" w:color="auto"/>
        <w:left w:val="none" w:sz="0" w:space="0" w:color="auto"/>
        <w:bottom w:val="none" w:sz="0" w:space="0" w:color="auto"/>
        <w:right w:val="none" w:sz="0" w:space="0" w:color="auto"/>
      </w:divBdr>
    </w:div>
    <w:div w:id="613291302">
      <w:bodyDiv w:val="1"/>
      <w:marLeft w:val="0"/>
      <w:marRight w:val="0"/>
      <w:marTop w:val="0"/>
      <w:marBottom w:val="0"/>
      <w:divBdr>
        <w:top w:val="none" w:sz="0" w:space="0" w:color="auto"/>
        <w:left w:val="none" w:sz="0" w:space="0" w:color="auto"/>
        <w:bottom w:val="none" w:sz="0" w:space="0" w:color="auto"/>
        <w:right w:val="none" w:sz="0" w:space="0" w:color="auto"/>
      </w:divBdr>
    </w:div>
    <w:div w:id="677923637">
      <w:bodyDiv w:val="1"/>
      <w:marLeft w:val="0"/>
      <w:marRight w:val="0"/>
      <w:marTop w:val="0"/>
      <w:marBottom w:val="0"/>
      <w:divBdr>
        <w:top w:val="none" w:sz="0" w:space="0" w:color="auto"/>
        <w:left w:val="none" w:sz="0" w:space="0" w:color="auto"/>
        <w:bottom w:val="none" w:sz="0" w:space="0" w:color="auto"/>
        <w:right w:val="none" w:sz="0" w:space="0" w:color="auto"/>
      </w:divBdr>
    </w:div>
    <w:div w:id="726101206">
      <w:bodyDiv w:val="1"/>
      <w:marLeft w:val="0"/>
      <w:marRight w:val="0"/>
      <w:marTop w:val="0"/>
      <w:marBottom w:val="0"/>
      <w:divBdr>
        <w:top w:val="none" w:sz="0" w:space="0" w:color="auto"/>
        <w:left w:val="none" w:sz="0" w:space="0" w:color="auto"/>
        <w:bottom w:val="none" w:sz="0" w:space="0" w:color="auto"/>
        <w:right w:val="none" w:sz="0" w:space="0" w:color="auto"/>
      </w:divBdr>
    </w:div>
    <w:div w:id="807556684">
      <w:bodyDiv w:val="1"/>
      <w:marLeft w:val="0"/>
      <w:marRight w:val="0"/>
      <w:marTop w:val="0"/>
      <w:marBottom w:val="0"/>
      <w:divBdr>
        <w:top w:val="none" w:sz="0" w:space="0" w:color="auto"/>
        <w:left w:val="none" w:sz="0" w:space="0" w:color="auto"/>
        <w:bottom w:val="none" w:sz="0" w:space="0" w:color="auto"/>
        <w:right w:val="none" w:sz="0" w:space="0" w:color="auto"/>
      </w:divBdr>
    </w:div>
    <w:div w:id="1244686361">
      <w:bodyDiv w:val="1"/>
      <w:marLeft w:val="0"/>
      <w:marRight w:val="0"/>
      <w:marTop w:val="0"/>
      <w:marBottom w:val="0"/>
      <w:divBdr>
        <w:top w:val="none" w:sz="0" w:space="0" w:color="auto"/>
        <w:left w:val="none" w:sz="0" w:space="0" w:color="auto"/>
        <w:bottom w:val="none" w:sz="0" w:space="0" w:color="auto"/>
        <w:right w:val="none" w:sz="0" w:space="0" w:color="auto"/>
      </w:divBdr>
    </w:div>
    <w:div w:id="1328752043">
      <w:bodyDiv w:val="1"/>
      <w:marLeft w:val="0"/>
      <w:marRight w:val="0"/>
      <w:marTop w:val="0"/>
      <w:marBottom w:val="0"/>
      <w:divBdr>
        <w:top w:val="none" w:sz="0" w:space="0" w:color="auto"/>
        <w:left w:val="none" w:sz="0" w:space="0" w:color="auto"/>
        <w:bottom w:val="none" w:sz="0" w:space="0" w:color="auto"/>
        <w:right w:val="none" w:sz="0" w:space="0" w:color="auto"/>
      </w:divBdr>
    </w:div>
    <w:div w:id="1418553105">
      <w:bodyDiv w:val="1"/>
      <w:marLeft w:val="0"/>
      <w:marRight w:val="0"/>
      <w:marTop w:val="0"/>
      <w:marBottom w:val="0"/>
      <w:divBdr>
        <w:top w:val="none" w:sz="0" w:space="0" w:color="auto"/>
        <w:left w:val="none" w:sz="0" w:space="0" w:color="auto"/>
        <w:bottom w:val="none" w:sz="0" w:space="0" w:color="auto"/>
        <w:right w:val="none" w:sz="0" w:space="0" w:color="auto"/>
      </w:divBdr>
    </w:div>
    <w:div w:id="1668970901">
      <w:bodyDiv w:val="1"/>
      <w:marLeft w:val="0"/>
      <w:marRight w:val="0"/>
      <w:marTop w:val="0"/>
      <w:marBottom w:val="0"/>
      <w:divBdr>
        <w:top w:val="none" w:sz="0" w:space="0" w:color="auto"/>
        <w:left w:val="none" w:sz="0" w:space="0" w:color="auto"/>
        <w:bottom w:val="none" w:sz="0" w:space="0" w:color="auto"/>
        <w:right w:val="none" w:sz="0" w:space="0" w:color="auto"/>
      </w:divBdr>
    </w:div>
    <w:div w:id="2018343632">
      <w:bodyDiv w:val="1"/>
      <w:marLeft w:val="0"/>
      <w:marRight w:val="0"/>
      <w:marTop w:val="0"/>
      <w:marBottom w:val="0"/>
      <w:divBdr>
        <w:top w:val="none" w:sz="0" w:space="0" w:color="auto"/>
        <w:left w:val="none" w:sz="0" w:space="0" w:color="auto"/>
        <w:bottom w:val="none" w:sz="0" w:space="0" w:color="auto"/>
        <w:right w:val="none" w:sz="0" w:space="0" w:color="auto"/>
      </w:divBdr>
    </w:div>
    <w:div w:id="20214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hr@savion.huji.ac.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ss.ekmd.huji.ac.i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A70370A8-C844-4B6A-81C6-2568920A0D6F}"/>
</file>

<file path=customXml/itemProps2.xml><?xml version="1.0" encoding="utf-8"?>
<ds:datastoreItem xmlns:ds="http://schemas.openxmlformats.org/officeDocument/2006/customXml" ds:itemID="{0D2091BC-E4B2-4828-B9BC-55764DF4D559}"/>
</file>

<file path=customXml/itemProps3.xml><?xml version="1.0" encoding="utf-8"?>
<ds:datastoreItem xmlns:ds="http://schemas.openxmlformats.org/officeDocument/2006/customXml" ds:itemID="{7B4DD6B0-3651-4F3E-8B91-6CF2E2E92073}"/>
</file>

<file path=docProps/app.xml><?xml version="1.0" encoding="utf-8"?>
<Properties xmlns="http://schemas.openxmlformats.org/officeDocument/2006/extended-properties" xmlns:vt="http://schemas.openxmlformats.org/officeDocument/2006/docPropsVTypes">
  <Template>Normal</Template>
  <TotalTime>66</TotalTime>
  <Pages>2</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Danny Evron</cp:lastModifiedBy>
  <cp:revision>18</cp:revision>
  <cp:lastPrinted>2019-09-09T13:11:00Z</cp:lastPrinted>
  <dcterms:created xsi:type="dcterms:W3CDTF">2023-03-09T16:06:00Z</dcterms:created>
  <dcterms:modified xsi:type="dcterms:W3CDTF">2023-03-14T16:33:00Z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