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0AE8B-6213-4FBC-9CE8-36A06725A94C}"/>
</file>

<file path=customXml/itemProps3.xml><?xml version="1.0" encoding="utf-8"?>
<ds:datastoreItem xmlns:ds="http://schemas.openxmlformats.org/officeDocument/2006/customXml" ds:itemID="{C974E50A-E721-4042-AB53-33C6D97427BC}"/>
</file>

<file path=customXml/itemProps4.xml><?xml version="1.0" encoding="utf-8"?>
<ds:datastoreItem xmlns:ds="http://schemas.openxmlformats.org/officeDocument/2006/customXml" ds:itemID="{C41F972B-500B-4BFE-B4FD-438FF4625B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