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Frockd — Growth Partnership Concept</w:t>
      </w:r>
    </w:p>
    <w:p>
      <w:pPr>
        <w:spacing w:after="60"/>
      </w:pPr>
      <w:r>
        <w:rPr>
          <w:i/>
          <w:iCs/>
          <w:color w:val="555555"/>
          <w:sz w:val="21"/>
          <w:szCs w:val="21"/>
        </w:rPr>
        <w:t xml:space="preserve">Rev-share matching for builders &amp; growth partners, with Frockd.com.au as pilot.</w:t>
      </w:r>
    </w:p>
    <w:p>
      <w:pPr>
        <w:pBdr>
          <w:bottom w:val="single" w:color="7A3B5E" w:sz="6" w:space="1"/>
        </w:pBdr>
        <w:spacing w:after="200"/>
      </w:pPr>
    </w:p>
    <w:p>
      <w:pPr>
        <w:pStyle w:val="Heading1"/>
      </w:pPr>
      <w:r>
        <w:t xml:space="preserve">Part 1 — The Concept</w:t>
      </w:r>
    </w:p>
    <w:p>
      <w:pPr>
        <w:pStyle w:val="Heading2"/>
      </w:pPr>
      <w:r>
        <w:t xml:space="preserve">The one-line version</w:t>
      </w:r>
    </w:p>
    <w:p>
      <w:pPr>
        <w:spacing w:after="140" w:line="276"/>
      </w:pPr>
      <w:r>
        <w:t xml:space="preserve">A marketplace that pairs technical builders who have shipped a product with growth/marketing partners on a revenue-share basis — and acts as the trust layer that verifies revenue and handles payouts so two strangers can actually do a deal.</w:t>
      </w:r>
    </w:p>
    <w:p>
      <w:pPr>
        <w:pStyle w:val="Heading2"/>
      </w:pPr>
      <w:r>
        <w:t xml:space="preserve">Why this, why you</w:t>
      </w:r>
    </w:p>
    <w:p>
      <w:pPr>
        <w:spacing w:after="140" w:line="276"/>
      </w:pPr>
      <w:r>
        <w:t xml:space="preserve">It comes from your own pain: you can build (now faster than ever with AI), but shipped products sit unseen. The need is real. But generic “find a co-founder” is effectively solved — YC runs a free, network-effect-heavy version. So you don’t compete horizontally; you win on a narrow, opinionated wedge: the builder who ships but can’t market, paired with someone who owns go-to-market.</w:t>
      </w:r>
    </w:p>
    <w:p>
      <w:pPr>
        <w:pStyle w:val="Heading2"/>
      </w:pPr>
      <w:r>
        <w:t xml:space="preserve">The deal structure: rev-share</w:t>
      </w:r>
    </w:p>
    <w:p>
      <w:pPr>
        <w:spacing w:after="140" w:line="276"/>
      </w:pPr>
      <w:r>
        <w:t xml:space="preserve">Not equity (marketers won’t bet on a pre-launch dream) and not a cash retainer (bootstrapped builders don’t have it). Rev-share aligns incentives and lowers the barrier. The catch you design around: rev-share of zero is zero, so it only works once there’s revenue or a clean baseline to grow from.</w:t>
      </w:r>
    </w:p>
    <w:p>
      <w:pPr>
        <w:pStyle w:val="Heading2"/>
      </w:pPr>
      <w:r>
        <w:t xml:space="preserve">Who it’s for (launch ICP)</w:t>
      </w:r>
    </w:p>
    <w:p>
      <w:pPr>
        <w:spacing w:after="140" w:line="276"/>
      </w:pPr>
      <w:r>
        <w:t xml:space="preserve">Builders with a </w:t>
      </w:r>
      <w:r>
        <w:rPr>
          <w:b/>
          <w:bCs/>
        </w:rPr>
        <w:t xml:space="preserve">live, working product and little-to-no traction</w:t>
      </w:r>
      <w:r>
        <w:t xml:space="preserve">. The sweet spot is live-but-zero-revenue: attribution is clean because the baseline is nothing, so every dollar after the marketer joins is plausibly theirs. Easy pitch: “this works, it just has no audience — come get the first customers and take a cut.”</w:t>
      </w:r>
    </w:p>
    <w:p>
      <w:pPr>
        <w:pStyle w:val="Heading2"/>
      </w:pPr>
      <w:r>
        <w:t xml:space="preserve">The scarce side is marketers</w:t>
      </w:r>
    </w:p>
    <w:p>
      <w:pPr>
        <w:spacing w:after="140" w:line="276"/>
      </w:pPr>
      <w:r>
        <w:t xml:space="preserve">Builders willing to deal are comparatively common; good growth people who’ll take rev-share over cash are not. Seed that side first, concierge-style. Solve only the builder side and you get a dead marketplace. Note the target isn’t in-demand full-roster pros — it’s upside-seekers (aspiring founders), early-career growth people who need a proof-point, and niche specialists who can pattern-match a winnable bet fast.</w:t>
      </w:r>
    </w:p>
    <w:p>
      <w:pPr>
        <w:pStyle w:val="Heading2"/>
      </w:pPr>
      <w:r>
        <w:t xml:space="preserve">The real product is trust + diligence — but you don’t certify</w:t>
      </w:r>
    </w:p>
    <w:p>
      <w:pPr>
        <w:spacing w:after="140" w:line="276"/>
      </w:pPr>
      <w:r>
        <w:t xml:space="preserve">Matching is the easy part. Defensibility and monetization live in sitting in the payment flow: verifying revenue, handling payouts, taking a cut of what flows through. On diligence you facilitate, not judge — judging makes you a non-scalable curator who owns the blame when a deal flops. Instead, force both sides to produce costly signals and make them legible to each other:</w:t>
      </w:r>
    </w:p>
    <w:p>
      <w:pPr>
        <w:pStyle w:val="ListParagraph"/>
        <w:numPr>
          <w:ilvl w:val="0"/>
          <w:numId w:val="2"/>
        </w:numPr>
        <w:spacing w:after="80" w:line="276"/>
      </w:pPr>
      <w:r>
        <w:t xml:space="preserve">An idea-haver who shows up with a real waitlist or logged customer interviews — you verify the signal exists, you don’t grade it.</w:t>
      </w:r>
    </w:p>
    <w:p>
      <w:pPr>
        <w:pStyle w:val="ListParagraph"/>
        <w:numPr>
          <w:ilvl w:val="0"/>
          <w:numId w:val="2"/>
        </w:numPr>
        <w:spacing w:after="80" w:line="276"/>
      </w:pPr>
      <w:r>
        <w:t xml:space="preserve">A marketer willing to take rev-share over cash is itself a validation event — they’re betting their own time the thing will sell.</w:t>
      </w:r>
    </w:p>
    <w:p>
      <w:pPr>
        <w:pStyle w:val="Heading2"/>
      </w:pPr>
      <w:r>
        <w:t xml:space="preserve">Parked for phase two: the mirror</w:t>
      </w:r>
    </w:p>
    <w:p>
      <w:pPr>
        <w:spacing w:after="140" w:line="276"/>
      </w:pPr>
      <w:r>
        <w:t xml:space="preserve">Marketer brings an idea, builder builds it for rev-share. More viable than it first looks — AI shrinks the build to a weekend-sized bet — but only conditional on real idea-validation and on products in the sweet spot (non-trivial enough to need a builder, not so complex the weekend bet becomes a month). Don’t run both directions at launch; it splits liquidity across four corners of an already-hard-to-seed marketplace. When you do build it, use milestone / escrowed deferred cash, not pure rev-share — there’s no revenue to share until it ships.</w:t>
      </w:r>
    </w:p>
    <w:p>
      <w:pPr>
        <w:pStyle w:val="Heading2"/>
      </w:pPr>
      <w:r>
        <w:t xml:space="preserve">Open risks to keep watching</w:t>
      </w:r>
    </w:p>
    <w:p>
      <w:pPr>
        <w:pStyle w:val="ListParagraph"/>
        <w:numPr>
          <w:ilvl w:val="0"/>
          <w:numId w:val="3"/>
        </w:numPr>
        <w:spacing w:after="80" w:line="276"/>
      </w:pPr>
      <w:r>
        <w:t xml:space="preserve">Cold-start — seeding the scarce marketer side is make-or-break.</w:t>
      </w:r>
    </w:p>
    <w:p>
      <w:pPr>
        <w:pStyle w:val="ListParagraph"/>
        <w:numPr>
          <w:ilvl w:val="0"/>
          <w:numId w:val="3"/>
        </w:numPr>
        <w:spacing w:after="80" w:line="276"/>
      </w:pPr>
      <w:r>
        <w:t xml:space="preserve">Attribution — clean at zero revenue; murky the moment there’s an existing baseline.</w:t>
      </w:r>
    </w:p>
    <w:p>
      <w:pPr>
        <w:pStyle w:val="ListParagraph"/>
        <w:numPr>
          <w:ilvl w:val="0"/>
          <w:numId w:val="3"/>
        </w:numPr>
        <w:spacing w:after="80" w:line="276"/>
      </w:pPr>
      <w:r>
        <w:t xml:space="preserve">Trust — your verification layer is the answer, but it has to work day one.</w:t>
      </w:r>
    </w:p>
    <w:p>
      <w:pPr>
        <w:pStyle w:val="ListParagraph"/>
        <w:numPr>
          <w:ilvl w:val="0"/>
          <w:numId w:val="3"/>
        </w:numPr>
        <w:spacing w:after="80" w:line="276"/>
      </w:pPr>
      <w:r>
        <w:t xml:space="preserve">The vibe-code tension — if an idea is simple enough to build in a weekend, the marketer may not need a builder at all; builders are truly needed only for harder builds, which revive the time-risk. Don’t let the middle hollow out.</w:t>
      </w:r>
    </w:p>
    <w:p>
      <w:pPr>
        <w:pageBreakBefore/>
      </w:pPr>
    </w:p>
    <w:p>
      <w:pPr>
        <w:pStyle w:val="Heading1"/>
      </w:pPr>
      <w:r>
        <w:t xml:space="preserve">Part 2 — Rev-Share Term Sheet (Frockd pilot)</w:t>
      </w:r>
    </w:p>
    <w:p>
      <w:pPr>
        <w:spacing w:after="140" w:line="276"/>
      </w:pPr>
      <w:r>
        <w:rPr>
          <w:b/>
          <w:bCs/>
          <w:color w:val="222222"/>
        </w:rPr>
        <w:t xml:space="preserve">Core design decision: </w:t>
      </w:r>
      <w:r>
        <w:t xml:space="preserve">you pay the marketer on listing-fee revenue, but you judge and renew them on completed sales. That split lets the deal ride your actual revenue line while stopping a marketer from juicing dead listings that never sell.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2EAEF" w:val="clear"/>
            <w:tcMar>
              <w:top w:type="dxa" w:w="100"/>
              <w:left w:type="dxa" w:w="140"/>
              <w:bottom w:type="dxa" w:w="100"/>
              <w:right w:type="dxa" w:w="140"/>
            </w:tcMar>
          </w:tcPr>
          <w:p>
            <w:r>
              <w:rPr>
                <w:b/>
                <w:bCs/>
                <w:color w:val="222222"/>
                <w:sz w:val="20"/>
                <w:szCs w:val="20"/>
              </w:rPr>
              <w:t xml:space="preserve">Parties</w:t>
            </w:r>
          </w:p>
        </w:tc>
        <w:tc>
          <w:tcPr>
            <w:tcW w:type="dxa" w:w="67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40" w:line="264"/>
            </w:pPr>
            <w:r>
              <w:t xml:space="preserve">You (Frockd, the platform) and [Marketer], engaged as growth partner. Not an employee, not a co-founder, no equity.</w:t>
            </w:r>
          </w:p>
        </w:tc>
      </w:tr>
      <w:tr>
        <w:tc>
          <w:tcPr>
            <w:tcW w:type="dxa" w:w="26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b/>
                <w:bCs/>
                <w:color w:val="222222"/>
                <w:sz w:val="20"/>
                <w:szCs w:val="20"/>
              </w:rPr>
              <w:t xml:space="preserve">1. Revenue shared</w:t>
            </w:r>
          </w:p>
        </w:tc>
        <w:tc>
          <w:tcPr>
            <w:tcW w:type="dxa" w:w="67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40" w:line="264"/>
            </w:pPr>
            <w:r>
              <w:t xml:space="preserve">Net listing-fee revenue — total listing fees collected, minus payment-processing fees. Listing fees are Frockd’s only revenue line, so that’s the pie.</w:t>
            </w:r>
          </w:p>
        </w:tc>
      </w:tr>
      <w:tr>
        <w:tc>
          <w:tcPr>
            <w:tcW w:type="dxa" w:w="2600"/>
            <w:tcBorders>
              <w:top w:val="single" w:color="DDDDDD" w:sz="1"/>
              <w:left w:val="single" w:color="DDDDDD" w:sz="1"/>
              <w:bottom w:val="single" w:color="DDDDDD" w:sz="1"/>
              <w:right w:val="single" w:color="DDDDDD" w:sz="1"/>
            </w:tcBorders>
            <w:shd w:fill="F2EAEF" w:val="clear"/>
            <w:tcMar>
              <w:top w:type="dxa" w:w="100"/>
              <w:left w:type="dxa" w:w="140"/>
              <w:bottom w:type="dxa" w:w="100"/>
              <w:right w:type="dxa" w:w="140"/>
            </w:tcMar>
          </w:tcPr>
          <w:p>
            <w:r>
              <w:rPr>
                <w:b/>
                <w:bCs/>
                <w:color w:val="222222"/>
                <w:sz w:val="20"/>
                <w:szCs w:val="20"/>
              </w:rPr>
              <w:t xml:space="preserve">2. Baseline</w:t>
            </w:r>
          </w:p>
        </w:tc>
        <w:tc>
          <w:tcPr>
            <w:tcW w:type="dxa" w:w="67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40" w:line="264"/>
            </w:pPr>
            <w:r>
              <w:t xml:space="preserve">$0 as of the start date [DATE]. Every dollar of net listing-fee revenue after that date is net-new and shareable. Clean attribution.</w:t>
            </w:r>
          </w:p>
        </w:tc>
      </w:tr>
      <w:tr>
        <w:tc>
          <w:tcPr>
            <w:tcW w:type="dxa" w:w="26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b/>
                <w:bCs/>
                <w:color w:val="222222"/>
                <w:sz w:val="20"/>
                <w:szCs w:val="20"/>
              </w:rPr>
              <w:t xml:space="preserve">3. Share</w:t>
            </w:r>
          </w:p>
        </w:tc>
        <w:tc>
          <w:tcPr>
            <w:tcW w:type="dxa" w:w="67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40" w:line="264"/>
            </w:pPr>
            <w:r>
              <w:rPr>
                <w:b/>
                <w:bCs/>
              </w:rPr>
              <w:t xml:space="preserve">30% </w:t>
            </w:r>
            <w:r>
              <w:t xml:space="preserve">of net-new listing-fee revenue. (Market band for a partner owning all of growth on a zero-revenue product is ~25–40%; 30% is a fair, attractive midpoint — and as your own pilot, leaning generous recruits faster and teaches you more.)</w:t>
            </w:r>
          </w:p>
        </w:tc>
      </w:tr>
      <w:tr>
        <w:tc>
          <w:tcPr>
            <w:tcW w:type="dxa" w:w="2600"/>
            <w:tcBorders>
              <w:top w:val="single" w:color="DDDDDD" w:sz="1"/>
              <w:left w:val="single" w:color="DDDDDD" w:sz="1"/>
              <w:bottom w:val="single" w:color="DDDDDD" w:sz="1"/>
              <w:right w:val="single" w:color="DDDDDD" w:sz="1"/>
            </w:tcBorders>
            <w:shd w:fill="F2EAEF" w:val="clear"/>
            <w:tcMar>
              <w:top w:type="dxa" w:w="100"/>
              <w:left w:type="dxa" w:w="140"/>
              <w:bottom w:type="dxa" w:w="100"/>
              <w:right w:type="dxa" w:w="140"/>
            </w:tcMar>
          </w:tcPr>
          <w:p>
            <w:r>
              <w:rPr>
                <w:b/>
                <w:bCs/>
                <w:color w:val="222222"/>
                <w:sz w:val="20"/>
                <w:szCs w:val="20"/>
              </w:rPr>
              <w:t xml:space="preserve">4. Duration</w:t>
            </w:r>
          </w:p>
        </w:tc>
        <w:tc>
          <w:tcPr>
            <w:tcW w:type="dxa" w:w="67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40" w:line="264"/>
            </w:pPr>
            <w:r>
              <w:t xml:space="preserve">Active for 24 months, then a declining tail: 50% of the rate in months 25–36, 25% in months 37–48, then ends. Rewards durable channels without paying forever.</w:t>
            </w:r>
          </w:p>
        </w:tc>
      </w:tr>
      <w:tr>
        <w:tc>
          <w:tcPr>
            <w:tcW w:type="dxa" w:w="26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b/>
                <w:bCs/>
                <w:color w:val="222222"/>
                <w:sz w:val="20"/>
                <w:szCs w:val="20"/>
              </w:rPr>
              <w:t xml:space="preserve">5. Performance gate</w:t>
            </w:r>
          </w:p>
        </w:tc>
        <w:tc>
          <w:tcPr>
            <w:tcW w:type="dxa" w:w="67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40" w:line="264"/>
            </w:pPr>
            <w:r>
              <w:rPr>
                <w:b/>
                <w:bCs/>
              </w:rPr>
              <w:t xml:space="preserve">Measured on sales, not listings. </w:t>
            </w:r>
            <w:r>
              <w:t xml:space="preserve">90-day checkpoint against an agreed bar of completed dress sales (units and/or GMV). Below the bar, either side walks cleanly. This is the safeguard against gaming listings.</w:t>
            </w:r>
          </w:p>
        </w:tc>
      </w:tr>
      <w:tr>
        <w:tc>
          <w:tcPr>
            <w:tcW w:type="dxa" w:w="2600"/>
            <w:tcBorders>
              <w:top w:val="single" w:color="DDDDDD" w:sz="1"/>
              <w:left w:val="single" w:color="DDDDDD" w:sz="1"/>
              <w:bottom w:val="single" w:color="DDDDDD" w:sz="1"/>
              <w:right w:val="single" w:color="DDDDDD" w:sz="1"/>
            </w:tcBorders>
            <w:shd w:fill="F2EAEF" w:val="clear"/>
            <w:tcMar>
              <w:top w:type="dxa" w:w="100"/>
              <w:left w:type="dxa" w:w="140"/>
              <w:bottom w:type="dxa" w:w="100"/>
              <w:right w:type="dxa" w:w="140"/>
            </w:tcMar>
          </w:tcPr>
          <w:p>
            <w:r>
              <w:rPr>
                <w:b/>
                <w:bCs/>
                <w:color w:val="222222"/>
                <w:sz w:val="20"/>
                <w:szCs w:val="20"/>
              </w:rPr>
              <w:t xml:space="preserve">6. Scope &amp; control</w:t>
            </w:r>
          </w:p>
        </w:tc>
        <w:tc>
          <w:tcPr>
            <w:tcW w:type="dxa" w:w="67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40" w:line="264"/>
            </w:pPr>
            <w:r>
              <w:t xml:space="preserve">Marketer owns all growth channels (buyer demand, seller acquisition, SEO, social, paid, partnerships). You retain full product ownership, roadmap, and final say. No equity, no IP transfer.</w:t>
            </w:r>
          </w:p>
        </w:tc>
      </w:tr>
      <w:tr>
        <w:tc>
          <w:tcPr>
            <w:tcW w:type="dxa" w:w="26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b/>
                <w:bCs/>
                <w:color w:val="222222"/>
                <w:sz w:val="20"/>
                <w:szCs w:val="20"/>
              </w:rPr>
              <w:t xml:space="preserve">7. Reporting &amp; payout</w:t>
            </w:r>
          </w:p>
        </w:tc>
        <w:tc>
          <w:tcPr>
            <w:tcW w:type="dxa" w:w="67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40" w:line="264"/>
            </w:pPr>
            <w:r>
              <w:t xml:space="preserve">Monthly payout, with read-access to the revenue dashboard. For the pilot you’re effectively both sides — run the transparency mechanic for real anyway, because it is the product you’re testing.</w:t>
            </w:r>
          </w:p>
        </w:tc>
      </w:tr>
    </w:tbl>
    <w:p>
      <w:pPr>
        <w:spacing w:after="100" w:before="220"/>
      </w:pPr>
      <w:r>
        <w:rPr>
          <w:b/>
          <w:bCs/>
          <w:color w:val="7A3B5E"/>
          <w:sz w:val="23"/>
          <w:szCs w:val="23"/>
        </w:rPr>
        <w:t xml:space="preserve">The Frockd-specific thing to watch</w:t>
      </w:r>
    </w:p>
    <w:p>
      <w:pPr>
        <w:spacing w:after="140" w:line="276"/>
      </w:pPr>
      <w:r>
        <w:t xml:space="preserve">Your revenue (listing fees) sits one step away from what actually makes the marketplace healthy: buyers, so dresses sell, so sellers keep paying to list. A smart marketer sees this instantly. Don’t hide it — frame it as the interesting challenge: “the lever is buyer demand; crack that and listing revenue follows.” The right person finds that more attractive, not less.</w:t>
      </w:r>
    </w:p>
    <w:p>
      <w:pPr>
        <w:pStyle w:val="Heading1"/>
      </w:pPr>
      <w:r>
        <w:t xml:space="preserve">Part 3 — The Next Step</w:t>
      </w:r>
    </w:p>
    <w:p>
      <w:pPr>
        <w:spacing w:after="140" w:line="276"/>
      </w:pPr>
      <w:r>
        <w:rPr>
          <w:b/>
          <w:bCs/>
          <w:color w:val="222222"/>
        </w:rPr>
        <w:t xml:space="preserve">Be case zero. </w:t>
      </w:r>
      <w:r>
        <w:t xml:space="preserve">Don’t simulate the deal — run it. Recruit one marketer for Frockd on these real rev-share terms and document everything: how you vetted them, which signals mattered, where trust wobbled, how payout worked. That single real transaction teaches you more than months of theory and becomes case study zero for the platform.</w:t>
      </w:r>
    </w:p>
    <w:p>
      <w:pPr>
        <w:spacing w:after="140" w:line="276"/>
      </w:pPr>
      <w:r>
        <w:rPr>
          <w:b/>
          <w:bCs/>
          <w:color w:val="222222"/>
        </w:rPr>
        <w:t xml:space="preserve">Where to find them: </w:t>
      </w:r>
      <w:r>
        <w:t xml:space="preserve">Indie Hackers, r/SaaS, r/marketing, MicroConf and SaaS-growth Slacks, build-in-public circles on X, and your own network’s second degree. Pitch one specific winnable project to one hand-picked person — never a generic “marketer wanted” post.</w:t>
      </w:r>
    </w:p>
    <w:p>
      <w:pPr>
        <w:pBdr>
          <w:bottom w:val="single" w:color="DDDDDD" w:sz="6" w:space="1"/>
        </w:pBdr>
        <w:spacing w:after="200"/>
      </w:pPr>
    </w:p>
    <w:p>
      <w:r>
        <w:rPr>
          <w:i/>
          <w:iCs/>
          <w:color w:val="555555"/>
          <w:sz w:val="18"/>
          <w:szCs w:val="18"/>
        </w:rPr>
        <w:t xml:space="preserve">Draft working document — terms are illustrative and not a binding offer until you confirm the figures.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2A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60"/>
    </w:pPr>
    <w:rPr>
      <w:rFonts w:ascii="Arial" w:cs="Arial" w:eastAsia="Arial" w:hAnsi="Arial"/>
      <w:b/>
      <w:bCs/>
      <w:color w:val="222222"/>
      <w:sz w:val="48"/>
      <w:szCs w:val="48"/>
    </w:rPr>
  </w:style>
  <w:style w:type="paragraph" w:styleId="Heading1">
    <w:name w:val="Heading 1"/>
    <w:basedOn w:val="Normal"/>
    <w:next w:val="Normal"/>
    <w:qFormat/>
    <w:pPr>
      <w:spacing w:after="140" w:before="320"/>
      <w:outlineLvl w:val="0"/>
    </w:pPr>
    <w:rPr>
      <w:rFonts w:ascii="Arial" w:cs="Arial" w:eastAsia="Arial" w:hAnsi="Arial"/>
      <w:b/>
      <w:bCs/>
      <w:color w:val="7A3B5E"/>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2222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2026-05-30T05:44:16.165Z</dcterms:created>
  <dcterms:modified xsi:type="dcterms:W3CDTF">2026-05-30T05:44:16.165Z</dcterms:modified>
</cp:coreProperties>
</file>

<file path=docProps/custom.xml><?xml version="1.0" encoding="utf-8"?>
<Properties xmlns="http://schemas.openxmlformats.org/officeDocument/2006/custom-properties" xmlns:vt="http://schemas.openxmlformats.org/officeDocument/2006/docPropsVTypes"/>
</file>