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039" w:rsidRDefault="00F718D8" w:rsidP="00F718D8">
      <w:pPr>
        <w:jc w:val="center"/>
      </w:pPr>
      <w:r>
        <w:t>Topic 4</w:t>
      </w:r>
    </w:p>
    <w:p w:rsidR="00F718D8" w:rsidRDefault="00F718D8" w:rsidP="00F718D8">
      <w:pPr>
        <w:jc w:val="center"/>
      </w:pPr>
    </w:p>
    <w:p w:rsidR="00F718D8" w:rsidRDefault="00523EDF" w:rsidP="00F718D8">
      <w:r>
        <w:t>Video</w:t>
      </w:r>
    </w:p>
    <w:p w:rsidR="00523EDF" w:rsidRDefault="00523EDF" w:rsidP="00F718D8"/>
    <w:p w:rsidR="005D06C8" w:rsidRPr="00C57227" w:rsidRDefault="005D06C8" w:rsidP="005D06C8">
      <w:pPr>
        <w:tabs>
          <w:tab w:val="left" w:pos="1415"/>
        </w:tabs>
        <w:spacing w:before="120" w:after="120" w:line="276" w:lineRule="auto"/>
      </w:pPr>
      <w:r>
        <w:rPr>
          <w:rFonts w:ascii="Arial" w:hAnsi="Arial" w:cs="Arial"/>
        </w:rPr>
        <w:t>1</w:t>
      </w:r>
      <w:r w:rsidRPr="00C57227">
        <w:rPr>
          <w:rFonts w:ascii="Arial" w:hAnsi="Arial" w:cs="Arial"/>
        </w:rPr>
        <w:t xml:space="preserve">. </w:t>
      </w:r>
      <w:r>
        <w:rPr>
          <w:rFonts w:ascii="Arial" w:hAnsi="Arial" w:cs="Arial"/>
        </w:rPr>
        <w:t xml:space="preserve">Describe why </w:t>
      </w:r>
      <w:r w:rsidRPr="00C57227">
        <w:rPr>
          <w:rFonts w:ascii="Arial" w:hAnsi="Arial" w:cs="Arial"/>
        </w:rPr>
        <w:t xml:space="preserve">the </w:t>
      </w:r>
      <w:r w:rsidRPr="00175558">
        <w:rPr>
          <w:rFonts w:ascii="Arial" w:hAnsi="Arial" w:cs="Arial"/>
        </w:rPr>
        <w:t>Tribunal</w:t>
      </w:r>
      <w:r w:rsidRPr="00175558">
        <w:rPr>
          <w:rFonts w:ascii="Arial" w:hAnsi="Arial" w:cs="Arial"/>
          <w:bCs/>
          <w:lang w:eastAsia="en-NZ"/>
        </w:rPr>
        <w:t xml:space="preserve"> </w:t>
      </w:r>
      <w:r w:rsidRPr="00175558">
        <w:rPr>
          <w:rFonts w:ascii="Arial" w:hAnsi="Arial" w:cs="Arial"/>
        </w:rPr>
        <w:t>sa</w:t>
      </w:r>
      <w:r>
        <w:rPr>
          <w:rFonts w:ascii="Arial" w:hAnsi="Arial" w:cs="Arial"/>
        </w:rPr>
        <w:t>id the salesperson licensee had not been in breach of rule 10.7.</w:t>
      </w:r>
    </w:p>
    <w:p w:rsidR="00523EDF" w:rsidRDefault="00523EDF" w:rsidP="00F718D8"/>
    <w:p w:rsidR="005D06C8" w:rsidRPr="005D06C8" w:rsidRDefault="005D06C8" w:rsidP="005D06C8">
      <w:pPr>
        <w:pStyle w:val="ListParagraph"/>
        <w:numPr>
          <w:ilvl w:val="0"/>
          <w:numId w:val="2"/>
        </w:numPr>
        <w:spacing w:before="120" w:after="120" w:line="276" w:lineRule="auto"/>
        <w:rPr>
          <w:rFonts w:ascii="Arial" w:hAnsi="Arial" w:cs="Arial"/>
        </w:rPr>
      </w:pPr>
      <w:r w:rsidRPr="005D06C8">
        <w:rPr>
          <w:rFonts w:ascii="Arial" w:hAnsi="Arial" w:cs="Arial"/>
        </w:rPr>
        <w:t>Answer should relate to the following:</w:t>
      </w:r>
    </w:p>
    <w:p w:rsidR="005D06C8" w:rsidRPr="001C63E0" w:rsidRDefault="005D06C8" w:rsidP="005D06C8">
      <w:pPr>
        <w:pStyle w:val="Heading2"/>
        <w:spacing w:before="120" w:after="120" w:line="276" w:lineRule="auto"/>
        <w:ind w:left="40"/>
        <w:rPr>
          <w:rFonts w:ascii="Arial" w:hAnsi="Arial" w:cs="Arial"/>
          <w:b w:val="0"/>
          <w:bCs w:val="0"/>
          <w:i w:val="0"/>
          <w:sz w:val="22"/>
          <w:szCs w:val="22"/>
          <w:lang w:eastAsia="en-NZ"/>
        </w:rPr>
      </w:pPr>
      <w:r w:rsidRPr="001C63E0">
        <w:rPr>
          <w:rFonts w:ascii="Arial" w:hAnsi="Arial" w:cs="Arial"/>
          <w:b w:val="0"/>
          <w:bCs w:val="0"/>
          <w:i w:val="0"/>
          <w:sz w:val="22"/>
          <w:szCs w:val="22"/>
          <w:lang w:eastAsia="en-NZ"/>
        </w:rPr>
        <w:t>The Tribunal said:</w:t>
      </w:r>
    </w:p>
    <w:p w:rsidR="005D06C8" w:rsidRPr="001C63E0" w:rsidRDefault="005D06C8" w:rsidP="005D06C8">
      <w:pPr>
        <w:pStyle w:val="Heading2"/>
        <w:spacing w:before="120" w:after="120" w:line="276" w:lineRule="auto"/>
        <w:ind w:left="40"/>
        <w:rPr>
          <w:rFonts w:ascii="Arial" w:hAnsi="Arial" w:cs="Arial"/>
          <w:b w:val="0"/>
          <w:bCs w:val="0"/>
          <w:i w:val="0"/>
          <w:sz w:val="22"/>
          <w:szCs w:val="22"/>
          <w:lang w:eastAsia="en-NZ"/>
        </w:rPr>
      </w:pPr>
      <w:r w:rsidRPr="001C63E0">
        <w:rPr>
          <w:rFonts w:ascii="Arial" w:hAnsi="Arial" w:cs="Arial"/>
          <w:b w:val="0"/>
          <w:bCs w:val="0"/>
          <w:i w:val="0"/>
          <w:sz w:val="22"/>
          <w:szCs w:val="22"/>
          <w:lang w:eastAsia="en-NZ"/>
        </w:rPr>
        <w:t xml:space="preserve">‘Rule 10.7 is only engaged when the circumstances are such that it should appear likely that the property may be subject to a hidden or underlying defect. </w:t>
      </w:r>
    </w:p>
    <w:p w:rsidR="005D06C8" w:rsidRPr="001C63E0" w:rsidRDefault="005D06C8" w:rsidP="005D06C8">
      <w:pPr>
        <w:pStyle w:val="Heading2"/>
        <w:spacing w:before="120" w:after="120" w:line="276" w:lineRule="auto"/>
        <w:ind w:left="40"/>
        <w:rPr>
          <w:rFonts w:ascii="Arial" w:hAnsi="Arial" w:cs="Arial"/>
          <w:b w:val="0"/>
          <w:bCs w:val="0"/>
          <w:i w:val="0"/>
          <w:sz w:val="22"/>
          <w:szCs w:val="22"/>
          <w:lang w:eastAsia="en-NZ"/>
        </w:rPr>
      </w:pPr>
      <w:r w:rsidRPr="001C63E0">
        <w:rPr>
          <w:rFonts w:ascii="Arial" w:hAnsi="Arial" w:cs="Arial"/>
          <w:b w:val="0"/>
          <w:bCs w:val="0"/>
          <w:i w:val="0"/>
          <w:sz w:val="22"/>
          <w:szCs w:val="22"/>
          <w:lang w:eastAsia="en-NZ"/>
        </w:rPr>
        <w:t xml:space="preserve">‘The term ‘likely’ plainly envisages an assessment on the balance of probabilities and is not intended to refer to a mere possibility, and, we would add, rumour. In our opinion clause 21 in the agreement for sale and purchase does address any potential breach of rule 10.7. </w:t>
      </w:r>
    </w:p>
    <w:p w:rsidR="005D06C8" w:rsidRDefault="005D06C8" w:rsidP="005D06C8">
      <w:pPr>
        <w:pStyle w:val="Heading2"/>
        <w:spacing w:before="120" w:after="120" w:line="276" w:lineRule="auto"/>
        <w:ind w:left="40"/>
        <w:rPr>
          <w:rFonts w:ascii="Arial" w:hAnsi="Arial" w:cs="Arial"/>
          <w:b w:val="0"/>
          <w:bCs w:val="0"/>
          <w:i w:val="0"/>
          <w:sz w:val="22"/>
          <w:szCs w:val="22"/>
          <w:lang w:eastAsia="en-NZ"/>
        </w:rPr>
      </w:pPr>
      <w:r w:rsidRPr="001C63E0">
        <w:rPr>
          <w:rFonts w:ascii="Arial" w:hAnsi="Arial" w:cs="Arial"/>
          <w:b w:val="0"/>
          <w:bCs w:val="0"/>
          <w:i w:val="0"/>
          <w:sz w:val="22"/>
          <w:szCs w:val="22"/>
          <w:lang w:eastAsia="en-NZ"/>
        </w:rPr>
        <w:t>‘Further the defects with this house were not known but only allegations. In our opinion</w:t>
      </w:r>
      <w:r>
        <w:rPr>
          <w:rFonts w:ascii="Arial" w:hAnsi="Arial" w:cs="Arial"/>
          <w:b w:val="0"/>
          <w:bCs w:val="0"/>
          <w:i w:val="0"/>
          <w:sz w:val="22"/>
          <w:szCs w:val="22"/>
          <w:lang w:eastAsia="en-NZ"/>
        </w:rPr>
        <w:t>,</w:t>
      </w:r>
      <w:r w:rsidRPr="001C63E0">
        <w:rPr>
          <w:rFonts w:ascii="Arial" w:hAnsi="Arial" w:cs="Arial"/>
          <w:b w:val="0"/>
          <w:bCs w:val="0"/>
          <w:i w:val="0"/>
          <w:sz w:val="22"/>
          <w:szCs w:val="22"/>
          <w:lang w:eastAsia="en-NZ"/>
        </w:rPr>
        <w:t xml:space="preserve"> these facts would struggle to meet the test of even the balance of probabilities. As a matter of fact, there were no defects and we therefore consider that [the salesperson licensee] was not in breach of rule 10.7.’</w:t>
      </w:r>
    </w:p>
    <w:p w:rsidR="005D06C8" w:rsidRDefault="005D06C8" w:rsidP="005D06C8">
      <w:pPr>
        <w:rPr>
          <w:lang w:eastAsia="en-NZ"/>
        </w:rPr>
      </w:pPr>
    </w:p>
    <w:p w:rsidR="005D06C8" w:rsidRPr="00C57227" w:rsidRDefault="005D06C8" w:rsidP="005D06C8">
      <w:pPr>
        <w:tabs>
          <w:tab w:val="left" w:pos="1415"/>
        </w:tabs>
        <w:spacing w:before="120" w:after="120" w:line="276" w:lineRule="auto"/>
      </w:pPr>
      <w:r>
        <w:rPr>
          <w:rFonts w:ascii="Arial" w:hAnsi="Arial" w:cs="Arial"/>
        </w:rPr>
        <w:t>2</w:t>
      </w:r>
      <w:r w:rsidRPr="00C57227">
        <w:rPr>
          <w:rFonts w:ascii="Arial" w:hAnsi="Arial" w:cs="Arial"/>
        </w:rPr>
        <w:t xml:space="preserve">. </w:t>
      </w:r>
      <w:r>
        <w:rPr>
          <w:rFonts w:ascii="Arial" w:hAnsi="Arial" w:cs="Arial"/>
        </w:rPr>
        <w:t xml:space="preserve">Describe why </w:t>
      </w:r>
      <w:r w:rsidRPr="00C57227">
        <w:rPr>
          <w:rFonts w:ascii="Arial" w:hAnsi="Arial" w:cs="Arial"/>
        </w:rPr>
        <w:t xml:space="preserve">the </w:t>
      </w:r>
      <w:r w:rsidRPr="00175558">
        <w:rPr>
          <w:rFonts w:ascii="Arial" w:hAnsi="Arial" w:cs="Arial"/>
        </w:rPr>
        <w:t>Tribunal</w:t>
      </w:r>
      <w:r w:rsidRPr="00175558">
        <w:rPr>
          <w:rFonts w:ascii="Arial" w:hAnsi="Arial" w:cs="Arial"/>
          <w:bCs/>
          <w:lang w:eastAsia="en-NZ"/>
        </w:rPr>
        <w:t xml:space="preserve"> </w:t>
      </w:r>
      <w:r w:rsidRPr="00175558">
        <w:rPr>
          <w:rFonts w:ascii="Arial" w:hAnsi="Arial" w:cs="Arial"/>
        </w:rPr>
        <w:t>sa</w:t>
      </w:r>
      <w:r>
        <w:rPr>
          <w:rFonts w:ascii="Arial" w:hAnsi="Arial" w:cs="Arial"/>
        </w:rPr>
        <w:t>id the salesperson licensee had not been in breach of rule 6.4.</w:t>
      </w:r>
    </w:p>
    <w:p w:rsidR="005D06C8" w:rsidRDefault="005D06C8" w:rsidP="005D06C8">
      <w:pPr>
        <w:rPr>
          <w:lang w:eastAsia="en-NZ"/>
        </w:rPr>
      </w:pPr>
    </w:p>
    <w:p w:rsidR="005D06C8" w:rsidRDefault="005D06C8" w:rsidP="005D06C8">
      <w:pPr>
        <w:rPr>
          <w:lang w:eastAsia="en-NZ"/>
        </w:rPr>
      </w:pPr>
    </w:p>
    <w:p w:rsidR="005D06C8" w:rsidRPr="005D06C8" w:rsidRDefault="005D06C8" w:rsidP="005D06C8">
      <w:pPr>
        <w:pStyle w:val="ListParagraph"/>
        <w:numPr>
          <w:ilvl w:val="0"/>
          <w:numId w:val="3"/>
        </w:numPr>
        <w:spacing w:before="120" w:after="120" w:line="276" w:lineRule="auto"/>
        <w:rPr>
          <w:rFonts w:ascii="Arial" w:hAnsi="Arial" w:cs="Arial"/>
        </w:rPr>
      </w:pPr>
      <w:r w:rsidRPr="005D06C8">
        <w:rPr>
          <w:rFonts w:ascii="Arial" w:hAnsi="Arial" w:cs="Arial"/>
        </w:rPr>
        <w:t>Answer should relate to the following:</w:t>
      </w:r>
    </w:p>
    <w:p w:rsidR="005D06C8" w:rsidRPr="001C63E0" w:rsidRDefault="005D06C8" w:rsidP="005D06C8">
      <w:pPr>
        <w:pStyle w:val="Heading2"/>
        <w:spacing w:before="120" w:after="120" w:line="276" w:lineRule="auto"/>
        <w:ind w:left="360"/>
        <w:rPr>
          <w:rFonts w:ascii="Arial" w:hAnsi="Arial" w:cs="Arial"/>
          <w:b w:val="0"/>
          <w:bCs w:val="0"/>
          <w:i w:val="0"/>
          <w:sz w:val="22"/>
          <w:szCs w:val="22"/>
          <w:lang w:eastAsia="en-NZ"/>
        </w:rPr>
      </w:pPr>
      <w:r w:rsidRPr="001C63E0">
        <w:rPr>
          <w:rFonts w:ascii="Arial" w:hAnsi="Arial" w:cs="Arial"/>
          <w:b w:val="0"/>
          <w:bCs w:val="0"/>
          <w:i w:val="0"/>
          <w:sz w:val="22"/>
          <w:szCs w:val="22"/>
          <w:lang w:eastAsia="en-NZ"/>
        </w:rPr>
        <w:t>The Tribunal said:</w:t>
      </w:r>
    </w:p>
    <w:p w:rsidR="005D06C8" w:rsidRPr="001C63E0" w:rsidRDefault="005D06C8" w:rsidP="005D06C8">
      <w:pPr>
        <w:pStyle w:val="Heading2"/>
        <w:spacing w:before="120" w:after="120" w:line="276" w:lineRule="auto"/>
        <w:ind w:left="360"/>
        <w:rPr>
          <w:rFonts w:ascii="Arial" w:hAnsi="Arial" w:cs="Arial"/>
          <w:b w:val="0"/>
          <w:bCs w:val="0"/>
          <w:i w:val="0"/>
          <w:sz w:val="22"/>
          <w:szCs w:val="22"/>
          <w:lang w:eastAsia="en-NZ"/>
        </w:rPr>
      </w:pPr>
      <w:r w:rsidRPr="001C63E0">
        <w:rPr>
          <w:rFonts w:ascii="Arial" w:hAnsi="Arial" w:cs="Arial"/>
          <w:b w:val="0"/>
          <w:bCs w:val="0"/>
          <w:i w:val="0"/>
          <w:sz w:val="22"/>
          <w:szCs w:val="22"/>
          <w:lang w:eastAsia="en-NZ"/>
        </w:rPr>
        <w:t>‘The Tribunal does not agree that in this case rule 6.4 was breached. The [salesperson licensee], the manager and the agency took the issue seriously, considered what to do and took legal advice.</w:t>
      </w:r>
    </w:p>
    <w:p w:rsidR="005D06C8" w:rsidRDefault="005D06C8" w:rsidP="005D06C8">
      <w:pPr>
        <w:pStyle w:val="Heading2"/>
        <w:spacing w:before="120" w:after="120" w:line="276" w:lineRule="auto"/>
        <w:ind w:left="360"/>
        <w:rPr>
          <w:rFonts w:ascii="Arial" w:hAnsi="Arial" w:cs="Arial"/>
          <w:b w:val="0"/>
          <w:bCs w:val="0"/>
          <w:i w:val="0"/>
          <w:sz w:val="22"/>
          <w:szCs w:val="22"/>
          <w:lang w:eastAsia="en-NZ"/>
        </w:rPr>
      </w:pPr>
      <w:r w:rsidRPr="001C63E0">
        <w:rPr>
          <w:rFonts w:ascii="Arial" w:hAnsi="Arial" w:cs="Arial"/>
          <w:b w:val="0"/>
          <w:bCs w:val="0"/>
          <w:i w:val="0"/>
          <w:sz w:val="22"/>
          <w:szCs w:val="22"/>
          <w:lang w:eastAsia="en-NZ"/>
        </w:rPr>
        <w:t xml:space="preserve">‘There is a fine line between over-disclosure of facts that may damage a vendor’s right to sell their property at a fair market price and under-disclosure which is unfair to a purchaser. </w:t>
      </w:r>
    </w:p>
    <w:p w:rsidR="005D06C8" w:rsidRDefault="005D06C8" w:rsidP="005D06C8">
      <w:pPr>
        <w:pStyle w:val="Heading2"/>
        <w:spacing w:before="120" w:after="120" w:line="276" w:lineRule="auto"/>
        <w:ind w:left="360"/>
        <w:rPr>
          <w:rFonts w:ascii="Arial" w:hAnsi="Arial" w:cs="Arial"/>
          <w:b w:val="0"/>
          <w:bCs w:val="0"/>
          <w:i w:val="0"/>
          <w:sz w:val="22"/>
          <w:szCs w:val="22"/>
          <w:lang w:eastAsia="en-NZ"/>
        </w:rPr>
      </w:pPr>
      <w:r w:rsidRPr="001C63E0">
        <w:rPr>
          <w:rFonts w:ascii="Arial" w:hAnsi="Arial" w:cs="Arial"/>
          <w:b w:val="0"/>
          <w:bCs w:val="0"/>
          <w:i w:val="0"/>
          <w:sz w:val="22"/>
          <w:szCs w:val="22"/>
          <w:lang w:eastAsia="en-NZ"/>
        </w:rPr>
        <w:t xml:space="preserve">In this case we consider that [the salesperson licensee] appropriately achieved the right balance. </w:t>
      </w:r>
    </w:p>
    <w:p w:rsidR="005D06C8" w:rsidRDefault="005D06C8" w:rsidP="005D06C8">
      <w:pPr>
        <w:pStyle w:val="Heading2"/>
        <w:spacing w:before="120" w:after="120" w:line="276" w:lineRule="auto"/>
        <w:ind w:left="360"/>
        <w:rPr>
          <w:rFonts w:ascii="Arial" w:hAnsi="Arial" w:cs="Arial"/>
          <w:b w:val="0"/>
          <w:bCs w:val="0"/>
          <w:i w:val="0"/>
          <w:sz w:val="22"/>
          <w:szCs w:val="22"/>
          <w:lang w:eastAsia="en-NZ"/>
        </w:rPr>
      </w:pPr>
      <w:r w:rsidRPr="001C63E0">
        <w:rPr>
          <w:rFonts w:ascii="Arial" w:hAnsi="Arial" w:cs="Arial"/>
          <w:b w:val="0"/>
          <w:bCs w:val="0"/>
          <w:i w:val="0"/>
          <w:sz w:val="22"/>
          <w:szCs w:val="22"/>
          <w:lang w:eastAsia="en-NZ"/>
        </w:rPr>
        <w:t xml:space="preserve">To disclose a rumour would potentially have breached the agent’s fiduciary duty to her vendor in this case. </w:t>
      </w:r>
    </w:p>
    <w:p w:rsidR="005D06C8" w:rsidRDefault="005D06C8" w:rsidP="005D06C8">
      <w:pPr>
        <w:pStyle w:val="Heading2"/>
        <w:spacing w:before="120" w:after="120" w:line="276" w:lineRule="auto"/>
        <w:ind w:left="360"/>
        <w:rPr>
          <w:rFonts w:ascii="Arial" w:hAnsi="Arial" w:cs="Arial"/>
          <w:b w:val="0"/>
          <w:bCs w:val="0"/>
          <w:i w:val="0"/>
          <w:sz w:val="22"/>
          <w:szCs w:val="22"/>
          <w:lang w:eastAsia="en-NZ"/>
        </w:rPr>
      </w:pPr>
      <w:r w:rsidRPr="001C63E0">
        <w:rPr>
          <w:rFonts w:ascii="Arial" w:hAnsi="Arial" w:cs="Arial"/>
          <w:b w:val="0"/>
          <w:bCs w:val="0"/>
          <w:i w:val="0"/>
          <w:sz w:val="22"/>
          <w:szCs w:val="22"/>
          <w:lang w:eastAsia="en-NZ"/>
        </w:rPr>
        <w:t xml:space="preserve">We therefore conclude that [the salesperson licensee] did not breach rule 6.4 and that obtaining legal advice from the vendor’s solicitors, and inserting in the agreement the </w:t>
      </w:r>
      <w:r w:rsidRPr="001C63E0">
        <w:rPr>
          <w:rFonts w:ascii="Arial" w:hAnsi="Arial" w:cs="Arial"/>
          <w:b w:val="0"/>
          <w:bCs w:val="0"/>
          <w:i w:val="0"/>
          <w:sz w:val="22"/>
          <w:szCs w:val="22"/>
          <w:lang w:eastAsia="en-NZ"/>
        </w:rPr>
        <w:lastRenderedPageBreak/>
        <w:t>clause that was drafted by both solicitors, addressed appropriately her obligations under rule 6.4.</w:t>
      </w:r>
      <w:r>
        <w:rPr>
          <w:rFonts w:ascii="Arial" w:hAnsi="Arial" w:cs="Arial"/>
          <w:b w:val="0"/>
          <w:bCs w:val="0"/>
          <w:i w:val="0"/>
          <w:sz w:val="22"/>
          <w:szCs w:val="22"/>
          <w:lang w:eastAsia="en-NZ"/>
        </w:rPr>
        <w:t>’</w:t>
      </w:r>
    </w:p>
    <w:p w:rsidR="005D06C8" w:rsidRDefault="005D06C8" w:rsidP="005D06C8">
      <w:pPr>
        <w:rPr>
          <w:lang w:eastAsia="en-NZ"/>
        </w:rPr>
      </w:pPr>
    </w:p>
    <w:p w:rsidR="005D06C8" w:rsidRDefault="005D06C8" w:rsidP="005D06C8">
      <w:pPr>
        <w:rPr>
          <w:lang w:eastAsia="en-NZ"/>
        </w:rPr>
      </w:pPr>
      <w:r>
        <w:rPr>
          <w:lang w:eastAsia="en-NZ"/>
        </w:rPr>
        <w:t>Video</w:t>
      </w:r>
    </w:p>
    <w:p w:rsidR="005D06C8" w:rsidRDefault="005D06C8" w:rsidP="005D06C8">
      <w:pPr>
        <w:rPr>
          <w:lang w:eastAsia="en-NZ"/>
        </w:rPr>
      </w:pPr>
    </w:p>
    <w:p w:rsidR="005D06C8" w:rsidRPr="00C57227" w:rsidRDefault="005D06C8" w:rsidP="005D06C8">
      <w:pPr>
        <w:tabs>
          <w:tab w:val="left" w:pos="1415"/>
        </w:tabs>
        <w:spacing w:before="120" w:after="120" w:line="276" w:lineRule="auto"/>
      </w:pPr>
      <w:r w:rsidRPr="00285AC7">
        <w:rPr>
          <w:rFonts w:ascii="Arial" w:hAnsi="Arial" w:cs="Arial"/>
        </w:rPr>
        <w:t>3. Describe the steps that the licensee took in this situation that the CAC considered were ‘sufficient’ in these circumstances.</w:t>
      </w:r>
    </w:p>
    <w:p w:rsidR="005D06C8" w:rsidRDefault="005D06C8" w:rsidP="005D06C8">
      <w:pPr>
        <w:rPr>
          <w:lang w:eastAsia="en-NZ"/>
        </w:rPr>
      </w:pPr>
    </w:p>
    <w:p w:rsidR="005D06C8" w:rsidRPr="005D06C8" w:rsidRDefault="005D06C8" w:rsidP="005D06C8">
      <w:pPr>
        <w:pStyle w:val="ListParagraph"/>
        <w:numPr>
          <w:ilvl w:val="0"/>
          <w:numId w:val="4"/>
        </w:numPr>
        <w:spacing w:before="120" w:after="120" w:line="276" w:lineRule="auto"/>
        <w:rPr>
          <w:rFonts w:ascii="Arial" w:hAnsi="Arial" w:cs="Arial"/>
        </w:rPr>
      </w:pPr>
      <w:r w:rsidRPr="005D06C8">
        <w:rPr>
          <w:rFonts w:ascii="Arial" w:hAnsi="Arial" w:cs="Arial"/>
        </w:rPr>
        <w:t>Answer should relate to the following:</w:t>
      </w:r>
    </w:p>
    <w:p w:rsidR="005D06C8" w:rsidRPr="005D06C8" w:rsidRDefault="005D06C8" w:rsidP="005D06C8">
      <w:pPr>
        <w:spacing w:before="120" w:after="120" w:line="276" w:lineRule="auto"/>
        <w:ind w:left="360"/>
        <w:rPr>
          <w:rFonts w:ascii="Arial" w:hAnsi="Arial" w:cs="Arial"/>
        </w:rPr>
      </w:pPr>
      <w:r w:rsidRPr="005D06C8">
        <w:rPr>
          <w:rFonts w:ascii="Arial" w:hAnsi="Arial" w:cs="Arial"/>
        </w:rPr>
        <w:t>The licensee advised the dairy owner that he could insert a special clause in the sale and purchase agreement to address methamphetamine issues, but the dairy owner chose not to proceed any further.</w:t>
      </w:r>
    </w:p>
    <w:p w:rsidR="005D06C8" w:rsidRPr="005D06C8" w:rsidRDefault="005D06C8" w:rsidP="005D06C8">
      <w:pPr>
        <w:spacing w:before="120" w:after="120" w:line="276" w:lineRule="auto"/>
        <w:ind w:left="360"/>
        <w:rPr>
          <w:rFonts w:ascii="Arial" w:hAnsi="Arial" w:cs="Arial"/>
        </w:rPr>
      </w:pPr>
      <w:r w:rsidRPr="005D06C8">
        <w:rPr>
          <w:rFonts w:ascii="Arial" w:hAnsi="Arial" w:cs="Arial"/>
        </w:rPr>
        <w:t>The licensee advised his manager and one of the other licensees.</w:t>
      </w:r>
    </w:p>
    <w:p w:rsidR="005D06C8" w:rsidRPr="005D06C8" w:rsidRDefault="005D06C8" w:rsidP="005D06C8">
      <w:pPr>
        <w:tabs>
          <w:tab w:val="left" w:pos="1415"/>
        </w:tabs>
        <w:spacing w:before="120" w:after="120" w:line="276" w:lineRule="auto"/>
        <w:ind w:left="360"/>
        <w:rPr>
          <w:rFonts w:ascii="Arial" w:hAnsi="Arial" w:cs="Arial"/>
        </w:rPr>
      </w:pPr>
      <w:r w:rsidRPr="005D06C8">
        <w:rPr>
          <w:rFonts w:ascii="Arial" w:hAnsi="Arial" w:cs="Arial"/>
        </w:rPr>
        <w:t>There was no evidence at the time that the property was contaminated, and the licensees had spoken to the neighbours, who had not mentioned any issues.</w:t>
      </w:r>
    </w:p>
    <w:p w:rsidR="005D06C8" w:rsidRDefault="005D06C8" w:rsidP="005D06C8">
      <w:pPr>
        <w:tabs>
          <w:tab w:val="left" w:pos="1415"/>
        </w:tabs>
        <w:spacing w:before="120" w:after="120" w:line="276" w:lineRule="auto"/>
        <w:ind w:left="360"/>
        <w:rPr>
          <w:rFonts w:ascii="Arial" w:hAnsi="Arial" w:cs="Arial"/>
          <w:bCs/>
          <w:lang w:eastAsia="en-NZ"/>
        </w:rPr>
      </w:pPr>
      <w:r w:rsidRPr="005D06C8">
        <w:rPr>
          <w:rFonts w:ascii="Arial" w:hAnsi="Arial" w:cs="Arial"/>
          <w:bCs/>
          <w:lang w:eastAsia="en-NZ"/>
        </w:rPr>
        <w:t>Accordingly, the CAC concluded that the licensees had taken sufficient steps in the circumstances, and were not required to make further enquiries.</w:t>
      </w:r>
    </w:p>
    <w:p w:rsidR="005D06C8" w:rsidRDefault="005D06C8" w:rsidP="005D06C8">
      <w:pPr>
        <w:tabs>
          <w:tab w:val="left" w:pos="1415"/>
        </w:tabs>
        <w:spacing w:before="120" w:after="120" w:line="276" w:lineRule="auto"/>
        <w:ind w:left="360"/>
        <w:rPr>
          <w:rFonts w:ascii="Arial" w:hAnsi="Arial" w:cs="Arial"/>
          <w:bCs/>
          <w:lang w:eastAsia="en-NZ"/>
        </w:rPr>
      </w:pPr>
    </w:p>
    <w:p w:rsidR="005D06C8" w:rsidRDefault="005D06C8" w:rsidP="005D06C8">
      <w:pPr>
        <w:tabs>
          <w:tab w:val="left" w:pos="1415"/>
        </w:tabs>
        <w:spacing w:before="120" w:after="120" w:line="276" w:lineRule="auto"/>
        <w:ind w:left="360"/>
        <w:rPr>
          <w:rFonts w:ascii="Arial" w:hAnsi="Arial" w:cs="Arial"/>
          <w:bCs/>
          <w:lang w:eastAsia="en-NZ"/>
        </w:rPr>
      </w:pPr>
    </w:p>
    <w:p w:rsidR="005D06C8" w:rsidRDefault="005D06C8" w:rsidP="005D06C8">
      <w:pPr>
        <w:tabs>
          <w:tab w:val="left" w:pos="1415"/>
        </w:tabs>
        <w:spacing w:before="120" w:after="120" w:line="276" w:lineRule="auto"/>
        <w:ind w:left="360"/>
        <w:rPr>
          <w:rFonts w:ascii="Arial" w:hAnsi="Arial" w:cs="Arial"/>
        </w:rPr>
      </w:pPr>
      <w:r>
        <w:rPr>
          <w:rFonts w:ascii="Arial" w:hAnsi="Arial" w:cs="Arial"/>
        </w:rPr>
        <w:t>Video</w:t>
      </w:r>
    </w:p>
    <w:p w:rsidR="005D06C8" w:rsidRDefault="005D06C8" w:rsidP="005D06C8">
      <w:pPr>
        <w:tabs>
          <w:tab w:val="left" w:pos="1415"/>
        </w:tabs>
        <w:spacing w:before="120" w:after="120" w:line="276" w:lineRule="auto"/>
        <w:ind w:left="360"/>
        <w:rPr>
          <w:rFonts w:ascii="Arial" w:hAnsi="Arial" w:cs="Arial"/>
        </w:rPr>
      </w:pPr>
    </w:p>
    <w:p w:rsidR="005D06C8" w:rsidRDefault="005D06C8" w:rsidP="005D06C8">
      <w:pPr>
        <w:pStyle w:val="NoSpacing"/>
        <w:rPr>
          <w:rFonts w:ascii="Arial" w:hAnsi="Arial" w:cs="Arial"/>
          <w:bCs/>
          <w:lang w:eastAsia="en-NZ"/>
        </w:rPr>
      </w:pPr>
      <w:r>
        <w:rPr>
          <w:rFonts w:ascii="Arial" w:hAnsi="Arial" w:cs="Arial"/>
        </w:rPr>
        <w:t>4</w:t>
      </w:r>
      <w:r w:rsidRPr="00A25F35">
        <w:rPr>
          <w:rFonts w:ascii="Arial" w:hAnsi="Arial" w:cs="Arial"/>
        </w:rPr>
        <w:t xml:space="preserve">. </w:t>
      </w:r>
      <w:r>
        <w:rPr>
          <w:rFonts w:ascii="Arial" w:hAnsi="Arial" w:cs="Arial"/>
        </w:rPr>
        <w:t>The CAC said that ‘</w:t>
      </w:r>
      <w:r w:rsidRPr="0093144F">
        <w:rPr>
          <w:rFonts w:ascii="Arial" w:hAnsi="Arial" w:cs="Arial"/>
          <w:bCs/>
          <w:i/>
          <w:lang w:eastAsia="en-NZ"/>
        </w:rPr>
        <w:t>Steps taken by the licensee and the agency could be considered textbook as to what is appropriate in these circumstances and should be held up to the real estate industry for future reference</w:t>
      </w:r>
      <w:r w:rsidRPr="00415340">
        <w:rPr>
          <w:rFonts w:ascii="Arial" w:hAnsi="Arial" w:cs="Arial"/>
          <w:bCs/>
          <w:lang w:eastAsia="en-NZ"/>
        </w:rPr>
        <w:t>.’</w:t>
      </w:r>
    </w:p>
    <w:p w:rsidR="005D06C8" w:rsidRDefault="005D06C8" w:rsidP="005D06C8">
      <w:pPr>
        <w:pStyle w:val="NoSpacing"/>
        <w:rPr>
          <w:rFonts w:ascii="Arial" w:hAnsi="Arial" w:cs="Arial"/>
          <w:bCs/>
          <w:lang w:eastAsia="en-NZ"/>
        </w:rPr>
      </w:pPr>
    </w:p>
    <w:p w:rsidR="005D06C8" w:rsidRDefault="005D06C8" w:rsidP="005D06C8">
      <w:pPr>
        <w:pStyle w:val="NoSpacing"/>
      </w:pPr>
      <w:r>
        <w:rPr>
          <w:rFonts w:ascii="Arial" w:hAnsi="Arial" w:cs="Arial"/>
          <w:bCs/>
          <w:lang w:eastAsia="en-NZ"/>
        </w:rPr>
        <w:t>Describe the actions were taken in relation to this issue that were commended by the CAC.</w:t>
      </w:r>
    </w:p>
    <w:p w:rsidR="005D06C8" w:rsidRDefault="005D06C8" w:rsidP="005D06C8">
      <w:pPr>
        <w:tabs>
          <w:tab w:val="left" w:pos="1415"/>
        </w:tabs>
        <w:spacing w:before="120" w:after="120" w:line="276" w:lineRule="auto"/>
        <w:ind w:left="360"/>
        <w:rPr>
          <w:rFonts w:ascii="Arial" w:hAnsi="Arial" w:cs="Arial"/>
        </w:rPr>
      </w:pPr>
    </w:p>
    <w:p w:rsidR="005D06C8" w:rsidRDefault="005D06C8" w:rsidP="005D06C8">
      <w:pPr>
        <w:tabs>
          <w:tab w:val="left" w:pos="1415"/>
        </w:tabs>
        <w:spacing w:before="120" w:after="120" w:line="276" w:lineRule="auto"/>
        <w:ind w:left="360"/>
        <w:rPr>
          <w:rFonts w:ascii="Arial" w:hAnsi="Arial" w:cs="Arial"/>
        </w:rPr>
      </w:pPr>
    </w:p>
    <w:p w:rsidR="005D06C8" w:rsidRPr="005D06C8" w:rsidRDefault="005D06C8" w:rsidP="005D06C8">
      <w:pPr>
        <w:pStyle w:val="ListParagraph"/>
        <w:numPr>
          <w:ilvl w:val="0"/>
          <w:numId w:val="5"/>
        </w:numPr>
        <w:rPr>
          <w:rFonts w:ascii="Arial" w:hAnsi="Arial" w:cs="Arial"/>
        </w:rPr>
      </w:pPr>
      <w:r w:rsidRPr="005D06C8">
        <w:rPr>
          <w:rFonts w:ascii="Arial" w:hAnsi="Arial" w:cs="Arial"/>
        </w:rPr>
        <w:t xml:space="preserve">Answer should </w:t>
      </w:r>
      <w:proofErr w:type="gramStart"/>
      <w:r w:rsidRPr="005D06C8">
        <w:rPr>
          <w:rFonts w:ascii="Arial" w:hAnsi="Arial" w:cs="Arial"/>
        </w:rPr>
        <w:t>make reference</w:t>
      </w:r>
      <w:proofErr w:type="gramEnd"/>
      <w:r w:rsidRPr="005D06C8">
        <w:rPr>
          <w:rFonts w:ascii="Arial" w:hAnsi="Arial" w:cs="Arial"/>
        </w:rPr>
        <w:t xml:space="preserve"> to the following:</w:t>
      </w:r>
    </w:p>
    <w:p w:rsidR="005D06C8" w:rsidRPr="005D06C8" w:rsidRDefault="005D06C8" w:rsidP="005D06C8">
      <w:pPr>
        <w:tabs>
          <w:tab w:val="left" w:pos="1415"/>
        </w:tabs>
        <w:spacing w:before="120" w:after="120"/>
        <w:ind w:left="360"/>
        <w:rPr>
          <w:rFonts w:ascii="Arial" w:hAnsi="Arial" w:cs="Arial"/>
          <w:bCs/>
          <w:lang w:eastAsia="en-NZ"/>
        </w:rPr>
      </w:pPr>
      <w:proofErr w:type="gramStart"/>
      <w:r w:rsidRPr="005D06C8">
        <w:rPr>
          <w:rFonts w:ascii="Arial" w:hAnsi="Arial" w:cs="Arial"/>
          <w:bCs/>
          <w:lang w:eastAsia="en-NZ"/>
        </w:rPr>
        <w:t>As a result of</w:t>
      </w:r>
      <w:proofErr w:type="gramEnd"/>
      <w:r w:rsidRPr="005D06C8">
        <w:rPr>
          <w:rFonts w:ascii="Arial" w:hAnsi="Arial" w:cs="Arial"/>
          <w:bCs/>
          <w:lang w:eastAsia="en-NZ"/>
        </w:rPr>
        <w:t xml:space="preserve"> the information learned from the neighbour about likely methamphetamine contamination, the licensee recommended to the vendor that the next two open homes be suspended pending the obtaining of a drug test of the property. This advice was accepted by the vendor. </w:t>
      </w:r>
    </w:p>
    <w:p w:rsidR="005D06C8" w:rsidRPr="005D06C8" w:rsidRDefault="005D06C8" w:rsidP="005D06C8">
      <w:pPr>
        <w:tabs>
          <w:tab w:val="left" w:pos="1415"/>
        </w:tabs>
        <w:spacing w:before="120" w:after="120"/>
        <w:ind w:left="360"/>
        <w:rPr>
          <w:rFonts w:ascii="Arial" w:hAnsi="Arial" w:cs="Arial"/>
          <w:bCs/>
          <w:lang w:eastAsia="en-NZ"/>
        </w:rPr>
      </w:pPr>
      <w:r w:rsidRPr="005D06C8">
        <w:rPr>
          <w:rFonts w:ascii="Arial" w:hAnsi="Arial" w:cs="Arial"/>
          <w:bCs/>
          <w:lang w:eastAsia="en-NZ"/>
        </w:rPr>
        <w:t xml:space="preserve">The tests established that the pool cabana area was contaminated but the rest of the property was clear. The licensee, in conjunction with the vendor, agreed to close </w:t>
      </w:r>
      <w:proofErr w:type="gramStart"/>
      <w:r w:rsidRPr="005D06C8">
        <w:rPr>
          <w:rFonts w:ascii="Arial" w:hAnsi="Arial" w:cs="Arial"/>
          <w:bCs/>
          <w:lang w:eastAsia="en-NZ"/>
        </w:rPr>
        <w:t>all of</w:t>
      </w:r>
      <w:proofErr w:type="gramEnd"/>
      <w:r w:rsidRPr="005D06C8">
        <w:rPr>
          <w:rFonts w:ascii="Arial" w:hAnsi="Arial" w:cs="Arial"/>
          <w:bCs/>
          <w:lang w:eastAsia="en-NZ"/>
        </w:rPr>
        <w:t xml:space="preserve"> the pool cabana area with emergency tape so it could not be entered.</w:t>
      </w:r>
    </w:p>
    <w:p w:rsidR="005D06C8" w:rsidRPr="005D06C8" w:rsidRDefault="005D06C8" w:rsidP="005D06C8">
      <w:pPr>
        <w:tabs>
          <w:tab w:val="left" w:pos="1415"/>
        </w:tabs>
        <w:spacing w:before="120" w:after="120"/>
        <w:ind w:left="360"/>
        <w:rPr>
          <w:rFonts w:ascii="Arial" w:hAnsi="Arial" w:cs="Arial"/>
          <w:bCs/>
          <w:lang w:eastAsia="en-NZ"/>
        </w:rPr>
      </w:pPr>
      <w:r w:rsidRPr="005D06C8">
        <w:rPr>
          <w:rFonts w:ascii="Arial" w:hAnsi="Arial" w:cs="Arial"/>
          <w:bCs/>
          <w:lang w:eastAsia="en-NZ"/>
        </w:rPr>
        <w:t xml:space="preserve">The licensee indicated to the vendor that he would continue with the open homes </w:t>
      </w:r>
      <w:proofErr w:type="gramStart"/>
      <w:r w:rsidRPr="005D06C8">
        <w:rPr>
          <w:rFonts w:ascii="Arial" w:hAnsi="Arial" w:cs="Arial"/>
          <w:bCs/>
          <w:lang w:eastAsia="en-NZ"/>
        </w:rPr>
        <w:t>provided that</w:t>
      </w:r>
      <w:proofErr w:type="gramEnd"/>
      <w:r w:rsidRPr="005D06C8">
        <w:rPr>
          <w:rFonts w:ascii="Arial" w:hAnsi="Arial" w:cs="Arial"/>
          <w:bCs/>
          <w:lang w:eastAsia="en-NZ"/>
        </w:rPr>
        <w:t xml:space="preserve"> he had seen and read the test results, and that the drug results were to be fully disclosed to all prospective purchasers.  The vendor agreed to this. At the agency manager’s suggestion, a due diligence clause was included in the offer document.</w:t>
      </w:r>
    </w:p>
    <w:p w:rsidR="005D06C8" w:rsidRPr="005D06C8" w:rsidRDefault="005D06C8" w:rsidP="005D06C8">
      <w:pPr>
        <w:tabs>
          <w:tab w:val="left" w:pos="1415"/>
        </w:tabs>
        <w:spacing w:before="120" w:after="120"/>
        <w:ind w:left="360"/>
        <w:rPr>
          <w:rFonts w:ascii="Arial" w:hAnsi="Arial" w:cs="Arial"/>
          <w:bCs/>
          <w:lang w:eastAsia="en-NZ"/>
        </w:rPr>
      </w:pPr>
      <w:r w:rsidRPr="005D06C8">
        <w:rPr>
          <w:rFonts w:ascii="Arial" w:hAnsi="Arial" w:cs="Arial"/>
          <w:bCs/>
          <w:lang w:eastAsia="en-NZ"/>
        </w:rPr>
        <w:lastRenderedPageBreak/>
        <w:t xml:space="preserve">Verification of actions taken was provided to the CAC by the licensee through phone logs and voice memorandums repeated by the licensee. </w:t>
      </w:r>
    </w:p>
    <w:p w:rsidR="005D06C8" w:rsidRPr="005D06C8" w:rsidRDefault="005D06C8" w:rsidP="005D06C8">
      <w:pPr>
        <w:tabs>
          <w:tab w:val="left" w:pos="1415"/>
        </w:tabs>
        <w:spacing w:before="120" w:after="120"/>
        <w:ind w:left="360"/>
        <w:rPr>
          <w:rFonts w:ascii="Arial" w:hAnsi="Arial" w:cs="Arial"/>
          <w:bCs/>
          <w:lang w:eastAsia="en-NZ"/>
        </w:rPr>
      </w:pPr>
      <w:r w:rsidRPr="005D06C8">
        <w:rPr>
          <w:rFonts w:ascii="Arial" w:hAnsi="Arial" w:cs="Arial"/>
          <w:bCs/>
          <w:lang w:eastAsia="en-NZ"/>
        </w:rPr>
        <w:t xml:space="preserve">A copy of the offer was also produced, which had an acknowledgement by the complainants that they were made aware of a positive meth test. </w:t>
      </w:r>
    </w:p>
    <w:p w:rsidR="005D06C8" w:rsidRPr="005D06C8" w:rsidRDefault="005D06C8" w:rsidP="005D06C8">
      <w:pPr>
        <w:tabs>
          <w:tab w:val="left" w:pos="1415"/>
        </w:tabs>
        <w:spacing w:before="120" w:after="120"/>
        <w:ind w:left="360"/>
        <w:rPr>
          <w:rFonts w:ascii="Arial" w:hAnsi="Arial" w:cs="Arial"/>
          <w:bCs/>
          <w:lang w:eastAsia="en-NZ"/>
        </w:rPr>
      </w:pPr>
      <w:r w:rsidRPr="005D06C8">
        <w:rPr>
          <w:rFonts w:ascii="Arial" w:hAnsi="Arial" w:cs="Arial"/>
          <w:bCs/>
          <w:lang w:eastAsia="en-NZ"/>
        </w:rPr>
        <w:t>Further offers that were made on the property also showed similar disclosures of the meth test and recommendation for due diligence.</w:t>
      </w:r>
    </w:p>
    <w:p w:rsidR="005D06C8" w:rsidRDefault="005D06C8" w:rsidP="005D06C8">
      <w:pPr>
        <w:tabs>
          <w:tab w:val="left" w:pos="1415"/>
        </w:tabs>
        <w:spacing w:before="120" w:after="120"/>
        <w:ind w:left="360"/>
        <w:rPr>
          <w:rFonts w:ascii="Arial" w:hAnsi="Arial" w:cs="Arial"/>
          <w:bCs/>
          <w:lang w:eastAsia="en-NZ"/>
        </w:rPr>
      </w:pPr>
      <w:r w:rsidRPr="005D06C8">
        <w:rPr>
          <w:rFonts w:ascii="Arial" w:hAnsi="Arial" w:cs="Arial"/>
          <w:bCs/>
          <w:lang w:eastAsia="en-NZ"/>
        </w:rPr>
        <w:t>The licensee also produced a series of emails between the agency and the REAA in relation to how to market the property in the circumstances described. The advice from the REAA was very much in line with the approach taken by the licensee.</w:t>
      </w:r>
    </w:p>
    <w:p w:rsidR="005D06C8" w:rsidRDefault="005D06C8" w:rsidP="005D06C8">
      <w:pPr>
        <w:tabs>
          <w:tab w:val="left" w:pos="1415"/>
        </w:tabs>
        <w:spacing w:before="120" w:after="120"/>
        <w:ind w:left="360"/>
        <w:rPr>
          <w:rFonts w:ascii="Arial" w:hAnsi="Arial" w:cs="Arial"/>
          <w:bCs/>
          <w:lang w:eastAsia="en-NZ"/>
        </w:rPr>
      </w:pPr>
    </w:p>
    <w:p w:rsidR="005D06C8" w:rsidRDefault="005D06C8" w:rsidP="005D06C8">
      <w:pPr>
        <w:tabs>
          <w:tab w:val="left" w:pos="1415"/>
        </w:tabs>
        <w:spacing w:before="120" w:after="120"/>
        <w:ind w:left="360"/>
        <w:rPr>
          <w:rFonts w:ascii="Arial" w:hAnsi="Arial" w:cs="Arial"/>
        </w:rPr>
      </w:pPr>
    </w:p>
    <w:p w:rsidR="005D06C8" w:rsidRDefault="005D06C8" w:rsidP="005D06C8">
      <w:pPr>
        <w:tabs>
          <w:tab w:val="left" w:pos="1415"/>
        </w:tabs>
        <w:spacing w:before="120" w:after="120"/>
        <w:ind w:left="360"/>
        <w:rPr>
          <w:rFonts w:ascii="Arial" w:hAnsi="Arial" w:cs="Arial"/>
        </w:rPr>
      </w:pPr>
    </w:p>
    <w:p w:rsidR="005D06C8" w:rsidRDefault="005D06C8" w:rsidP="005D06C8">
      <w:pPr>
        <w:tabs>
          <w:tab w:val="left" w:pos="1415"/>
        </w:tabs>
        <w:spacing w:before="120" w:after="120"/>
        <w:ind w:left="360"/>
        <w:rPr>
          <w:rFonts w:ascii="Arial" w:hAnsi="Arial" w:cs="Arial"/>
        </w:rPr>
      </w:pPr>
      <w:r>
        <w:rPr>
          <w:rFonts w:ascii="Arial" w:hAnsi="Arial" w:cs="Arial"/>
        </w:rPr>
        <w:t>Video</w:t>
      </w:r>
    </w:p>
    <w:p w:rsidR="005D06C8" w:rsidRDefault="005D06C8" w:rsidP="005D06C8">
      <w:pPr>
        <w:tabs>
          <w:tab w:val="left" w:pos="1415"/>
        </w:tabs>
        <w:spacing w:before="120" w:after="120"/>
        <w:ind w:left="360"/>
        <w:rPr>
          <w:rFonts w:ascii="Arial" w:hAnsi="Arial" w:cs="Arial"/>
        </w:rPr>
      </w:pPr>
    </w:p>
    <w:p w:rsidR="005D06C8" w:rsidRPr="00C57227" w:rsidRDefault="005D06C8" w:rsidP="005D06C8">
      <w:pPr>
        <w:tabs>
          <w:tab w:val="left" w:pos="1415"/>
        </w:tabs>
        <w:spacing w:before="120" w:after="120" w:line="276" w:lineRule="auto"/>
      </w:pPr>
      <w:r>
        <w:rPr>
          <w:rFonts w:ascii="Arial" w:hAnsi="Arial" w:cs="Arial"/>
        </w:rPr>
        <w:t>5</w:t>
      </w:r>
      <w:r w:rsidRPr="00C57227">
        <w:rPr>
          <w:rFonts w:ascii="Arial" w:hAnsi="Arial" w:cs="Arial"/>
        </w:rPr>
        <w:t xml:space="preserve">. What did the </w:t>
      </w:r>
      <w:r w:rsidRPr="00175558">
        <w:rPr>
          <w:rFonts w:ascii="Arial" w:hAnsi="Arial" w:cs="Arial"/>
        </w:rPr>
        <w:t>Tribunal</w:t>
      </w:r>
      <w:r w:rsidRPr="00175558">
        <w:rPr>
          <w:rFonts w:ascii="Arial" w:hAnsi="Arial" w:cs="Arial"/>
          <w:bCs/>
          <w:lang w:eastAsia="en-NZ"/>
        </w:rPr>
        <w:t xml:space="preserve"> </w:t>
      </w:r>
      <w:r w:rsidRPr="00175558">
        <w:rPr>
          <w:rFonts w:ascii="Arial" w:hAnsi="Arial" w:cs="Arial"/>
        </w:rPr>
        <w:t>say</w:t>
      </w:r>
      <w:r>
        <w:rPr>
          <w:rFonts w:ascii="Arial" w:hAnsi="Arial" w:cs="Arial"/>
        </w:rPr>
        <w:t xml:space="preserve"> the agency should have done to meet best practice as required by ‘the </w:t>
      </w:r>
      <w:proofErr w:type="gramStart"/>
      <w:r>
        <w:rPr>
          <w:rFonts w:ascii="Arial" w:hAnsi="Arial" w:cs="Arial"/>
        </w:rPr>
        <w:t>particular facts’</w:t>
      </w:r>
      <w:proofErr w:type="gramEnd"/>
      <w:r>
        <w:rPr>
          <w:rFonts w:ascii="Arial" w:hAnsi="Arial" w:cs="Arial"/>
        </w:rPr>
        <w:t xml:space="preserve"> of this case</w:t>
      </w:r>
      <w:r w:rsidRPr="00175558">
        <w:rPr>
          <w:rFonts w:ascii="Arial" w:hAnsi="Arial" w:cs="Arial"/>
        </w:rPr>
        <w:t>?</w:t>
      </w:r>
    </w:p>
    <w:p w:rsidR="005D06C8" w:rsidRDefault="005D06C8" w:rsidP="005D06C8">
      <w:pPr>
        <w:tabs>
          <w:tab w:val="left" w:pos="1415"/>
        </w:tabs>
        <w:spacing w:before="120" w:after="120"/>
        <w:ind w:left="360"/>
        <w:rPr>
          <w:rFonts w:ascii="Arial" w:hAnsi="Arial" w:cs="Arial"/>
        </w:rPr>
      </w:pPr>
    </w:p>
    <w:p w:rsidR="005D06C8" w:rsidRDefault="005D06C8" w:rsidP="005D06C8">
      <w:pPr>
        <w:tabs>
          <w:tab w:val="left" w:pos="1415"/>
        </w:tabs>
        <w:spacing w:before="120" w:after="120"/>
        <w:ind w:left="360"/>
        <w:rPr>
          <w:rFonts w:ascii="Arial" w:hAnsi="Arial" w:cs="Arial"/>
        </w:rPr>
      </w:pPr>
    </w:p>
    <w:p w:rsidR="005D06C8" w:rsidRPr="005D06C8" w:rsidRDefault="005D06C8" w:rsidP="005D06C8">
      <w:pPr>
        <w:pStyle w:val="ListParagraph"/>
        <w:numPr>
          <w:ilvl w:val="0"/>
          <w:numId w:val="6"/>
        </w:numPr>
        <w:spacing w:before="120" w:after="120" w:line="276" w:lineRule="auto"/>
        <w:rPr>
          <w:rFonts w:ascii="Arial" w:hAnsi="Arial" w:cs="Arial"/>
        </w:rPr>
      </w:pPr>
      <w:r w:rsidRPr="005D06C8">
        <w:rPr>
          <w:rFonts w:ascii="Arial" w:hAnsi="Arial" w:cs="Arial"/>
        </w:rPr>
        <w:t>Answer should relate to the following:</w:t>
      </w:r>
    </w:p>
    <w:p w:rsidR="005D06C8" w:rsidRPr="005D06C8" w:rsidRDefault="005D06C8" w:rsidP="005D06C8">
      <w:pPr>
        <w:spacing w:before="120" w:after="120" w:line="276" w:lineRule="auto"/>
        <w:ind w:left="360"/>
        <w:rPr>
          <w:rFonts w:ascii="Arial" w:hAnsi="Arial" w:cs="Arial"/>
        </w:rPr>
      </w:pPr>
      <w:r w:rsidRPr="005D06C8">
        <w:rPr>
          <w:rFonts w:ascii="Arial" w:hAnsi="Arial" w:cs="Arial"/>
        </w:rPr>
        <w:t>The vendors should have been immediately consulted when information about the first test result became apparent.</w:t>
      </w:r>
    </w:p>
    <w:p w:rsidR="005D06C8" w:rsidRPr="005D06C8" w:rsidRDefault="005D06C8" w:rsidP="005D06C8">
      <w:pPr>
        <w:spacing w:before="120" w:after="120" w:line="276" w:lineRule="auto"/>
        <w:ind w:left="360"/>
        <w:rPr>
          <w:rFonts w:ascii="Arial" w:hAnsi="Arial" w:cs="Arial"/>
        </w:rPr>
      </w:pPr>
      <w:r w:rsidRPr="005D06C8">
        <w:rPr>
          <w:rFonts w:ascii="Arial" w:hAnsi="Arial" w:cs="Arial"/>
        </w:rPr>
        <w:t>The agency’s intranet notification should have at least been qualified with a note that the vendors had not consented for the information to be discussed with anyone at that stage – indeed, because they had yet to be informed of the issue.</w:t>
      </w:r>
    </w:p>
    <w:p w:rsidR="005D06C8" w:rsidRDefault="005D06C8" w:rsidP="005D06C8">
      <w:pPr>
        <w:spacing w:before="120" w:after="120" w:line="276" w:lineRule="auto"/>
        <w:ind w:left="360"/>
        <w:rPr>
          <w:rFonts w:ascii="Arial" w:hAnsi="Arial" w:cs="Arial"/>
          <w:bCs/>
          <w:lang w:eastAsia="en-NZ"/>
        </w:rPr>
      </w:pPr>
      <w:r w:rsidRPr="005D06C8">
        <w:rPr>
          <w:rFonts w:ascii="Arial" w:hAnsi="Arial" w:cs="Arial"/>
        </w:rPr>
        <w:t>‘It is concerning that the vendors were not immediately consulted as to the best procedure to be followed by the agents when the matter of methamphetamine testing arose. As we have often said, the vendors own the property being sold and</w:t>
      </w:r>
      <w:proofErr w:type="gramStart"/>
      <w:r w:rsidRPr="005D06C8">
        <w:rPr>
          <w:rFonts w:ascii="Arial" w:hAnsi="Arial" w:cs="Arial"/>
        </w:rPr>
        <w:t>, generally speaking, should</w:t>
      </w:r>
      <w:proofErr w:type="gramEnd"/>
      <w:r w:rsidRPr="005D06C8">
        <w:rPr>
          <w:rFonts w:ascii="Arial" w:hAnsi="Arial" w:cs="Arial"/>
        </w:rPr>
        <w:t xml:space="preserve"> be calling the tune over the marketing process so long as that process is lawful.’</w:t>
      </w:r>
    </w:p>
    <w:p w:rsidR="005D06C8" w:rsidRDefault="005D06C8" w:rsidP="005D06C8">
      <w:pPr>
        <w:spacing w:before="120" w:after="120" w:line="276" w:lineRule="auto"/>
        <w:ind w:left="360"/>
        <w:rPr>
          <w:rFonts w:ascii="Arial" w:hAnsi="Arial" w:cs="Arial"/>
          <w:bCs/>
          <w:lang w:eastAsia="en-NZ"/>
        </w:rPr>
      </w:pPr>
    </w:p>
    <w:p w:rsidR="005D06C8" w:rsidRDefault="005D06C8" w:rsidP="005D06C8">
      <w:pPr>
        <w:spacing w:before="120" w:after="120" w:line="276" w:lineRule="auto"/>
        <w:ind w:left="360"/>
        <w:rPr>
          <w:rFonts w:ascii="Arial" w:hAnsi="Arial" w:cs="Arial"/>
        </w:rPr>
      </w:pPr>
      <w:r>
        <w:rPr>
          <w:rFonts w:ascii="Arial" w:hAnsi="Arial" w:cs="Arial"/>
        </w:rPr>
        <w:t>Video</w:t>
      </w:r>
    </w:p>
    <w:p w:rsidR="005D06C8" w:rsidRDefault="005D06C8" w:rsidP="005D06C8">
      <w:pPr>
        <w:spacing w:before="120" w:after="120" w:line="276" w:lineRule="auto"/>
        <w:ind w:left="360"/>
        <w:rPr>
          <w:rFonts w:ascii="Arial" w:hAnsi="Arial" w:cs="Arial"/>
        </w:rPr>
      </w:pPr>
    </w:p>
    <w:p w:rsidR="005D06C8" w:rsidRPr="00606CF1" w:rsidRDefault="005D06C8" w:rsidP="005D06C8">
      <w:pPr>
        <w:tabs>
          <w:tab w:val="left" w:pos="1415"/>
        </w:tabs>
        <w:spacing w:before="120" w:after="120" w:line="276" w:lineRule="auto"/>
      </w:pPr>
      <w:r w:rsidRPr="00285AC7">
        <w:rPr>
          <w:rFonts w:ascii="Arial" w:hAnsi="Arial" w:cs="Arial"/>
        </w:rPr>
        <w:t>6. For what reasons did the Tribunal conclude that the actions of the licensee and agency in this case warranted an unsatisfactory conduct finding?</w:t>
      </w:r>
    </w:p>
    <w:p w:rsidR="005D06C8" w:rsidRDefault="005D06C8" w:rsidP="005D06C8">
      <w:pPr>
        <w:spacing w:before="120" w:after="120" w:line="276" w:lineRule="auto"/>
        <w:ind w:left="360"/>
        <w:rPr>
          <w:rFonts w:ascii="Arial" w:hAnsi="Arial" w:cs="Arial"/>
        </w:rPr>
      </w:pPr>
    </w:p>
    <w:p w:rsidR="005D06C8" w:rsidRDefault="005D06C8" w:rsidP="005D06C8">
      <w:pPr>
        <w:spacing w:before="120" w:after="120" w:line="276" w:lineRule="auto"/>
        <w:ind w:left="360"/>
        <w:rPr>
          <w:rFonts w:ascii="Arial" w:hAnsi="Arial" w:cs="Arial"/>
        </w:rPr>
      </w:pPr>
    </w:p>
    <w:p w:rsidR="005D06C8" w:rsidRPr="005D06C8" w:rsidRDefault="005D06C8" w:rsidP="005D06C8">
      <w:pPr>
        <w:pStyle w:val="ListParagraph"/>
        <w:numPr>
          <w:ilvl w:val="0"/>
          <w:numId w:val="7"/>
        </w:numPr>
        <w:spacing w:before="120" w:after="120" w:line="276" w:lineRule="auto"/>
        <w:rPr>
          <w:rFonts w:ascii="Arial" w:hAnsi="Arial" w:cs="Arial"/>
        </w:rPr>
      </w:pPr>
      <w:r w:rsidRPr="005D06C8">
        <w:rPr>
          <w:rFonts w:ascii="Arial" w:hAnsi="Arial" w:cs="Arial"/>
        </w:rPr>
        <w:t>Answer should relate to the following:</w:t>
      </w:r>
    </w:p>
    <w:p w:rsidR="005D06C8" w:rsidRPr="005D06C8" w:rsidRDefault="005D06C8" w:rsidP="005D06C8">
      <w:pPr>
        <w:tabs>
          <w:tab w:val="left" w:pos="1415"/>
        </w:tabs>
        <w:spacing w:before="120" w:after="120" w:line="276" w:lineRule="auto"/>
        <w:ind w:left="360"/>
        <w:rPr>
          <w:rFonts w:ascii="Arial" w:hAnsi="Arial" w:cs="Arial"/>
          <w:bCs/>
          <w:lang w:eastAsia="en-NZ"/>
        </w:rPr>
      </w:pPr>
      <w:r w:rsidRPr="005D06C8">
        <w:rPr>
          <w:rFonts w:ascii="Arial" w:hAnsi="Arial" w:cs="Arial"/>
          <w:bCs/>
          <w:lang w:eastAsia="en-NZ"/>
        </w:rPr>
        <w:t>Those attending the viewing were provided with copies of the drug test results, but no verbal warning was provided about the potential health risks of entering the property.</w:t>
      </w:r>
    </w:p>
    <w:p w:rsidR="005D06C8" w:rsidRPr="005D06C8" w:rsidRDefault="005D06C8" w:rsidP="005D06C8">
      <w:pPr>
        <w:tabs>
          <w:tab w:val="left" w:pos="1415"/>
        </w:tabs>
        <w:spacing w:before="120" w:after="120" w:line="276" w:lineRule="auto"/>
        <w:ind w:left="360"/>
        <w:rPr>
          <w:rFonts w:ascii="Arial" w:hAnsi="Arial" w:cs="Arial"/>
          <w:bCs/>
          <w:lang w:eastAsia="en-NZ"/>
        </w:rPr>
      </w:pPr>
      <w:r w:rsidRPr="005D06C8">
        <w:rPr>
          <w:rFonts w:ascii="Arial" w:hAnsi="Arial" w:cs="Arial"/>
          <w:bCs/>
          <w:lang w:eastAsia="en-NZ"/>
        </w:rPr>
        <w:lastRenderedPageBreak/>
        <w:t>Neither the licensee nor the agency made any enquiries or took any steps to ascertain whether it was safe to allow members of the public to access the property before conducting the second or third open homes or the private viewing.</w:t>
      </w:r>
    </w:p>
    <w:p w:rsidR="005D06C8" w:rsidRDefault="005D06C8" w:rsidP="005D06C8">
      <w:pPr>
        <w:tabs>
          <w:tab w:val="left" w:pos="1415"/>
        </w:tabs>
        <w:spacing w:before="120" w:after="120" w:line="276" w:lineRule="auto"/>
        <w:ind w:left="360"/>
        <w:rPr>
          <w:rFonts w:ascii="Arial" w:hAnsi="Arial" w:cs="Arial"/>
          <w:bCs/>
          <w:lang w:eastAsia="en-NZ"/>
        </w:rPr>
      </w:pPr>
      <w:r w:rsidRPr="005D06C8">
        <w:rPr>
          <w:rFonts w:ascii="Arial" w:hAnsi="Arial" w:cs="Arial"/>
          <w:bCs/>
          <w:lang w:eastAsia="en-NZ"/>
        </w:rPr>
        <w:t>The Tribunal ultimately concluded that the licensee and the agency engaged in unsatisfactory conduct by permitting prospective purchasers to access and inspect the property after the detailed assessment report became available (before the private viewing) when the property was clearly contaminated and a danger to human health, even if the report had been disclosed.</w:t>
      </w:r>
    </w:p>
    <w:p w:rsidR="005D06C8" w:rsidRDefault="005D06C8" w:rsidP="005D06C8">
      <w:pPr>
        <w:tabs>
          <w:tab w:val="left" w:pos="1415"/>
        </w:tabs>
        <w:spacing w:before="120" w:after="120" w:line="276" w:lineRule="auto"/>
        <w:ind w:left="360"/>
        <w:rPr>
          <w:rFonts w:ascii="Arial" w:hAnsi="Arial" w:cs="Arial"/>
          <w:bCs/>
          <w:lang w:eastAsia="en-NZ"/>
        </w:rPr>
      </w:pPr>
    </w:p>
    <w:p w:rsidR="005D06C8" w:rsidRDefault="005D06C8" w:rsidP="005D06C8">
      <w:pPr>
        <w:tabs>
          <w:tab w:val="left" w:pos="1415"/>
        </w:tabs>
        <w:spacing w:before="120" w:after="120" w:line="276" w:lineRule="auto"/>
        <w:ind w:left="360"/>
        <w:rPr>
          <w:rFonts w:ascii="Arial" w:hAnsi="Arial" w:cs="Arial"/>
          <w:bCs/>
          <w:lang w:eastAsia="en-NZ"/>
        </w:rPr>
      </w:pPr>
      <w:r>
        <w:rPr>
          <w:rFonts w:ascii="Arial" w:hAnsi="Arial" w:cs="Arial"/>
          <w:bCs/>
          <w:lang w:eastAsia="en-NZ"/>
        </w:rPr>
        <w:t>Video</w:t>
      </w:r>
    </w:p>
    <w:p w:rsidR="005D06C8" w:rsidRDefault="005D06C8" w:rsidP="005D06C8">
      <w:pPr>
        <w:tabs>
          <w:tab w:val="left" w:pos="1415"/>
        </w:tabs>
        <w:spacing w:before="120" w:after="120" w:line="276" w:lineRule="auto"/>
        <w:ind w:left="360"/>
        <w:rPr>
          <w:rFonts w:ascii="Arial" w:hAnsi="Arial" w:cs="Arial"/>
          <w:bCs/>
          <w:lang w:eastAsia="en-NZ"/>
        </w:rPr>
      </w:pPr>
    </w:p>
    <w:p w:rsidR="005D06C8" w:rsidRPr="00606CF1" w:rsidRDefault="005D06C8" w:rsidP="005D06C8">
      <w:pPr>
        <w:tabs>
          <w:tab w:val="left" w:pos="1415"/>
        </w:tabs>
        <w:spacing w:before="120" w:after="120" w:line="276" w:lineRule="auto"/>
      </w:pPr>
      <w:r w:rsidRPr="001E7E7E">
        <w:rPr>
          <w:rFonts w:ascii="Arial" w:hAnsi="Arial" w:cs="Arial"/>
        </w:rPr>
        <w:t>7. For what reasons did the CAC conclude that the actions of the licensee and agency in this case warranted an unsatisfactory conduct finding?</w:t>
      </w:r>
    </w:p>
    <w:p w:rsidR="005D06C8" w:rsidRDefault="005D06C8" w:rsidP="005D06C8">
      <w:pPr>
        <w:tabs>
          <w:tab w:val="left" w:pos="1415"/>
        </w:tabs>
        <w:spacing w:before="120" w:after="120" w:line="276" w:lineRule="auto"/>
        <w:ind w:left="360"/>
        <w:rPr>
          <w:rFonts w:ascii="Arial" w:hAnsi="Arial" w:cs="Arial"/>
          <w:bCs/>
          <w:lang w:eastAsia="en-NZ"/>
        </w:rPr>
      </w:pPr>
    </w:p>
    <w:p w:rsidR="005D06C8" w:rsidRPr="001E7E7E" w:rsidRDefault="005D06C8" w:rsidP="005D06C8">
      <w:pPr>
        <w:spacing w:before="120" w:after="120" w:line="276" w:lineRule="auto"/>
        <w:ind w:left="26"/>
        <w:rPr>
          <w:rFonts w:ascii="Arial" w:hAnsi="Arial" w:cs="Arial"/>
        </w:rPr>
      </w:pPr>
      <w:r w:rsidRPr="005D06C8">
        <w:rPr>
          <w:rFonts w:ascii="Arial" w:hAnsi="Arial" w:cs="Arial"/>
          <w:bCs/>
          <w:lang w:eastAsia="en-NZ"/>
        </w:rPr>
        <w:t>A.</w:t>
      </w:r>
      <w:r>
        <w:rPr>
          <w:rFonts w:ascii="Arial" w:hAnsi="Arial" w:cs="Arial"/>
          <w:bCs/>
          <w:lang w:eastAsia="en-NZ"/>
        </w:rPr>
        <w:t xml:space="preserve"> </w:t>
      </w:r>
      <w:r w:rsidRPr="001E7E7E">
        <w:rPr>
          <w:rFonts w:ascii="Arial" w:hAnsi="Arial" w:cs="Arial"/>
        </w:rPr>
        <w:t>Answer should relate to the following:</w:t>
      </w:r>
    </w:p>
    <w:p w:rsidR="005D06C8" w:rsidRPr="001E7E7E" w:rsidRDefault="005D06C8" w:rsidP="005D06C8">
      <w:pPr>
        <w:tabs>
          <w:tab w:val="left" w:pos="1415"/>
        </w:tabs>
        <w:spacing w:before="120" w:after="120" w:line="276" w:lineRule="auto"/>
        <w:rPr>
          <w:rFonts w:ascii="Arial" w:hAnsi="Arial" w:cs="Arial"/>
          <w:bCs/>
          <w:lang w:eastAsia="en-NZ"/>
        </w:rPr>
      </w:pPr>
      <w:r w:rsidRPr="001E7E7E">
        <w:rPr>
          <w:rFonts w:ascii="Arial" w:hAnsi="Arial" w:cs="Arial"/>
          <w:bCs/>
          <w:lang w:eastAsia="en-NZ"/>
        </w:rPr>
        <w:t>The CAC found that, although the purchasers who had contracts for the property were informed of the contamination, it appeared that the first licensee had played down the level of contamination by referring to it as ‘trace level’.</w:t>
      </w:r>
    </w:p>
    <w:p w:rsidR="005D06C8" w:rsidRPr="001E7E7E" w:rsidRDefault="005D06C8" w:rsidP="005D06C8">
      <w:pPr>
        <w:tabs>
          <w:tab w:val="left" w:pos="1415"/>
        </w:tabs>
        <w:spacing w:before="120" w:after="120" w:line="276" w:lineRule="auto"/>
        <w:rPr>
          <w:rFonts w:ascii="Arial" w:hAnsi="Arial" w:cs="Arial"/>
          <w:bCs/>
          <w:lang w:eastAsia="en-NZ"/>
        </w:rPr>
      </w:pPr>
      <w:r w:rsidRPr="001E7E7E">
        <w:rPr>
          <w:rFonts w:ascii="Arial" w:hAnsi="Arial" w:cs="Arial"/>
          <w:bCs/>
          <w:lang w:eastAsia="en-NZ"/>
        </w:rPr>
        <w:t>The CAC determined that the licensee knew, or should have known, the level of contamination was higher than the recommended safety level after receiving the test results, and should have disclosed this to all potential purchasers.</w:t>
      </w:r>
    </w:p>
    <w:p w:rsidR="005D06C8" w:rsidRPr="0090522F" w:rsidRDefault="005D06C8" w:rsidP="005D06C8">
      <w:pPr>
        <w:tabs>
          <w:tab w:val="left" w:pos="1415"/>
        </w:tabs>
        <w:spacing w:before="120" w:after="120" w:line="276" w:lineRule="auto"/>
        <w:rPr>
          <w:rFonts w:ascii="Arial" w:hAnsi="Arial" w:cs="Arial"/>
          <w:bCs/>
          <w:lang w:eastAsia="en-NZ"/>
        </w:rPr>
      </w:pPr>
      <w:r w:rsidRPr="001E7E7E">
        <w:rPr>
          <w:rFonts w:ascii="Arial" w:hAnsi="Arial" w:cs="Arial"/>
          <w:bCs/>
          <w:lang w:eastAsia="en-NZ"/>
        </w:rPr>
        <w:t>The CAC also determined that the agency, in failing to notify its staff of the potential risk to their health and safety, had engaged in conduct below the acceptable standard.</w:t>
      </w:r>
    </w:p>
    <w:p w:rsidR="005D06C8" w:rsidRDefault="005D06C8" w:rsidP="005D06C8">
      <w:pPr>
        <w:tabs>
          <w:tab w:val="left" w:pos="1415"/>
        </w:tabs>
        <w:spacing w:before="120" w:after="120" w:line="276" w:lineRule="auto"/>
        <w:rPr>
          <w:rFonts w:ascii="Arial" w:hAnsi="Arial" w:cs="Arial"/>
          <w:bCs/>
          <w:lang w:eastAsia="en-NZ"/>
        </w:rPr>
      </w:pPr>
    </w:p>
    <w:p w:rsidR="0093587D" w:rsidRDefault="0093587D" w:rsidP="005D06C8">
      <w:pPr>
        <w:tabs>
          <w:tab w:val="left" w:pos="1415"/>
        </w:tabs>
        <w:spacing w:before="120" w:after="120" w:line="276" w:lineRule="auto"/>
        <w:rPr>
          <w:rFonts w:ascii="Arial" w:hAnsi="Arial" w:cs="Arial"/>
          <w:bCs/>
          <w:lang w:eastAsia="en-NZ"/>
        </w:rPr>
      </w:pPr>
      <w:r>
        <w:rPr>
          <w:rFonts w:ascii="Arial" w:hAnsi="Arial" w:cs="Arial"/>
          <w:bCs/>
          <w:lang w:eastAsia="en-NZ"/>
        </w:rPr>
        <w:t>Video</w:t>
      </w:r>
    </w:p>
    <w:p w:rsidR="0093587D" w:rsidRDefault="0093587D" w:rsidP="005D06C8">
      <w:pPr>
        <w:tabs>
          <w:tab w:val="left" w:pos="1415"/>
        </w:tabs>
        <w:spacing w:before="120" w:after="120" w:line="276" w:lineRule="auto"/>
        <w:rPr>
          <w:rFonts w:ascii="Arial" w:hAnsi="Arial" w:cs="Arial"/>
          <w:bCs/>
          <w:lang w:eastAsia="en-NZ"/>
        </w:rPr>
      </w:pPr>
    </w:p>
    <w:p w:rsidR="0093587D" w:rsidRDefault="0093587D" w:rsidP="0093587D">
      <w:pPr>
        <w:pStyle w:val="NoSpacing"/>
        <w:spacing w:before="120" w:after="120" w:line="276" w:lineRule="auto"/>
      </w:pPr>
      <w:r>
        <w:rPr>
          <w:rFonts w:ascii="Arial" w:hAnsi="Arial" w:cs="Arial"/>
        </w:rPr>
        <w:t>8</w:t>
      </w:r>
      <w:r w:rsidRPr="00AC6874">
        <w:rPr>
          <w:rFonts w:ascii="Arial" w:hAnsi="Arial" w:cs="Arial"/>
        </w:rPr>
        <w:t>.</w:t>
      </w:r>
      <w:r>
        <w:rPr>
          <w:rFonts w:ascii="Arial" w:hAnsi="Arial" w:cs="Arial"/>
        </w:rPr>
        <w:t xml:space="preserve"> </w:t>
      </w:r>
      <w:r w:rsidRPr="0099306A">
        <w:rPr>
          <w:rFonts w:ascii="Arial" w:hAnsi="Arial" w:cs="Arial"/>
        </w:rPr>
        <w:t>If property</w:t>
      </w:r>
      <w:r>
        <w:rPr>
          <w:rFonts w:ascii="Arial" w:hAnsi="Arial" w:cs="Arial"/>
        </w:rPr>
        <w:t xml:space="preserve"> is suspected to be contaminated with methamphetamine, </w:t>
      </w:r>
      <w:r w:rsidRPr="00953332">
        <w:rPr>
          <w:rFonts w:ascii="Arial" w:hAnsi="Arial" w:cs="Arial"/>
        </w:rPr>
        <w:t>salespe</w:t>
      </w:r>
      <w:r>
        <w:rPr>
          <w:rFonts w:ascii="Arial" w:hAnsi="Arial" w:cs="Arial"/>
        </w:rPr>
        <w:t>rson</w:t>
      </w:r>
      <w:r w:rsidRPr="00953332">
        <w:rPr>
          <w:rFonts w:ascii="Arial" w:hAnsi="Arial" w:cs="Arial"/>
        </w:rPr>
        <w:t xml:space="preserve"> licensees should always discuss </w:t>
      </w:r>
      <w:r>
        <w:rPr>
          <w:rFonts w:ascii="Arial" w:hAnsi="Arial" w:cs="Arial"/>
        </w:rPr>
        <w:t xml:space="preserve">the situation </w:t>
      </w:r>
      <w:r w:rsidRPr="00953332">
        <w:rPr>
          <w:rFonts w:ascii="Arial" w:hAnsi="Arial" w:cs="Arial"/>
        </w:rPr>
        <w:t xml:space="preserve">with their branch manager or supervisor </w:t>
      </w:r>
      <w:r w:rsidRPr="00953332">
        <w:rPr>
          <w:rFonts w:ascii="Arial" w:hAnsi="Arial" w:cs="Arial"/>
          <w:bCs/>
        </w:rPr>
        <w:t>first</w:t>
      </w:r>
      <w:r w:rsidRPr="00953332">
        <w:rPr>
          <w:rFonts w:ascii="Arial" w:hAnsi="Arial" w:cs="Arial"/>
        </w:rPr>
        <w:t>.</w:t>
      </w:r>
    </w:p>
    <w:p w:rsidR="0093587D" w:rsidRDefault="0093587D" w:rsidP="005D06C8">
      <w:pPr>
        <w:tabs>
          <w:tab w:val="left" w:pos="1415"/>
        </w:tabs>
        <w:spacing w:before="120" w:after="120" w:line="276" w:lineRule="auto"/>
        <w:rPr>
          <w:rFonts w:ascii="Arial" w:hAnsi="Arial" w:cs="Arial"/>
          <w:bCs/>
          <w:lang w:eastAsia="en-NZ"/>
        </w:rPr>
      </w:pPr>
      <w:r>
        <w:rPr>
          <w:rFonts w:ascii="Arial" w:hAnsi="Arial" w:cs="Arial"/>
          <w:bCs/>
          <w:lang w:eastAsia="en-NZ"/>
        </w:rPr>
        <w:t>A. True</w:t>
      </w:r>
    </w:p>
    <w:p w:rsidR="0093587D" w:rsidRDefault="0093587D" w:rsidP="005D06C8">
      <w:pPr>
        <w:tabs>
          <w:tab w:val="left" w:pos="1415"/>
        </w:tabs>
        <w:spacing w:before="120" w:after="120" w:line="276" w:lineRule="auto"/>
        <w:rPr>
          <w:rFonts w:ascii="Arial" w:hAnsi="Arial" w:cs="Arial"/>
          <w:bCs/>
          <w:lang w:eastAsia="en-NZ"/>
        </w:rPr>
      </w:pPr>
    </w:p>
    <w:p w:rsidR="0093587D" w:rsidRDefault="0093587D" w:rsidP="0093587D">
      <w:pPr>
        <w:pStyle w:val="NoSpacing"/>
        <w:spacing w:before="120" w:after="120" w:line="276" w:lineRule="auto"/>
      </w:pPr>
      <w:r>
        <w:rPr>
          <w:rFonts w:ascii="Arial" w:hAnsi="Arial" w:cs="Arial"/>
        </w:rPr>
        <w:t>9</w:t>
      </w:r>
      <w:r w:rsidRPr="00512841">
        <w:rPr>
          <w:rFonts w:ascii="Arial" w:hAnsi="Arial" w:cs="Arial"/>
        </w:rPr>
        <w:t xml:space="preserve">. </w:t>
      </w:r>
      <w:r>
        <w:rPr>
          <w:rFonts w:ascii="Arial" w:hAnsi="Arial" w:cs="Arial"/>
        </w:rPr>
        <w:t>M</w:t>
      </w:r>
      <w:r w:rsidRPr="00CA337C">
        <w:rPr>
          <w:rFonts w:ascii="Arial" w:hAnsi="Arial" w:cs="Arial"/>
        </w:rPr>
        <w:t>eth</w:t>
      </w:r>
      <w:r>
        <w:rPr>
          <w:rFonts w:ascii="Arial" w:hAnsi="Arial" w:cs="Arial"/>
        </w:rPr>
        <w:t xml:space="preserve">amphetamine </w:t>
      </w:r>
      <w:r w:rsidRPr="00CA337C">
        <w:rPr>
          <w:rFonts w:ascii="Arial" w:hAnsi="Arial" w:cs="Arial"/>
        </w:rPr>
        <w:t>contamination is considered a property ‘defect’. This means that the disclosure provisions of Rules 10.7 and 10.8 may apply.</w:t>
      </w:r>
    </w:p>
    <w:p w:rsidR="0093587D" w:rsidRDefault="0093587D" w:rsidP="005D06C8">
      <w:pPr>
        <w:tabs>
          <w:tab w:val="left" w:pos="1415"/>
        </w:tabs>
        <w:spacing w:before="120" w:after="120" w:line="276" w:lineRule="auto"/>
        <w:rPr>
          <w:rFonts w:ascii="Arial" w:hAnsi="Arial" w:cs="Arial"/>
          <w:bCs/>
          <w:lang w:eastAsia="en-NZ"/>
        </w:rPr>
      </w:pPr>
      <w:r>
        <w:rPr>
          <w:rFonts w:ascii="Arial" w:hAnsi="Arial" w:cs="Arial"/>
          <w:bCs/>
          <w:lang w:eastAsia="en-NZ"/>
        </w:rPr>
        <w:t>A. True</w:t>
      </w:r>
    </w:p>
    <w:p w:rsidR="0093587D" w:rsidRDefault="0093587D" w:rsidP="005D06C8">
      <w:pPr>
        <w:tabs>
          <w:tab w:val="left" w:pos="1415"/>
        </w:tabs>
        <w:spacing w:before="120" w:after="120" w:line="276" w:lineRule="auto"/>
        <w:rPr>
          <w:rFonts w:ascii="Arial" w:hAnsi="Arial" w:cs="Arial"/>
          <w:bCs/>
          <w:lang w:eastAsia="en-NZ"/>
        </w:rPr>
      </w:pPr>
    </w:p>
    <w:p w:rsidR="0093587D" w:rsidRDefault="0093587D" w:rsidP="0093587D">
      <w:pPr>
        <w:pStyle w:val="NoSpacing"/>
        <w:spacing w:before="120" w:after="120" w:line="276" w:lineRule="auto"/>
      </w:pPr>
      <w:r>
        <w:rPr>
          <w:rFonts w:ascii="Arial" w:hAnsi="Arial" w:cs="Arial"/>
        </w:rPr>
        <w:t>10</w:t>
      </w:r>
      <w:r w:rsidRPr="00FB079C">
        <w:rPr>
          <w:rFonts w:ascii="Arial" w:hAnsi="Arial" w:cs="Arial"/>
        </w:rPr>
        <w:t xml:space="preserve">. </w:t>
      </w:r>
      <w:r>
        <w:rPr>
          <w:rFonts w:ascii="Arial" w:hAnsi="Arial" w:cs="Arial"/>
        </w:rPr>
        <w:t xml:space="preserve">When methamphetamine contamination is reasonably suspected, licensees must cease </w:t>
      </w:r>
      <w:r w:rsidRPr="00AB59A5">
        <w:rPr>
          <w:rFonts w:ascii="Arial" w:hAnsi="Arial" w:cs="Arial"/>
        </w:rPr>
        <w:t xml:space="preserve">marketing of the property until </w:t>
      </w:r>
      <w:r>
        <w:rPr>
          <w:rFonts w:ascii="Arial" w:hAnsi="Arial" w:cs="Arial"/>
        </w:rPr>
        <w:t xml:space="preserve">there are </w:t>
      </w:r>
      <w:r w:rsidRPr="00AB59A5">
        <w:rPr>
          <w:rFonts w:ascii="Arial" w:hAnsi="Arial" w:cs="Arial"/>
        </w:rPr>
        <w:t xml:space="preserve">reasonable grounds to </w:t>
      </w:r>
      <w:r>
        <w:rPr>
          <w:rFonts w:ascii="Arial" w:hAnsi="Arial" w:cs="Arial"/>
        </w:rPr>
        <w:t>believe</w:t>
      </w:r>
      <w:r w:rsidRPr="00AB59A5">
        <w:rPr>
          <w:rFonts w:ascii="Arial" w:hAnsi="Arial" w:cs="Arial"/>
        </w:rPr>
        <w:t xml:space="preserve"> that the property is not contaminated. </w:t>
      </w:r>
      <w:r>
        <w:rPr>
          <w:rFonts w:ascii="Arial" w:hAnsi="Arial" w:cs="Arial"/>
        </w:rPr>
        <w:t>This includes</w:t>
      </w:r>
      <w:r w:rsidRPr="00AB59A5">
        <w:rPr>
          <w:rFonts w:ascii="Arial" w:hAnsi="Arial" w:cs="Arial"/>
        </w:rPr>
        <w:t xml:space="preserve"> not let</w:t>
      </w:r>
      <w:r>
        <w:rPr>
          <w:rFonts w:ascii="Arial" w:hAnsi="Arial" w:cs="Arial"/>
        </w:rPr>
        <w:t>ting</w:t>
      </w:r>
      <w:r w:rsidRPr="00AB59A5">
        <w:rPr>
          <w:rFonts w:ascii="Arial" w:hAnsi="Arial" w:cs="Arial"/>
        </w:rPr>
        <w:t xml:space="preserve"> anyone onto the property other than those involved in detecting meth and decontaminating the property.</w:t>
      </w:r>
    </w:p>
    <w:p w:rsidR="0093587D" w:rsidRDefault="0093587D" w:rsidP="005D06C8">
      <w:pPr>
        <w:tabs>
          <w:tab w:val="left" w:pos="1415"/>
        </w:tabs>
        <w:spacing w:before="120" w:after="120" w:line="276" w:lineRule="auto"/>
        <w:rPr>
          <w:rFonts w:ascii="Arial" w:hAnsi="Arial" w:cs="Arial"/>
          <w:bCs/>
          <w:lang w:eastAsia="en-NZ"/>
        </w:rPr>
      </w:pPr>
    </w:p>
    <w:p w:rsidR="0093587D" w:rsidRDefault="0093587D" w:rsidP="005D06C8">
      <w:pPr>
        <w:tabs>
          <w:tab w:val="left" w:pos="1415"/>
        </w:tabs>
        <w:spacing w:before="120" w:after="120" w:line="276" w:lineRule="auto"/>
        <w:rPr>
          <w:rFonts w:ascii="Arial" w:hAnsi="Arial" w:cs="Arial"/>
          <w:bCs/>
          <w:lang w:eastAsia="en-NZ"/>
        </w:rPr>
      </w:pPr>
      <w:r>
        <w:rPr>
          <w:rFonts w:ascii="Arial" w:hAnsi="Arial" w:cs="Arial"/>
          <w:bCs/>
          <w:lang w:eastAsia="en-NZ"/>
        </w:rPr>
        <w:lastRenderedPageBreak/>
        <w:t>A. True</w:t>
      </w:r>
    </w:p>
    <w:p w:rsidR="0093587D" w:rsidRDefault="0093587D" w:rsidP="005D06C8">
      <w:pPr>
        <w:tabs>
          <w:tab w:val="left" w:pos="1415"/>
        </w:tabs>
        <w:spacing w:before="120" w:after="120" w:line="276" w:lineRule="auto"/>
        <w:rPr>
          <w:rFonts w:ascii="Arial" w:hAnsi="Arial" w:cs="Arial"/>
          <w:bCs/>
          <w:lang w:eastAsia="en-NZ"/>
        </w:rPr>
      </w:pPr>
    </w:p>
    <w:p w:rsidR="0093587D" w:rsidRPr="00B9333C" w:rsidRDefault="0093587D" w:rsidP="0093587D">
      <w:pPr>
        <w:pStyle w:val="NoSpacing"/>
        <w:spacing w:before="120" w:after="120" w:line="276" w:lineRule="auto"/>
      </w:pPr>
      <w:r w:rsidRPr="00B9333C">
        <w:rPr>
          <w:rFonts w:ascii="Arial" w:hAnsi="Arial" w:cs="Arial"/>
        </w:rPr>
        <w:t>1</w:t>
      </w:r>
      <w:r>
        <w:rPr>
          <w:rFonts w:ascii="Arial" w:hAnsi="Arial" w:cs="Arial"/>
        </w:rPr>
        <w:t>1</w:t>
      </w:r>
      <w:r w:rsidRPr="00B9333C">
        <w:rPr>
          <w:rFonts w:ascii="Arial" w:hAnsi="Arial" w:cs="Arial"/>
        </w:rPr>
        <w:t xml:space="preserve">. All </w:t>
      </w:r>
      <w:r w:rsidRPr="00B9333C">
        <w:rPr>
          <w:rFonts w:ascii="Arial" w:hAnsi="Arial" w:cs="Arial"/>
          <w:bCs/>
        </w:rPr>
        <w:t xml:space="preserve">discussions and agreements with the client and disclosure made to potential customers </w:t>
      </w:r>
      <w:r>
        <w:rPr>
          <w:rFonts w:ascii="Arial" w:hAnsi="Arial" w:cs="Arial"/>
          <w:bCs/>
        </w:rPr>
        <w:t>should</w:t>
      </w:r>
      <w:r w:rsidRPr="00B9333C">
        <w:rPr>
          <w:rFonts w:ascii="Arial" w:hAnsi="Arial" w:cs="Arial"/>
          <w:bCs/>
        </w:rPr>
        <w:t xml:space="preserve"> be recorded in writing.</w:t>
      </w:r>
    </w:p>
    <w:p w:rsidR="0093587D" w:rsidRDefault="0093587D" w:rsidP="005D06C8">
      <w:pPr>
        <w:tabs>
          <w:tab w:val="left" w:pos="1415"/>
        </w:tabs>
        <w:spacing w:before="120" w:after="120" w:line="276" w:lineRule="auto"/>
        <w:rPr>
          <w:rFonts w:ascii="Arial" w:hAnsi="Arial" w:cs="Arial"/>
          <w:bCs/>
          <w:lang w:eastAsia="en-NZ"/>
        </w:rPr>
      </w:pPr>
    </w:p>
    <w:p w:rsidR="0093587D" w:rsidRDefault="0093587D" w:rsidP="005D06C8">
      <w:pPr>
        <w:tabs>
          <w:tab w:val="left" w:pos="1415"/>
        </w:tabs>
        <w:spacing w:before="120" w:after="120" w:line="276" w:lineRule="auto"/>
        <w:rPr>
          <w:rFonts w:ascii="Arial" w:hAnsi="Arial" w:cs="Arial"/>
          <w:bCs/>
          <w:lang w:eastAsia="en-NZ"/>
        </w:rPr>
      </w:pPr>
      <w:r>
        <w:rPr>
          <w:rFonts w:ascii="Arial" w:hAnsi="Arial" w:cs="Arial"/>
          <w:bCs/>
          <w:lang w:eastAsia="en-NZ"/>
        </w:rPr>
        <w:t>A. True</w:t>
      </w:r>
    </w:p>
    <w:p w:rsidR="0093587D" w:rsidRDefault="0093587D" w:rsidP="005D06C8">
      <w:pPr>
        <w:tabs>
          <w:tab w:val="left" w:pos="1415"/>
        </w:tabs>
        <w:spacing w:before="120" w:after="120" w:line="276" w:lineRule="auto"/>
        <w:rPr>
          <w:rFonts w:ascii="Arial" w:hAnsi="Arial" w:cs="Arial"/>
          <w:bCs/>
          <w:lang w:eastAsia="en-NZ"/>
        </w:rPr>
      </w:pPr>
    </w:p>
    <w:p w:rsidR="0093587D" w:rsidRDefault="0093587D" w:rsidP="005D06C8">
      <w:pPr>
        <w:tabs>
          <w:tab w:val="left" w:pos="1415"/>
        </w:tabs>
        <w:spacing w:before="120" w:after="120" w:line="276" w:lineRule="auto"/>
        <w:rPr>
          <w:rFonts w:ascii="Arial" w:hAnsi="Arial" w:cs="Arial"/>
          <w:bCs/>
          <w:lang w:eastAsia="en-NZ"/>
        </w:rPr>
      </w:pPr>
    </w:p>
    <w:p w:rsidR="0093587D" w:rsidRDefault="0093587D" w:rsidP="005D06C8">
      <w:pPr>
        <w:tabs>
          <w:tab w:val="left" w:pos="1415"/>
        </w:tabs>
        <w:spacing w:before="120" w:after="120" w:line="276" w:lineRule="auto"/>
        <w:rPr>
          <w:rFonts w:ascii="Arial" w:hAnsi="Arial" w:cs="Arial"/>
          <w:bCs/>
          <w:lang w:eastAsia="en-NZ"/>
        </w:rPr>
      </w:pPr>
      <w:r>
        <w:rPr>
          <w:rFonts w:ascii="Arial" w:hAnsi="Arial" w:cs="Arial"/>
          <w:bCs/>
          <w:lang w:eastAsia="en-NZ"/>
        </w:rPr>
        <w:t>Video</w:t>
      </w:r>
    </w:p>
    <w:p w:rsidR="0093587D" w:rsidRDefault="0093587D" w:rsidP="005D06C8">
      <w:pPr>
        <w:tabs>
          <w:tab w:val="left" w:pos="1415"/>
        </w:tabs>
        <w:spacing w:before="120" w:after="120" w:line="276" w:lineRule="auto"/>
        <w:rPr>
          <w:rFonts w:ascii="Arial" w:hAnsi="Arial" w:cs="Arial"/>
          <w:bCs/>
          <w:lang w:eastAsia="en-NZ"/>
        </w:rPr>
      </w:pPr>
    </w:p>
    <w:p w:rsidR="0093587D" w:rsidRPr="005D06C8" w:rsidRDefault="0093587D" w:rsidP="005D06C8">
      <w:pPr>
        <w:tabs>
          <w:tab w:val="left" w:pos="1415"/>
        </w:tabs>
        <w:spacing w:before="120" w:after="120" w:line="276" w:lineRule="auto"/>
        <w:rPr>
          <w:rFonts w:ascii="Arial" w:hAnsi="Arial" w:cs="Arial"/>
          <w:bCs/>
          <w:lang w:eastAsia="en-NZ"/>
        </w:rPr>
      </w:pPr>
      <w:bookmarkStart w:id="0" w:name="_GoBack"/>
      <w:bookmarkEnd w:id="0"/>
    </w:p>
    <w:p w:rsidR="005D06C8" w:rsidRPr="005D06C8" w:rsidRDefault="005D06C8" w:rsidP="005D06C8">
      <w:pPr>
        <w:pStyle w:val="ListParagraph"/>
        <w:rPr>
          <w:lang w:eastAsia="en-NZ"/>
        </w:rPr>
      </w:pPr>
    </w:p>
    <w:p w:rsidR="005D06C8" w:rsidRDefault="005D06C8" w:rsidP="005D06C8">
      <w:pPr>
        <w:pStyle w:val="ListParagraph"/>
      </w:pPr>
    </w:p>
    <w:sectPr w:rsidR="005D0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166E5"/>
    <w:multiLevelType w:val="hybridMultilevel"/>
    <w:tmpl w:val="418AD630"/>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61C6800"/>
    <w:multiLevelType w:val="hybridMultilevel"/>
    <w:tmpl w:val="E67E0A40"/>
    <w:lvl w:ilvl="0" w:tplc="6CBCE208">
      <w:start w:val="1"/>
      <w:numFmt w:val="upperLetter"/>
      <w:lvlText w:val="%1."/>
      <w:lvlJc w:val="left"/>
      <w:pPr>
        <w:ind w:left="386" w:hanging="360"/>
      </w:pPr>
      <w:rPr>
        <w:rFonts w:hint="default"/>
      </w:rPr>
    </w:lvl>
    <w:lvl w:ilvl="1" w:tplc="14090019" w:tentative="1">
      <w:start w:val="1"/>
      <w:numFmt w:val="lowerLetter"/>
      <w:lvlText w:val="%2."/>
      <w:lvlJc w:val="left"/>
      <w:pPr>
        <w:ind w:left="1106" w:hanging="360"/>
      </w:pPr>
    </w:lvl>
    <w:lvl w:ilvl="2" w:tplc="1409001B" w:tentative="1">
      <w:start w:val="1"/>
      <w:numFmt w:val="lowerRoman"/>
      <w:lvlText w:val="%3."/>
      <w:lvlJc w:val="right"/>
      <w:pPr>
        <w:ind w:left="1826" w:hanging="180"/>
      </w:pPr>
    </w:lvl>
    <w:lvl w:ilvl="3" w:tplc="1409000F" w:tentative="1">
      <w:start w:val="1"/>
      <w:numFmt w:val="decimal"/>
      <w:lvlText w:val="%4."/>
      <w:lvlJc w:val="left"/>
      <w:pPr>
        <w:ind w:left="2546" w:hanging="360"/>
      </w:pPr>
    </w:lvl>
    <w:lvl w:ilvl="4" w:tplc="14090019" w:tentative="1">
      <w:start w:val="1"/>
      <w:numFmt w:val="lowerLetter"/>
      <w:lvlText w:val="%5."/>
      <w:lvlJc w:val="left"/>
      <w:pPr>
        <w:ind w:left="3266" w:hanging="360"/>
      </w:pPr>
    </w:lvl>
    <w:lvl w:ilvl="5" w:tplc="1409001B" w:tentative="1">
      <w:start w:val="1"/>
      <w:numFmt w:val="lowerRoman"/>
      <w:lvlText w:val="%6."/>
      <w:lvlJc w:val="right"/>
      <w:pPr>
        <w:ind w:left="3986" w:hanging="180"/>
      </w:pPr>
    </w:lvl>
    <w:lvl w:ilvl="6" w:tplc="1409000F" w:tentative="1">
      <w:start w:val="1"/>
      <w:numFmt w:val="decimal"/>
      <w:lvlText w:val="%7."/>
      <w:lvlJc w:val="left"/>
      <w:pPr>
        <w:ind w:left="4706" w:hanging="360"/>
      </w:pPr>
    </w:lvl>
    <w:lvl w:ilvl="7" w:tplc="14090019" w:tentative="1">
      <w:start w:val="1"/>
      <w:numFmt w:val="lowerLetter"/>
      <w:lvlText w:val="%8."/>
      <w:lvlJc w:val="left"/>
      <w:pPr>
        <w:ind w:left="5426" w:hanging="360"/>
      </w:pPr>
    </w:lvl>
    <w:lvl w:ilvl="8" w:tplc="1409001B" w:tentative="1">
      <w:start w:val="1"/>
      <w:numFmt w:val="lowerRoman"/>
      <w:lvlText w:val="%9."/>
      <w:lvlJc w:val="right"/>
      <w:pPr>
        <w:ind w:left="6146" w:hanging="180"/>
      </w:pPr>
    </w:lvl>
  </w:abstractNum>
  <w:abstractNum w:abstractNumId="2" w15:restartNumberingAfterBreak="0">
    <w:nsid w:val="1DF163AD"/>
    <w:multiLevelType w:val="hybridMultilevel"/>
    <w:tmpl w:val="6DB06B92"/>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9D31139"/>
    <w:multiLevelType w:val="hybridMultilevel"/>
    <w:tmpl w:val="65CCA764"/>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838338D"/>
    <w:multiLevelType w:val="hybridMultilevel"/>
    <w:tmpl w:val="6CF2136A"/>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B8E0ECB"/>
    <w:multiLevelType w:val="hybridMultilevel"/>
    <w:tmpl w:val="F578B9D2"/>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61275E49"/>
    <w:multiLevelType w:val="hybridMultilevel"/>
    <w:tmpl w:val="0A3CF5D2"/>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785A6DF0"/>
    <w:multiLevelType w:val="hybridMultilevel"/>
    <w:tmpl w:val="DDC45856"/>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6"/>
  </w:num>
  <w:num w:numId="5">
    <w:abstractNumId w:val="7"/>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8D8"/>
    <w:rsid w:val="00523EDF"/>
    <w:rsid w:val="005D06C8"/>
    <w:rsid w:val="00791039"/>
    <w:rsid w:val="0093587D"/>
    <w:rsid w:val="00F718D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C6677"/>
  <w15:chartTrackingRefBased/>
  <w15:docId w15:val="{068A8F65-7C9D-4387-A91E-559807AF3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5D06C8"/>
    <w:pPr>
      <w:keepNext/>
      <w:spacing w:before="240" w:after="60" w:line="240" w:lineRule="auto"/>
      <w:ind w:left="720"/>
      <w:outlineLvl w:val="1"/>
    </w:pPr>
    <w:rPr>
      <w:rFonts w:ascii="Calibri Light" w:eastAsia="Times New Roman" w:hAnsi="Calibri Light"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6C8"/>
    <w:pPr>
      <w:ind w:left="720"/>
      <w:contextualSpacing/>
    </w:pPr>
  </w:style>
  <w:style w:type="character" w:customStyle="1" w:styleId="Heading2Char">
    <w:name w:val="Heading 2 Char"/>
    <w:basedOn w:val="DefaultParagraphFont"/>
    <w:link w:val="Heading2"/>
    <w:rsid w:val="005D06C8"/>
    <w:rPr>
      <w:rFonts w:ascii="Calibri Light" w:eastAsia="Times New Roman" w:hAnsi="Calibri Light" w:cs="Times New Roman"/>
      <w:b/>
      <w:bCs/>
      <w:i/>
      <w:iCs/>
      <w:sz w:val="28"/>
      <w:szCs w:val="28"/>
    </w:rPr>
  </w:style>
  <w:style w:type="paragraph" w:styleId="NoSpacing">
    <w:name w:val="No Spacing"/>
    <w:uiPriority w:val="1"/>
    <w:qFormat/>
    <w:rsid w:val="005D06C8"/>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dc:creator>
  <cp:keywords/>
  <dc:description/>
  <cp:lastModifiedBy>Jackie</cp:lastModifiedBy>
  <cp:revision>1</cp:revision>
  <dcterms:created xsi:type="dcterms:W3CDTF">2018-01-14T04:34:00Z</dcterms:created>
  <dcterms:modified xsi:type="dcterms:W3CDTF">2018-01-14T05:57:00Z</dcterms:modified>
</cp:coreProperties>
</file>