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lang w:val="en-NZ"/>
        </w:rPr>
      </w:pPr>
      <w:r>
        <w:rPr>
          <w:b/>
          <w:bCs/>
          <w:sz w:val="24"/>
          <w:lang w:val="en-NZ"/>
        </w:rPr>
        <w:t>VERIFIABLE TRAINING TOPIC 3 FOR JARED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Topic 3 – Disclosure (2 hours)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3A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Licensed salesperson: Breach of Rule 5.1 (skill, care, competence and diligence)</w:t>
      </w:r>
    </w:p>
    <w:p>
      <w:pPr>
        <w:pStyle w:val="Normal"/>
        <w:rPr/>
      </w:pPr>
      <w:r>
        <w:rPr/>
        <w:t>Breach of Rule 6.4 (not mislead a customer or client)</w:t>
      </w:r>
    </w:p>
    <w:p>
      <w:pPr>
        <w:pStyle w:val="Normal"/>
        <w:rPr/>
      </w:pPr>
      <w:r>
        <w:rPr/>
        <w:t xml:space="preserve">Breach of Rule 9.2 (not engage in conduct that puts a prospective client, client or customer under undue or unfair pressure </w:t>
      </w:r>
    </w:p>
    <w:p>
      <w:pPr>
        <w:pStyle w:val="Normal"/>
        <w:rPr/>
      </w:pPr>
      <w:r>
        <w:rPr/>
        <w:t>Agency: Breach of 8.3 (agent operating a business must ensure all salespersons engaged …are properly supervised)</w:t>
      </w:r>
    </w:p>
    <w:p>
      <w:pPr>
        <w:pStyle w:val="Normal"/>
        <w:rPr/>
      </w:pPr>
      <w:r>
        <w:rPr/>
        <w:t>Breach of Rule 9.1 (licensee must act in the best interests of a client)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3B</w:t>
      </w:r>
    </w:p>
    <w:p>
      <w:pPr>
        <w:pStyle w:val="Normal"/>
        <w:rPr>
          <w:i/>
          <w:i/>
        </w:rPr>
      </w:pPr>
      <w:r>
        <w:rPr>
          <w:i/>
        </w:rPr>
        <w:t xml:space="preserve">Table question – </w:t>
      </w:r>
      <w:r>
        <w:rPr>
          <w:i/>
          <w:highlight w:val="yellow"/>
        </w:rPr>
        <w:t>course book only</w:t>
      </w:r>
    </w:p>
    <w:p>
      <w:pPr>
        <w:pStyle w:val="Normal"/>
        <w:rPr/>
      </w:pPr>
      <w:r>
        <w:rPr/>
        <w:t>Please answer in your downloaded booklet: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Read the rules in the table below. Do the obligations they describe relate to client, customer or both?</w:t>
      </w:r>
    </w:p>
    <w:tbl>
      <w:tblPr>
        <w:tblStyle w:val="TableGrid"/>
        <w:tblW w:w="8502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0"/>
        <w:gridCol w:w="762"/>
        <w:gridCol w:w="1260"/>
      </w:tblGrid>
      <w:tr>
        <w:trPr/>
        <w:tc>
          <w:tcPr>
            <w:tcW w:w="6480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Rule</w:t>
            </w:r>
          </w:p>
        </w:tc>
        <w:tc>
          <w:tcPr>
            <w:tcW w:w="762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Client</w:t>
            </w:r>
          </w:p>
        </w:tc>
        <w:tc>
          <w:tcPr>
            <w:tcW w:w="1260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Customer</w:t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5.1 A licensee must exercise skill, care, competence, and diligence at all times when carrying out real estate agency work.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6.1 A licensee must comply with fiduciary obligations to the licensee’s client.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6.2 A licensee must act in good faith and deal fairly with all parties engaged in a transaction.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6.3 A licensee must not engage in any conduct likely to bring the industry into disrepute.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6.4 A licensee must not mislead a customer or client, nor provide false information, nor withhold information that should by law or in fairness be provided to a customer or client.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 A licensee must act in the best interests of a client and act in accordance with the client’s instructions unless to do so would be contrary to law.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9.16 A licensee must not use information that is confidential to a client for the benefit of any other person or of the licensee.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8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Arial"/>
                <w:bCs/>
                <w:lang w:eastAsia="en-NZ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9.18 Where a licensee discloses information under rule 9.17(b), (c) or (d), it may be only to the appropriate person or entity and only to the extent necessary for the permitted purpose.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tbl>
      <w:tblPr>
        <w:tblStyle w:val="TableGrid"/>
        <w:tblW w:w="8753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9"/>
        <w:gridCol w:w="1013"/>
        <w:gridCol w:w="1261"/>
      </w:tblGrid>
      <w:tr>
        <w:trPr/>
        <w:tc>
          <w:tcPr>
            <w:tcW w:w="6479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Rule</w:t>
            </w:r>
          </w:p>
        </w:tc>
        <w:tc>
          <w:tcPr>
            <w:tcW w:w="1013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Client</w:t>
            </w:r>
          </w:p>
        </w:tc>
        <w:tc>
          <w:tcPr>
            <w:tcW w:w="1261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Customer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5.1 A licensee must exercise skill, care, competence, and diligence at all times when carrying out real estate agency work.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6.1 A licensee must comply with fiduciary obligations to the licensee’s client.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6.2 A licensee must act in good faith and deal fairly with all parties engaged in a transaction.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6.3 A licensee must not engage in any conduct likely to bring the industry into disrepute.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6.4 A licensee must not mislead a customer or client, nor provide false information, nor withhold information that should by law or in fairness be provided to a customer or client.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 A licensee must act in the best interests of a client and act in accordance with the client’s instructions unless to do so would be contrary to law.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9.16 A licensee must not use information that is confidential to a client for the benefit of any other person or of the licensee.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Arial"/>
                <w:bCs/>
                <w:lang w:eastAsia="en-NZ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9.18 Where a licensee discloses information under rule 9.17(b), (c) or (d), it may be only to the appropriate person or entity and only to the extent necessary for the permitted purpose.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12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answer in your downloaded booklet:</w:t>
      </w:r>
    </w:p>
    <w:p>
      <w:pPr>
        <w:pStyle w:val="Normal"/>
        <w:rPr>
          <w:bCs/>
          <w:lang w:val="en-NZ"/>
        </w:rPr>
      </w:pPr>
      <w:r>
        <w:rPr>
          <w:bCs/>
          <w:lang w:val="en-NZ"/>
        </w:rPr>
        <w:t xml:space="preserve">Question: </w:t>
      </w:r>
    </w:p>
    <w:p>
      <w:pPr>
        <w:pStyle w:val="ListParagraph"/>
        <w:numPr>
          <w:ilvl w:val="0"/>
          <w:numId w:val="1"/>
        </w:numPr>
        <w:rPr>
          <w:bCs/>
          <w:lang w:val="en-NZ"/>
        </w:rPr>
      </w:pPr>
      <w:r>
        <w:rPr>
          <w:bCs/>
          <w:lang w:val="en-NZ"/>
        </w:rPr>
        <w:t>The following pieces of legislation also relate to disclosure obligations of licensees to clients and customers, as included in the chart on page 13.</w:t>
        <w:br/>
        <w:t xml:space="preserve">In cases where the client is a vendor or lessor and the customer is a purchaser or lessee, do the obligations they describe relate to client, customer or both? </w:t>
      </w:r>
    </w:p>
    <w:p>
      <w:pPr>
        <w:pStyle w:val="Normal"/>
        <w:ind w:firstLine="720"/>
        <w:rPr>
          <w:bCs/>
          <w:lang w:val="en-NZ"/>
        </w:rPr>
      </w:pPr>
      <w:r>
        <w:rPr>
          <w:bCs/>
          <w:lang w:val="en-NZ"/>
        </w:rPr>
        <w:t>Refer to Appendices 2 - 4 to help you answer the questions, as necessary.</w:t>
      </w:r>
    </w:p>
    <w:tbl>
      <w:tblPr>
        <w:tblStyle w:val="TableGrid1"/>
        <w:tblW w:w="8412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9"/>
        <w:gridCol w:w="762"/>
        <w:gridCol w:w="1171"/>
      </w:tblGrid>
      <w:tr>
        <w:trPr/>
        <w:tc>
          <w:tcPr>
            <w:tcW w:w="6479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Section</w:t>
            </w:r>
          </w:p>
        </w:tc>
        <w:tc>
          <w:tcPr>
            <w:tcW w:w="762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Client</w:t>
            </w:r>
          </w:p>
        </w:tc>
        <w:tc>
          <w:tcPr>
            <w:tcW w:w="1171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Customer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134 of the Real Estate Agents Act 2008 which deals with situations in which contracts for acquisition by licensee or related person may be cancelled.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135 of the Real Estate Agents Act 2008 which deals with situations in which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clients must be provided with a valuation.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136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of the Real Estate Agents Act 2008 which deals with situations in which disclosure of other benefits that licensee stands to gain from transaction must be made.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137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of the Real Estate Agents Act 2008 which defines the meaning of licensee and person related to licensee in sections 134 to 136.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9 of the Fair Trading Act which prohibits misleading and deceptive conduct.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12A of the Fair Trading Act which prohibits the use of unsubstantiated representations.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14 of the Fair Trading Act which prohibits false representations and other misleading conduct in relation to land.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cs="Arial"/>
                <w:lang w:val="en-AU"/>
              </w:rPr>
            </w:pPr>
            <w:r>
              <w:rPr>
                <w:rFonts w:eastAsia="MS Mincho" w:cs="Arial" w:ascii="Verdana" w:hAnsi="Verdana"/>
                <w:sz w:val="19"/>
                <w:szCs w:val="19"/>
              </w:rPr>
              <w:t xml:space="preserve">Section 36L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eastAsia="en-NZ"/>
              </w:rPr>
              <w:t xml:space="preserve">of the Fair Trading Act </w:t>
            </w:r>
            <w:r>
              <w:rPr>
                <w:rFonts w:eastAsia="MS Mincho" w:cs="Arial" w:ascii="Verdana" w:hAnsi="Verdana"/>
                <w:sz w:val="19"/>
                <w:szCs w:val="19"/>
              </w:rPr>
              <w:t>refers to uninvited direct sales. The licensee is required to</w:t>
            </w:r>
            <w:r>
              <w:rPr>
                <w:rFonts w:eastAsia="MS Mincho" w:cs="Arial" w:ascii="Verdana" w:hAnsi="Verdana"/>
                <w:sz w:val="19"/>
                <w:szCs w:val="19"/>
                <w:lang w:val="en-AU"/>
              </w:rPr>
              <w:t xml:space="preserve"> give the client </w:t>
            </w:r>
            <w:r>
              <w:rPr>
                <w:rFonts w:eastAsia="MS Mincho" w:cs="Arial" w:ascii="Verdana" w:hAnsi="Verdana"/>
                <w:sz w:val="19"/>
                <w:szCs w:val="19"/>
                <w:u w:val="single"/>
                <w:lang w:val="en-AU"/>
              </w:rPr>
              <w:t>oral notice</w:t>
            </w:r>
            <w:r>
              <w:rPr>
                <w:rFonts w:eastAsia="MS Mincho" w:cs="Arial" w:ascii="Verdana" w:hAnsi="Verdana"/>
                <w:sz w:val="19"/>
                <w:szCs w:val="19"/>
                <w:lang w:val="en-AU"/>
              </w:rPr>
              <w:t xml:space="preserve"> before the agency agreement is entered into of the client’s right to cancel the agreement within 5 working days after the date on which the consumer receives a signed copy of the agreement; and how the consumer may cancel the agency agreement. The licensee must include specific information on the front page of the written agency agreement, including a summary of the client’s right to cancel the agency agreement within 5 working days.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tbl>
      <w:tblPr>
        <w:tblStyle w:val="TableGrid1"/>
        <w:tblW w:w="8412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79"/>
        <w:gridCol w:w="762"/>
        <w:gridCol w:w="1171"/>
      </w:tblGrid>
      <w:tr>
        <w:trPr/>
        <w:tc>
          <w:tcPr>
            <w:tcW w:w="6479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Section</w:t>
            </w:r>
          </w:p>
        </w:tc>
        <w:tc>
          <w:tcPr>
            <w:tcW w:w="762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Client</w:t>
            </w:r>
          </w:p>
        </w:tc>
        <w:tc>
          <w:tcPr>
            <w:tcW w:w="1171" w:type="dxa"/>
            <w:tcBorders/>
            <w:shd w:color="auto" w:fill="005776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  <w:color w:val="FEFFFF"/>
              </w:rPr>
            </w:pPr>
            <w:r>
              <w:rPr>
                <w:rFonts w:eastAsia="MS Mincho" w:cs="Times New Roman" w:ascii="Verdana" w:hAnsi="Verdana"/>
                <w:color w:val="FEFFFF"/>
                <w:sz w:val="19"/>
                <w:szCs w:val="19"/>
                <w:lang w:val="en-NZ"/>
              </w:rPr>
              <w:t>Customer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134 of the Real Estate Agents Act 2008 which deals with situations in which contracts for acquisition by licensee or related person may be cancelled.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135 of the Real Estate Agents Act 2008 which deals with situations in which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clients must be provided with a valuation.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136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of the Real Estate Agents Act 2008 which deals with situations in which disclosure of other benefits that licensee stands to gain from transaction must be made.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137</w:t>
            </w: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  <w:t xml:space="preserve">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of the Real Estate Agents Act 2008 which defines the meaning of licensee and person related to licensee in sections 134 to 136.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9 of the Fair Trading Act which prohibits misleading and deceptive conduct.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12A of the Fair Trading Act which prohibits the use of unsubstantiated representations.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Arial" w:ascii="Verdana" w:hAnsi="Verdana"/>
                <w:bCs/>
                <w:sz w:val="19"/>
                <w:szCs w:val="19"/>
                <w:lang w:val="en-NZ" w:eastAsia="en-NZ"/>
              </w:rPr>
              <w:t>Section 14 of the Fair Trading Act which prohibits false representations and other misleading conduct in relation to land.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</w:tr>
      <w:tr>
        <w:trPr/>
        <w:tc>
          <w:tcPr>
            <w:tcW w:w="6479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Fonts w:cs="Arial"/>
                <w:lang w:val="en-AU"/>
              </w:rPr>
            </w:pPr>
            <w:r>
              <w:rPr>
                <w:rFonts w:eastAsia="MS Mincho" w:cs="Arial" w:ascii="Verdana" w:hAnsi="Verdana"/>
                <w:sz w:val="19"/>
                <w:szCs w:val="19"/>
              </w:rPr>
              <w:t xml:space="preserve">Section 36L </w:t>
            </w:r>
            <w:r>
              <w:rPr>
                <w:rFonts w:eastAsia="MS Mincho" w:cs="Arial" w:ascii="Verdana" w:hAnsi="Verdana"/>
                <w:bCs/>
                <w:sz w:val="19"/>
                <w:szCs w:val="19"/>
                <w:lang w:eastAsia="en-NZ"/>
              </w:rPr>
              <w:t xml:space="preserve">of the Fair Trading Act </w:t>
            </w:r>
            <w:r>
              <w:rPr>
                <w:rFonts w:eastAsia="MS Mincho" w:cs="Arial" w:ascii="Verdana" w:hAnsi="Verdana"/>
                <w:sz w:val="19"/>
                <w:szCs w:val="19"/>
              </w:rPr>
              <w:t>refers to uninvited direct sales. The licensee is required to</w:t>
            </w:r>
            <w:r>
              <w:rPr>
                <w:rFonts w:eastAsia="MS Mincho" w:cs="Arial" w:ascii="Verdana" w:hAnsi="Verdana"/>
                <w:sz w:val="19"/>
                <w:szCs w:val="19"/>
                <w:lang w:val="en-AU"/>
              </w:rPr>
              <w:t xml:space="preserve"> give the client </w:t>
            </w:r>
            <w:r>
              <w:rPr>
                <w:rFonts w:eastAsia="MS Mincho" w:cs="Arial" w:ascii="Verdana" w:hAnsi="Verdana"/>
                <w:sz w:val="19"/>
                <w:szCs w:val="19"/>
                <w:u w:val="single"/>
                <w:lang w:val="en-AU"/>
              </w:rPr>
              <w:t>oral notice</w:t>
            </w:r>
            <w:r>
              <w:rPr>
                <w:rFonts w:eastAsia="MS Mincho" w:cs="Arial" w:ascii="Verdana" w:hAnsi="Verdana"/>
                <w:sz w:val="19"/>
                <w:szCs w:val="19"/>
                <w:lang w:val="en-AU"/>
              </w:rPr>
              <w:t xml:space="preserve"> before the agency agreement is entered into of the client’s right to cancel the agreement within 5 working days after the date on which the consumer receives a signed copy of the agreement; and how the consumer may cancel the agency agreement. The licensee must include specific information on the front page of the written agency agreement, including a summary of the client’s right to cancel the agency agreement within 5 working days.</w:t>
            </w:r>
          </w:p>
        </w:tc>
        <w:tc>
          <w:tcPr>
            <w:tcW w:w="76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cs="Times New Roman"/>
              </w:rPr>
            </w:pPr>
            <w:r>
              <w:rPr>
                <w:rFonts w:eastAsia="MS Mincho" w:cs="Times New Roman" w:ascii="Verdana" w:hAnsi="Verdana"/>
                <w:color w:val="00A6D1"/>
                <w:sz w:val="32"/>
                <w:szCs w:val="32"/>
                <w:lang w:val="en-NZ"/>
              </w:rPr>
              <w:t>X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60" w:after="0"/>
              <w:outlineLvl w:val="4"/>
              <w:rPr>
                <w:rFonts w:ascii="Verdana" w:hAnsi="Verdana" w:eastAsia="MS Mincho" w:cs="Times New Roman"/>
                <w:sz w:val="19"/>
                <w:szCs w:val="19"/>
                <w:lang w:val="en-NZ"/>
              </w:rPr>
            </w:pPr>
            <w:r>
              <w:rPr>
                <w:rFonts w:eastAsia="MS Mincho" w:cs="Times New Roman" w:ascii="Verdana" w:hAnsi="Verdana"/>
                <w:sz w:val="19"/>
                <w:szCs w:val="19"/>
                <w:lang w:val="en-NZ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3C</w:t>
      </w:r>
      <w:bookmarkStart w:id="0" w:name="_GoBack"/>
      <w:bookmarkEnd w:id="0"/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>
          <w:bCs/>
          <w:lang w:val="en-NZ"/>
        </w:rPr>
      </w:pPr>
      <w:r>
        <w:rPr>
          <w:bCs/>
          <w:lang w:val="en-NZ"/>
        </w:rPr>
        <w:t xml:space="preserve">Question: </w:t>
      </w:r>
    </w:p>
    <w:p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What sections of the Rules, if any, did the licensee breach?</w:t>
      </w:r>
    </w:p>
    <w:p>
      <w:pPr>
        <w:pStyle w:val="Normal"/>
        <w:rPr>
          <w:lang w:val="en-NZ"/>
        </w:rPr>
      </w:pPr>
      <w:r>
        <w:rPr>
          <w:lang w:val="en-NZ"/>
        </w:rPr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widowControl w:val="false"/>
        <w:suppressAutoHyphens w:val="true"/>
        <w:spacing w:lineRule="atLeast" w:line="270" w:before="0" w:after="85"/>
        <w:textAlignment w:val="center"/>
        <w:rPr>
          <w:rFonts w:ascii="Verdana" w:hAnsi="Verdana" w:eastAsia="MS Mincho" w:cs="Verdana"/>
          <w:bCs/>
          <w:sz w:val="19"/>
          <w:szCs w:val="19"/>
          <w:lang w:val="en-NZ"/>
        </w:rPr>
      </w:pPr>
      <w:r>
        <w:rPr>
          <w:rFonts w:eastAsia="MS Mincho" w:cs="Verdana" w:ascii="Verdana" w:hAnsi="Verdana"/>
          <w:bCs/>
          <w:sz w:val="19"/>
          <w:szCs w:val="19"/>
          <w:lang w:val="en-NZ"/>
        </w:rPr>
        <w:t>Breach Rule 9.16 (not use information that is confidential to a client for benefit of other…)</w:t>
      </w:r>
    </w:p>
    <w:p>
      <w:pPr>
        <w:pStyle w:val="Normal"/>
        <w:widowControl w:val="false"/>
        <w:suppressAutoHyphens w:val="true"/>
        <w:spacing w:lineRule="atLeast" w:line="270" w:before="0" w:after="85"/>
        <w:textAlignment w:val="center"/>
        <w:rPr>
          <w:rFonts w:ascii="Verdana" w:hAnsi="Verdana" w:eastAsia="MS Mincho" w:cs="Verdana"/>
          <w:bCs/>
          <w:sz w:val="19"/>
          <w:szCs w:val="19"/>
          <w:lang w:val="en-NZ"/>
        </w:rPr>
      </w:pPr>
      <w:r>
        <w:rPr>
          <w:rFonts w:eastAsia="MS Mincho" w:cs="Verdana" w:ascii="Verdana" w:hAnsi="Verdana"/>
          <w:bCs/>
          <w:sz w:val="19"/>
          <w:szCs w:val="19"/>
          <w:lang w:val="en-NZ"/>
        </w:rPr>
        <w:t>Breach Rule 9.17 (not disclose confidential personal information relating to a client)</w:t>
      </w:r>
    </w:p>
    <w:p>
      <w:pPr>
        <w:pStyle w:val="Normal"/>
        <w:rPr>
          <w:lang w:val="en-NZ"/>
        </w:rPr>
      </w:pPr>
      <w:r>
        <w:rPr>
          <w:lang w:val="en-NZ"/>
        </w:rPr>
      </w:r>
    </w:p>
    <w:p>
      <w:pPr>
        <w:pStyle w:val="Normal"/>
        <w:rPr>
          <w:b/>
          <w:b/>
          <w:i/>
          <w:i/>
          <w:lang w:val="en-NZ"/>
        </w:rPr>
      </w:pPr>
      <w:r>
        <w:rPr>
          <w:b/>
          <w:i/>
          <w:lang w:val="en-NZ"/>
        </w:rPr>
        <w:t>VIDEO 3C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>
          <w:bCs/>
          <w:lang w:val="en-NZ"/>
        </w:rPr>
      </w:pPr>
      <w:r>
        <w:rPr>
          <w:bCs/>
          <w:lang w:val="en-NZ"/>
        </w:rPr>
        <w:t xml:space="preserve">Question: </w:t>
      </w:r>
    </w:p>
    <w:p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What sections of the Rules, if any, did the licensee breach?</w:t>
      </w:r>
    </w:p>
    <w:p>
      <w:pPr>
        <w:pStyle w:val="Normal"/>
        <w:rPr>
          <w:lang w:val="en-NZ"/>
        </w:rPr>
      </w:pPr>
      <w:r>
        <w:rPr>
          <w:lang w:val="en-NZ"/>
        </w:rPr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widowControl w:val="false"/>
        <w:suppressAutoHyphens w:val="true"/>
        <w:spacing w:lineRule="atLeast" w:line="270" w:before="0" w:after="85"/>
        <w:textAlignment w:val="center"/>
        <w:rPr>
          <w:rFonts w:ascii="Verdana" w:hAnsi="Verdana" w:eastAsia="MS Mincho" w:cs="Verdana"/>
          <w:bCs/>
          <w:sz w:val="19"/>
          <w:szCs w:val="19"/>
          <w:lang w:val="en-NZ"/>
        </w:rPr>
      </w:pPr>
      <w:r>
        <w:rPr>
          <w:rFonts w:eastAsia="MS Mincho" w:cs="Verdana" w:ascii="Verdana" w:hAnsi="Verdana"/>
          <w:bCs/>
          <w:sz w:val="19"/>
          <w:szCs w:val="19"/>
          <w:lang w:val="en-NZ"/>
        </w:rPr>
        <w:t>Breach Rule 6.2 (licensee must act in good faith and deal fairly)</w:t>
      </w:r>
    </w:p>
    <w:p>
      <w:pPr>
        <w:pStyle w:val="Normal"/>
        <w:widowControl w:val="false"/>
        <w:suppressAutoHyphens w:val="true"/>
        <w:spacing w:lineRule="atLeast" w:line="270" w:before="0" w:after="85"/>
        <w:textAlignment w:val="center"/>
        <w:rPr>
          <w:rFonts w:ascii="Verdana" w:hAnsi="Verdana" w:eastAsia="MS Mincho" w:cs="Verdana"/>
          <w:bCs/>
          <w:sz w:val="19"/>
          <w:szCs w:val="19"/>
          <w:lang w:val="en-NZ"/>
        </w:rPr>
      </w:pPr>
      <w:r>
        <w:rPr>
          <w:rFonts w:eastAsia="MS Mincho" w:cs="Verdana" w:ascii="Verdana" w:hAnsi="Verdana"/>
          <w:bCs/>
          <w:sz w:val="19"/>
          <w:szCs w:val="19"/>
          <w:lang w:val="en-NZ"/>
        </w:rPr>
        <w:t>Breach Rule 6.4 (licensee must not mislead a customer or client, nor provide false information)</w:t>
      </w:r>
    </w:p>
    <w:p>
      <w:pPr>
        <w:pStyle w:val="Normal"/>
        <w:widowControl w:val="false"/>
        <w:suppressAutoHyphens w:val="true"/>
        <w:spacing w:lineRule="atLeast" w:line="270" w:before="0" w:after="85"/>
        <w:textAlignment w:val="center"/>
        <w:rPr>
          <w:rFonts w:ascii="Verdana" w:hAnsi="Verdana" w:eastAsia="MS Mincho" w:cs="Verdana"/>
          <w:bCs/>
          <w:sz w:val="19"/>
          <w:szCs w:val="19"/>
          <w:lang w:val="en-NZ"/>
        </w:rPr>
      </w:pPr>
      <w:r>
        <w:rPr>
          <w:rFonts w:eastAsia="MS Mincho" w:cs="Verdana" w:ascii="Verdana" w:hAnsi="Verdana"/>
          <w:bCs/>
          <w:sz w:val="19"/>
          <w:szCs w:val="19"/>
          <w:lang w:val="en-NZ"/>
        </w:rPr>
        <w:t>Breach Rule 10.7 (a licensee is not required to discover hidden or underlying defects in and but must…</w:t>
      </w:r>
    </w:p>
    <w:p>
      <w:pPr>
        <w:pStyle w:val="Normal"/>
        <w:rPr>
          <w:lang w:val="en-NZ"/>
        </w:rPr>
      </w:pPr>
      <w:r>
        <w:rPr>
          <w:lang w:val="en-NZ"/>
        </w:rPr>
      </w:r>
    </w:p>
    <w:p>
      <w:pPr>
        <w:pStyle w:val="Normal"/>
        <w:rPr>
          <w:b/>
          <w:b/>
          <w:i/>
          <w:i/>
          <w:lang w:val="en-NZ"/>
        </w:rPr>
      </w:pPr>
      <w:r>
        <w:rPr>
          <w:b/>
          <w:i/>
          <w:lang w:val="en-NZ"/>
        </w:rPr>
        <w:t>VIDEO 3D</w:t>
      </w:r>
    </w:p>
    <w:p>
      <w:pPr>
        <w:pStyle w:val="Normal"/>
        <w:rPr>
          <w:i/>
          <w:i/>
        </w:rPr>
      </w:pPr>
      <w:r>
        <w:rPr>
          <w:i/>
        </w:rPr>
        <w:t>True or false question</w:t>
      </w:r>
    </w:p>
    <w:p>
      <w:pPr>
        <w:pStyle w:val="Normal"/>
        <w:rPr/>
      </w:pPr>
      <w:r>
        <w:rPr/>
        <w:t xml:space="preserve">Questions: </w:t>
      </w:r>
    </w:p>
    <w:p>
      <w:pPr>
        <w:pStyle w:val="Normal"/>
        <w:rPr/>
      </w:pPr>
      <w:r>
        <w:rPr/>
        <w:t>Read the following statements and decide whether they are ‘True’ or ‘False’.</w:t>
      </w:r>
    </w:p>
    <w:p>
      <w:pPr>
        <w:pStyle w:val="ListParagraph"/>
        <w:numPr>
          <w:ilvl w:val="0"/>
          <w:numId w:val="1"/>
        </w:numPr>
        <w:rPr/>
      </w:pPr>
      <w:r>
        <w:rPr/>
        <w:t>Under section 134 of the Real Estate Agents Act, written consent is required from the client if the licensee or a related person wishes to acquire the land or business to which the transaction relates. However, the format is not prescribed.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ListParagraph"/>
        <w:numPr>
          <w:ilvl w:val="0"/>
          <w:numId w:val="1"/>
        </w:numPr>
        <w:rPr/>
      </w:pPr>
      <w:r>
        <w:rPr/>
        <w:t>Unless the client has given authorisation in Form 2, a licensee must not complete the transaction if a related person is likely to acquire the land or business.</w:t>
      </w:r>
    </w:p>
    <w:p>
      <w:pPr>
        <w:pStyle w:val="Normal"/>
        <w:ind w:firstLine="360"/>
        <w:rPr/>
      </w:pPr>
      <w:r>
        <w:rPr>
          <w:color w:val="70AD47" w:themeColor="accent6"/>
        </w:rPr>
        <w:t>True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If a transaction progresses under the terms of section 134 the licensee must provide the client with an independent valuation paid for by the licensee.</w:t>
      </w:r>
    </w:p>
    <w:p>
      <w:pPr>
        <w:pStyle w:val="Normal"/>
        <w:ind w:firstLine="360"/>
        <w:rPr>
          <w:color w:val="70AD47" w:themeColor="accent6"/>
        </w:rPr>
      </w:pPr>
      <w:r>
        <w:rPr>
          <w:color w:val="70AD47" w:themeColor="accent6"/>
        </w:rPr>
        <w:t>True</w:t>
      </w:r>
    </w:p>
    <w:p>
      <w:pPr>
        <w:pStyle w:val="ListParagraph"/>
        <w:numPr>
          <w:ilvl w:val="0"/>
          <w:numId w:val="1"/>
        </w:numPr>
        <w:rPr/>
      </w:pPr>
      <w:r>
        <w:rPr/>
        <w:t>Under section 135, the client can cancel any contract relating to the property and does not have to pay commission if requirements are not complied with.</w:t>
      </w:r>
    </w:p>
    <w:p>
      <w:pPr>
        <w:pStyle w:val="Normal"/>
        <w:ind w:firstLine="360"/>
        <w:rPr>
          <w:color w:val="FF0000"/>
        </w:rPr>
      </w:pPr>
      <w:r>
        <w:rPr>
          <w:color w:val="FF0000"/>
        </w:rPr>
        <w:t>False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3E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Act or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Breach section 134(3)(b) (consent only effective on if in the prescribed form…and accompanied with independent registered valuation)</w:t>
      </w:r>
    </w:p>
    <w:p>
      <w:pPr>
        <w:pStyle w:val="Normal"/>
        <w:rPr/>
      </w:pPr>
      <w:r>
        <w:rPr/>
        <w:t xml:space="preserve">Breach section 135 (not providing vendor with a valuation) </w:t>
      </w:r>
    </w:p>
    <w:p>
      <w:pPr>
        <w:pStyle w:val="Normal"/>
        <w:rPr/>
      </w:pPr>
      <w:r>
        <w:rPr/>
        <w:t>Breach Rule 5.1 (licensee must exercise skill, care, competence and diligence)</w:t>
      </w:r>
    </w:p>
    <w:p>
      <w:pPr>
        <w:pStyle w:val="Normal"/>
        <w:rPr/>
      </w:pPr>
      <w:r>
        <w:rPr/>
        <w:t>Breach Rule 5.2 (licensee must have sound knowledge of the Act, regulations and rules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3F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The Agency was found guilty of unsatisfactory conduct and the following:</w:t>
      </w:r>
    </w:p>
    <w:p>
      <w:pPr>
        <w:pStyle w:val="Normal"/>
        <w:rPr/>
      </w:pPr>
      <w:r>
        <w:rPr/>
        <w:t>Breach Rule 6.1 (licensee must comply with fiduciary obligations)</w:t>
      </w:r>
    </w:p>
    <w:p>
      <w:pPr>
        <w:pStyle w:val="Normal"/>
        <w:rPr/>
      </w:pPr>
      <w:r>
        <w:rPr/>
        <w:t>Breach Rule 6.2 (licensee must act in good faith and deal fairly…)</w:t>
      </w:r>
    </w:p>
    <w:p>
      <w:pPr>
        <w:pStyle w:val="Normal"/>
        <w:rPr/>
      </w:pPr>
      <w:r>
        <w:rPr/>
        <w:t>Breach Rule 9.1 (licensee must act best interests of client)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3G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Breach Rule 5.1 (skill, care and competence)</w:t>
      </w:r>
    </w:p>
    <w:p>
      <w:pPr>
        <w:pStyle w:val="Normal"/>
        <w:rPr/>
      </w:pPr>
      <w:r>
        <w:rPr/>
        <w:t>Breach Rule 6.4 (must not mislead a customer or client)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3H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Breach rule 5.1 (skill, care, competence)</w:t>
      </w:r>
    </w:p>
    <w:p>
      <w:pPr>
        <w:pStyle w:val="Normal"/>
        <w:rPr/>
      </w:pPr>
      <w:r>
        <w:rPr/>
        <w:t>Breach rule 6.2 (good faith)</w:t>
      </w:r>
    </w:p>
    <w:p>
      <w:pPr>
        <w:pStyle w:val="Normal"/>
        <w:rPr/>
      </w:pPr>
      <w:r>
        <w:rPr/>
        <w:t>Breach rule 6.4 (not mislead or withhold information)</w:t>
      </w:r>
    </w:p>
    <w:p>
      <w:pPr>
        <w:pStyle w:val="Normal"/>
        <w:rPr/>
      </w:pPr>
      <w:r>
        <w:rPr/>
        <w:t>Breach 10.7 (disclosure – defects)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3I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Breach Rule 5.1 (skill, care and competence)</w:t>
      </w:r>
    </w:p>
    <w:p>
      <w:pPr>
        <w:pStyle w:val="Normal"/>
        <w:rPr/>
      </w:pPr>
      <w:r>
        <w:rPr/>
        <w:t>Rule 6.2 (licensee must act in good faith and deal fairly)</w:t>
      </w:r>
    </w:p>
    <w:p>
      <w:pPr>
        <w:pStyle w:val="Normal"/>
        <w:rPr/>
      </w:pPr>
      <w:r>
        <w:rPr/>
        <w:t>Rule 6.4 (must not mislead a customer or client)</w:t>
      </w:r>
    </w:p>
    <w:p>
      <w:pPr>
        <w:pStyle w:val="Normal"/>
        <w:rPr/>
      </w:pPr>
      <w:r>
        <w:rPr/>
        <w:t>Rule 10.7 (not required to discover hidden or underlying defects in land)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3J</w:t>
      </w:r>
    </w:p>
    <w:p>
      <w:pPr>
        <w:pStyle w:val="Normal"/>
        <w:rPr>
          <w:i/>
          <w:i/>
        </w:rPr>
      </w:pPr>
      <w:r>
        <w:rPr>
          <w:i/>
        </w:rPr>
        <w:t>Text box question</w:t>
      </w:r>
    </w:p>
    <w:p>
      <w:pPr>
        <w:pStyle w:val="Normal"/>
        <w:rPr/>
      </w:pPr>
      <w:r>
        <w:rPr/>
        <w:t>Please type your answer in the text box below.</w:t>
      </w:r>
    </w:p>
    <w:p>
      <w:pPr>
        <w:pStyle w:val="Normal"/>
        <w:rPr/>
      </w:pPr>
      <w:r>
        <w:rPr/>
        <w:t xml:space="preserve">Question: </w:t>
      </w:r>
    </w:p>
    <w:p>
      <w:pPr>
        <w:pStyle w:val="ListParagraph"/>
        <w:numPr>
          <w:ilvl w:val="0"/>
          <w:numId w:val="1"/>
        </w:numPr>
        <w:rPr/>
      </w:pPr>
      <w:r>
        <w:rPr/>
        <w:t>What sections of the Rules, if any, did the licensee breach?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should relate to the following:</w:t>
      </w:r>
    </w:p>
    <w:p>
      <w:pPr>
        <w:pStyle w:val="Normal"/>
        <w:rPr/>
      </w:pPr>
      <w:r>
        <w:rPr/>
        <w:t>Rule 6.4 (must not mislead a customer or client)</w:t>
      </w:r>
    </w:p>
    <w:p>
      <w:pPr>
        <w:pStyle w:val="Normal"/>
        <w:rPr/>
      </w:pPr>
      <w:r>
        <w:rPr/>
        <w:t>Rule 10.7 (not required to discover hidden or underlying defects in land)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VIDEO 3K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032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7d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7d08"/>
    <w:pPr>
      <w:spacing w:after="0" w:line="240" w:lineRule="auto"/>
    </w:pPr>
    <w:rPr>
      <w:lang w:val="en-NZ"/>
      <w:sz w:val="19"/>
      <w:szCs w:val="1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47d08"/>
    <w:pPr>
      <w:spacing w:after="0" w:line="240" w:lineRule="auto"/>
    </w:pPr>
    <w:rPr>
      <w:lang w:val="en-NZ"/>
      <w:sz w:val="19"/>
      <w:szCs w:val="19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9</Pages>
  <Words>1790</Words>
  <Characters>8774</Characters>
  <CharactersWithSpaces>10392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2018-12-13T00:48:00Z</dcterms:created>
  <dc:creator>Lisa Stern</dc:creator>
  <dc:description/>
  <dc:language>en-NZ</dc:language>
  <cp:lastModifiedBy>Lisa Stern</cp:lastModifiedBy>
  <dcterms:modified xsi:type="dcterms:W3CDTF">2018-12-13T01:21:00Z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