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9A693" w14:textId="77777777" w:rsidR="00BA7107" w:rsidRDefault="00BA7107">
      <w:bookmarkStart w:id="0" w:name="_Hlk494455277"/>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7"/>
        <w:gridCol w:w="7501"/>
      </w:tblGrid>
      <w:tr w:rsidR="00596031" w:rsidRPr="002F6B23" w14:paraId="36973161" w14:textId="77777777" w:rsidTr="002F6B23">
        <w:trPr>
          <w:trHeight w:val="477"/>
        </w:trPr>
        <w:tc>
          <w:tcPr>
            <w:tcW w:w="10188" w:type="dxa"/>
            <w:gridSpan w:val="2"/>
            <w:tcBorders>
              <w:bottom w:val="single" w:sz="12" w:space="0" w:color="33006F"/>
            </w:tcBorders>
          </w:tcPr>
          <w:p w14:paraId="2A7EC9EC" w14:textId="7A610BED" w:rsidR="00651992" w:rsidRDefault="002615A5" w:rsidP="00596031">
            <w:pPr>
              <w:spacing w:line="240" w:lineRule="auto"/>
              <w:jc w:val="center"/>
              <w:rPr>
                <w:rFonts w:ascii="Open Sans" w:hAnsi="Open Sans" w:cs="Open Sans"/>
                <w:b/>
                <w:color w:val="33006F"/>
                <w:sz w:val="40"/>
                <w:szCs w:val="32"/>
              </w:rPr>
            </w:pPr>
            <w:r>
              <w:rPr>
                <w:rFonts w:ascii="Open Sans" w:hAnsi="Open Sans" w:cs="Open Sans"/>
                <w:b/>
                <w:color w:val="33006F"/>
                <w:sz w:val="40"/>
                <w:szCs w:val="32"/>
              </w:rPr>
              <w:t xml:space="preserve">What the </w:t>
            </w:r>
            <w:r w:rsidR="00585026">
              <w:rPr>
                <w:rFonts w:ascii="Open Sans" w:hAnsi="Open Sans" w:cs="Open Sans"/>
                <w:b/>
                <w:color w:val="33006F"/>
                <w:sz w:val="40"/>
                <w:szCs w:val="32"/>
              </w:rPr>
              <w:t>Auditor</w:t>
            </w:r>
            <w:r>
              <w:rPr>
                <w:rFonts w:ascii="Open Sans" w:hAnsi="Open Sans" w:cs="Open Sans"/>
                <w:b/>
                <w:color w:val="33006F"/>
                <w:sz w:val="40"/>
                <w:szCs w:val="32"/>
              </w:rPr>
              <w:t xml:space="preserve"> Should Know When the </w:t>
            </w:r>
          </w:p>
          <w:p w14:paraId="29F8530F" w14:textId="2B5D0468" w:rsidR="00596031" w:rsidRPr="002F6B23" w:rsidRDefault="002615A5" w:rsidP="00596031">
            <w:pPr>
              <w:spacing w:line="240" w:lineRule="auto"/>
              <w:jc w:val="center"/>
              <w:rPr>
                <w:rFonts w:ascii="Open Sans" w:hAnsi="Open Sans" w:cs="Open Sans"/>
                <w:b/>
                <w:color w:val="000000" w:themeColor="text1"/>
                <w:sz w:val="24"/>
                <w:szCs w:val="24"/>
              </w:rPr>
            </w:pPr>
            <w:r>
              <w:rPr>
                <w:rFonts w:ascii="Open Sans" w:hAnsi="Open Sans" w:cs="Open Sans"/>
                <w:b/>
                <w:color w:val="33006F"/>
                <w:sz w:val="40"/>
                <w:szCs w:val="32"/>
              </w:rPr>
              <w:t>Client wants to IPO</w:t>
            </w:r>
            <w:r w:rsidR="007142E2">
              <w:rPr>
                <w:rStyle w:val="EndnoteReference"/>
                <w:rFonts w:ascii="Open Sans" w:hAnsi="Open Sans" w:cs="Open Sans"/>
                <w:b/>
                <w:color w:val="33006F"/>
                <w:sz w:val="40"/>
                <w:szCs w:val="32"/>
              </w:rPr>
              <w:endnoteReference w:id="1"/>
            </w:r>
          </w:p>
        </w:tc>
      </w:tr>
      <w:tr w:rsidR="002F6B23" w:rsidRPr="00176AA8" w14:paraId="7606F4B1" w14:textId="77777777" w:rsidTr="002F6B23">
        <w:trPr>
          <w:trHeight w:val="477"/>
        </w:trPr>
        <w:tc>
          <w:tcPr>
            <w:tcW w:w="2687" w:type="dxa"/>
            <w:tcBorders>
              <w:top w:val="single" w:sz="12" w:space="0" w:color="33006F"/>
            </w:tcBorders>
          </w:tcPr>
          <w:p w14:paraId="614E224A" w14:textId="77777777" w:rsidR="002F6B23" w:rsidRPr="002F6B23" w:rsidRDefault="002F6B23" w:rsidP="00596031">
            <w:pPr>
              <w:spacing w:line="240" w:lineRule="auto"/>
              <w:jc w:val="center"/>
              <w:rPr>
                <w:rFonts w:ascii="Open Sans" w:hAnsi="Open Sans" w:cs="Open Sans"/>
                <w:b/>
              </w:rPr>
            </w:pPr>
          </w:p>
        </w:tc>
        <w:tc>
          <w:tcPr>
            <w:tcW w:w="7501" w:type="dxa"/>
            <w:tcBorders>
              <w:top w:val="single" w:sz="12" w:space="0" w:color="33006F"/>
            </w:tcBorders>
          </w:tcPr>
          <w:p w14:paraId="0D8658BD" w14:textId="77777777" w:rsidR="002F6B23" w:rsidRPr="002F6B23" w:rsidRDefault="002F6B23" w:rsidP="00596031">
            <w:pPr>
              <w:spacing w:line="240" w:lineRule="auto"/>
              <w:jc w:val="center"/>
              <w:rPr>
                <w:rFonts w:ascii="Open Sans" w:hAnsi="Open Sans" w:cs="Open Sans"/>
                <w:b/>
              </w:rPr>
            </w:pPr>
          </w:p>
        </w:tc>
      </w:tr>
      <w:tr w:rsidR="002F6B23" w:rsidRPr="00176AA8" w14:paraId="162510BD" w14:textId="77777777" w:rsidTr="002F6B23">
        <w:trPr>
          <w:trHeight w:val="477"/>
        </w:trPr>
        <w:tc>
          <w:tcPr>
            <w:tcW w:w="2687" w:type="dxa"/>
          </w:tcPr>
          <w:p w14:paraId="03E626B0" w14:textId="77777777" w:rsidR="002F6B23" w:rsidRPr="002F6B23" w:rsidRDefault="002F6B23" w:rsidP="002F6B23">
            <w:pPr>
              <w:spacing w:line="240" w:lineRule="auto"/>
              <w:rPr>
                <w:rFonts w:ascii="Open Sans" w:hAnsi="Open Sans" w:cs="Open Sans"/>
                <w:b/>
              </w:rPr>
            </w:pPr>
            <w:r>
              <w:rPr>
                <w:rFonts w:ascii="Open Sans" w:hAnsi="Open Sans" w:cs="Open Sans"/>
                <w:b/>
              </w:rPr>
              <w:t>Focus Companies:</w:t>
            </w:r>
          </w:p>
        </w:tc>
        <w:tc>
          <w:tcPr>
            <w:tcW w:w="7501" w:type="dxa"/>
          </w:tcPr>
          <w:p w14:paraId="2F66CF22" w14:textId="1D5CFFA4" w:rsidR="002F6B23" w:rsidRPr="002F6B23" w:rsidRDefault="00651992" w:rsidP="00744929">
            <w:pPr>
              <w:spacing w:line="240" w:lineRule="auto"/>
              <w:rPr>
                <w:rFonts w:ascii="Open Sans" w:hAnsi="Open Sans" w:cs="Open Sans"/>
              </w:rPr>
            </w:pPr>
            <w:r>
              <w:rPr>
                <w:rFonts w:ascii="Open Sans" w:hAnsi="Open Sans" w:cs="Open Sans"/>
              </w:rPr>
              <w:t>Recent IPOs (Including Tableau and Groupon)</w:t>
            </w:r>
            <w:r w:rsidR="00816DFB">
              <w:rPr>
                <w:rFonts w:ascii="Open Sans" w:hAnsi="Open Sans" w:cs="Open Sans"/>
              </w:rPr>
              <w:t>.</w:t>
            </w:r>
          </w:p>
        </w:tc>
      </w:tr>
      <w:tr w:rsidR="002F6B23" w:rsidRPr="00176AA8" w14:paraId="38F6B634" w14:textId="77777777" w:rsidTr="002F6B23">
        <w:trPr>
          <w:trHeight w:val="477"/>
        </w:trPr>
        <w:tc>
          <w:tcPr>
            <w:tcW w:w="2687" w:type="dxa"/>
            <w:tcBorders>
              <w:bottom w:val="nil"/>
            </w:tcBorders>
          </w:tcPr>
          <w:p w14:paraId="26FFDDC8" w14:textId="77777777" w:rsidR="002F6B23" w:rsidRPr="002F6B23" w:rsidRDefault="002F6B23" w:rsidP="002F6B23">
            <w:pPr>
              <w:spacing w:line="240" w:lineRule="auto"/>
              <w:rPr>
                <w:rFonts w:ascii="Open Sans" w:hAnsi="Open Sans" w:cs="Open Sans"/>
                <w:b/>
              </w:rPr>
            </w:pPr>
            <w:r>
              <w:rPr>
                <w:rFonts w:ascii="Open Sans" w:hAnsi="Open Sans" w:cs="Open Sans"/>
                <w:b/>
              </w:rPr>
              <w:t>Keywords:</w:t>
            </w:r>
          </w:p>
        </w:tc>
        <w:tc>
          <w:tcPr>
            <w:tcW w:w="7501" w:type="dxa"/>
            <w:tcBorders>
              <w:bottom w:val="nil"/>
            </w:tcBorders>
          </w:tcPr>
          <w:p w14:paraId="40EC0132" w14:textId="65AD4E70" w:rsidR="002F6B23" w:rsidRPr="002F6B23" w:rsidRDefault="00651992" w:rsidP="002F6B23">
            <w:pPr>
              <w:spacing w:line="240" w:lineRule="auto"/>
              <w:rPr>
                <w:rFonts w:ascii="Open Sans" w:hAnsi="Open Sans" w:cs="Open Sans"/>
              </w:rPr>
            </w:pPr>
            <w:r>
              <w:rPr>
                <w:rFonts w:ascii="Open Sans" w:hAnsi="Open Sans" w:cs="Open Sans"/>
              </w:rPr>
              <w:t>Public v. Private Companies; Valuation; Risk</w:t>
            </w:r>
            <w:r w:rsidRPr="002F6B23">
              <w:rPr>
                <w:rFonts w:ascii="Open Sans" w:hAnsi="Open Sans" w:cs="Open Sans"/>
              </w:rPr>
              <w:t xml:space="preserve">; </w:t>
            </w:r>
            <w:r>
              <w:rPr>
                <w:rFonts w:ascii="Open Sans" w:hAnsi="Open Sans" w:cs="Open Sans"/>
              </w:rPr>
              <w:t>Integrated Audit; Controls</w:t>
            </w:r>
            <w:r w:rsidR="002F6B23" w:rsidRPr="002F6B23">
              <w:rPr>
                <w:rFonts w:ascii="Open Sans" w:hAnsi="Open Sans" w:cs="Open Sans"/>
              </w:rPr>
              <w:t xml:space="preserve">; </w:t>
            </w:r>
            <w:r>
              <w:rPr>
                <w:rFonts w:ascii="Open Sans" w:hAnsi="Open Sans" w:cs="Open Sans"/>
              </w:rPr>
              <w:t>Material Weaknesses; Material Misstatements</w:t>
            </w:r>
            <w:r w:rsidR="002F6B23" w:rsidRPr="002F6B23">
              <w:rPr>
                <w:rFonts w:ascii="Open Sans" w:hAnsi="Open Sans" w:cs="Open Sans"/>
              </w:rPr>
              <w:t>.</w:t>
            </w:r>
          </w:p>
        </w:tc>
      </w:tr>
    </w:tbl>
    <w:p w14:paraId="285005E9" w14:textId="77777777" w:rsidR="00F8742C" w:rsidRPr="002F6B23" w:rsidRDefault="00596031" w:rsidP="00F8742C">
      <w:pPr>
        <w:pStyle w:val="Heading1"/>
        <w:rPr>
          <w:rFonts w:ascii="Open Sans" w:hAnsi="Open Sans" w:cs="Open Sans"/>
          <w:smallCaps/>
          <w:color w:val="33006F"/>
        </w:rPr>
      </w:pPr>
      <w:bookmarkStart w:id="2" w:name="_Toc494529320"/>
      <w:r w:rsidRPr="002F6B23">
        <w:rPr>
          <w:rFonts w:ascii="Open Sans" w:hAnsi="Open Sans" w:cs="Open Sans"/>
          <w:smallCaps/>
          <w:color w:val="33006F"/>
        </w:rPr>
        <w:t>Introduction</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248"/>
      </w:tblGrid>
      <w:tr w:rsidR="00651992" w:rsidRPr="002F6B23" w14:paraId="0306DB54" w14:textId="77777777" w:rsidTr="00AB170C">
        <w:trPr>
          <w:trHeight w:val="2997"/>
        </w:trPr>
        <w:tc>
          <w:tcPr>
            <w:tcW w:w="5400" w:type="dxa"/>
          </w:tcPr>
          <w:p w14:paraId="20FF8FF1" w14:textId="540144CA" w:rsidR="00EC4EFA" w:rsidRPr="002F6B23" w:rsidRDefault="00651992" w:rsidP="00AB170C">
            <w:pPr>
              <w:spacing w:before="120" w:line="360" w:lineRule="auto"/>
              <w:jc w:val="both"/>
              <w:rPr>
                <w:rFonts w:ascii="Open Sans" w:hAnsi="Open Sans" w:cs="Open Sans"/>
              </w:rPr>
            </w:pPr>
            <w:r>
              <w:rPr>
                <w:rFonts w:ascii="Open Sans" w:hAnsi="Open Sans" w:cs="Open Sans"/>
                <w:sz w:val="20"/>
              </w:rPr>
              <w:t xml:space="preserve">Initial Public Offerings (IPOs) are an exciting time. Often the client is reaching an important new step in their company’s development – going public – the process of raising new equity capital and listing on a public exchange. These clients, often entrepreneurs having seen their ideas blossom are excited about growth and taking on new markets. </w:t>
            </w:r>
          </w:p>
        </w:tc>
        <w:tc>
          <w:tcPr>
            <w:tcW w:w="4248" w:type="dxa"/>
            <w:vAlign w:val="center"/>
          </w:tcPr>
          <w:p w14:paraId="0741D14B" w14:textId="26BB2CCA" w:rsidR="00EC4EFA" w:rsidRPr="002F6B23" w:rsidRDefault="00EC4EFA" w:rsidP="00EC4EFA">
            <w:pPr>
              <w:pStyle w:val="Heading1"/>
              <w:spacing w:before="0"/>
              <w:jc w:val="center"/>
              <w:rPr>
                <w:rFonts w:ascii="Open Sans" w:hAnsi="Open Sans" w:cs="Open Sans"/>
                <w:b w:val="0"/>
              </w:rPr>
            </w:pPr>
            <w:bookmarkStart w:id="3" w:name="_Toc494529321"/>
            <w:r w:rsidRPr="002F6B23">
              <w:rPr>
                <w:rFonts w:ascii="Open Sans" w:hAnsi="Open Sans" w:cs="Open Sans"/>
                <w:smallCaps/>
                <w:color w:val="33006F"/>
              </w:rPr>
              <w:t xml:space="preserve">“Why </w:t>
            </w:r>
            <w:r w:rsidR="00651992">
              <w:rPr>
                <w:rFonts w:ascii="Open Sans" w:hAnsi="Open Sans" w:cs="Open Sans"/>
                <w:smallCaps/>
                <w:color w:val="33006F"/>
              </w:rPr>
              <w:t>is the risk of material misstatement higher for companies who have recently gone public</w:t>
            </w:r>
            <w:r w:rsidRPr="002F6B23">
              <w:rPr>
                <w:rFonts w:ascii="Open Sans" w:hAnsi="Open Sans" w:cs="Open Sans"/>
                <w:smallCaps/>
                <w:color w:val="33006F"/>
              </w:rPr>
              <w:t>?”</w:t>
            </w:r>
            <w:bookmarkEnd w:id="3"/>
          </w:p>
        </w:tc>
      </w:tr>
    </w:tbl>
    <w:p w14:paraId="79FC8C72" w14:textId="62722175" w:rsidR="00651992" w:rsidRPr="00954123" w:rsidRDefault="00EC4EFA" w:rsidP="00EC4EFA">
      <w:pPr>
        <w:spacing w:before="120" w:after="120" w:line="360" w:lineRule="auto"/>
        <w:jc w:val="both"/>
        <w:rPr>
          <w:rFonts w:ascii="Open Sans" w:hAnsi="Open Sans" w:cs="Open Sans"/>
          <w:sz w:val="20"/>
          <w:szCs w:val="20"/>
        </w:rPr>
      </w:pPr>
      <w:r w:rsidRPr="00954123">
        <w:rPr>
          <w:rFonts w:ascii="Open Sans" w:hAnsi="Open Sans" w:cs="Open Sans"/>
          <w:sz w:val="20"/>
          <w:szCs w:val="20"/>
        </w:rPr>
        <w:t xml:space="preserve">In this case, we will discuss the role of the audit and assurance </w:t>
      </w:r>
      <w:r w:rsidR="00651992" w:rsidRPr="00954123">
        <w:rPr>
          <w:rFonts w:ascii="Open Sans" w:hAnsi="Open Sans" w:cs="Open Sans"/>
          <w:sz w:val="20"/>
          <w:szCs w:val="20"/>
        </w:rPr>
        <w:t>in the IPO setting. This case covers four interrelated topics</w:t>
      </w:r>
      <w:r w:rsidR="00B56B47" w:rsidRPr="00954123">
        <w:rPr>
          <w:rFonts w:ascii="Open Sans" w:hAnsi="Open Sans" w:cs="Open Sans"/>
          <w:sz w:val="20"/>
          <w:szCs w:val="20"/>
        </w:rPr>
        <w:t>: (i) the fundamental differences between public and private companies, (ii) the financial reporting risks arising when transitioning from public to private; (iii) the risk of material weaknesses in internal control arising when transitioning from public to private; and (iv) the measurement and quantification of misstatement risk differences between recent IPOs.</w:t>
      </w:r>
    </w:p>
    <w:p w14:paraId="5E25D651" w14:textId="4FC3B415" w:rsidR="0083304B" w:rsidRPr="00954123" w:rsidRDefault="00AB170C" w:rsidP="0083304B">
      <w:pPr>
        <w:spacing w:before="120" w:after="120" w:line="360" w:lineRule="auto"/>
        <w:jc w:val="both"/>
        <w:rPr>
          <w:rFonts w:ascii="Open Sans" w:hAnsi="Open Sans" w:cs="Open Sans"/>
          <w:sz w:val="20"/>
          <w:szCs w:val="20"/>
        </w:rPr>
      </w:pPr>
      <w:r w:rsidRPr="00954123">
        <w:rPr>
          <w:rFonts w:ascii="Open Sans" w:hAnsi="Open Sans" w:cs="Open Sans"/>
          <w:sz w:val="20"/>
          <w:szCs w:val="20"/>
        </w:rPr>
        <w:t>This case introduces audit risk (also known as misstatement risk) which is the risk that the auditor may unknowingly fail to appropriately modify the opinion on financial statements that are materially misstated (PCAOB AS 1101).</w:t>
      </w:r>
      <w:r w:rsidR="0083304B" w:rsidRPr="00954123">
        <w:rPr>
          <w:rFonts w:ascii="Open Sans" w:hAnsi="Open Sans" w:cs="Open Sans"/>
          <w:sz w:val="20"/>
          <w:szCs w:val="20"/>
        </w:rPr>
        <w:t xml:space="preserve"> Specifically,</w:t>
      </w:r>
      <w:r w:rsidRPr="00954123">
        <w:rPr>
          <w:rFonts w:ascii="Open Sans" w:hAnsi="Open Sans" w:cs="Open Sans"/>
          <w:sz w:val="20"/>
          <w:szCs w:val="20"/>
        </w:rPr>
        <w:t xml:space="preserve"> </w:t>
      </w:r>
      <w:r w:rsidR="0083304B" w:rsidRPr="00954123">
        <w:rPr>
          <w:rFonts w:ascii="Open Sans" w:hAnsi="Open Sans" w:cs="Open Sans"/>
          <w:sz w:val="20"/>
          <w:szCs w:val="20"/>
        </w:rPr>
        <w:t xml:space="preserve">US auditing standards highlight the prominence of material errors, including fraud, in Paragraph .02 of AS 1001, </w:t>
      </w:r>
      <w:r w:rsidR="0083304B" w:rsidRPr="00954123">
        <w:rPr>
          <w:rFonts w:ascii="Open Sans" w:hAnsi="Open Sans" w:cs="Open Sans"/>
          <w:i/>
          <w:sz w:val="20"/>
          <w:szCs w:val="20"/>
        </w:rPr>
        <w:t>Responsibilities and Functions of the Independent Auditor,</w:t>
      </w:r>
      <w:r w:rsidR="0083304B" w:rsidRPr="00954123">
        <w:rPr>
          <w:rFonts w:ascii="Open Sans" w:hAnsi="Open Sans" w:cs="Open Sans"/>
          <w:sz w:val="20"/>
          <w:szCs w:val="20"/>
        </w:rPr>
        <w:t xml:space="preserve"> stating:</w:t>
      </w:r>
    </w:p>
    <w:p w14:paraId="6C9BC9B9" w14:textId="77777777" w:rsidR="0083304B" w:rsidRPr="00954123" w:rsidRDefault="0083304B" w:rsidP="0083304B">
      <w:pPr>
        <w:spacing w:before="120" w:after="120" w:line="240" w:lineRule="auto"/>
        <w:ind w:left="720" w:right="648"/>
        <w:jc w:val="both"/>
        <w:rPr>
          <w:rFonts w:ascii="Open Sans" w:eastAsia="Calibri" w:hAnsi="Open Sans" w:cs="Open Sans"/>
          <w:sz w:val="20"/>
          <w:szCs w:val="20"/>
        </w:rPr>
      </w:pPr>
      <w:r w:rsidRPr="00954123">
        <w:rPr>
          <w:rFonts w:ascii="Open Sans" w:eastAsia="Calibri" w:hAnsi="Open Sans" w:cs="Open Sans"/>
          <w:sz w:val="20"/>
          <w:szCs w:val="20"/>
        </w:rPr>
        <w:lastRenderedPageBreak/>
        <w:t>“The auditor has a responsibility to plan and perform the audit to obtain reasonable assurance about whether the financial statements are free of material misstatement, whether caused by error or fraud”</w:t>
      </w:r>
    </w:p>
    <w:p w14:paraId="2F96B86B" w14:textId="77777777" w:rsidR="0083304B" w:rsidRPr="00954123" w:rsidRDefault="0083304B" w:rsidP="0083304B">
      <w:pPr>
        <w:spacing w:before="120" w:after="120" w:line="360" w:lineRule="auto"/>
        <w:jc w:val="both"/>
        <w:rPr>
          <w:rFonts w:ascii="Open Sans" w:hAnsi="Open Sans" w:cs="Open Sans"/>
          <w:sz w:val="20"/>
          <w:szCs w:val="20"/>
        </w:rPr>
      </w:pPr>
      <w:r w:rsidRPr="00954123">
        <w:rPr>
          <w:rFonts w:ascii="Open Sans" w:hAnsi="Open Sans" w:cs="Open Sans"/>
          <w:sz w:val="20"/>
          <w:szCs w:val="20"/>
        </w:rPr>
        <w:t>The misstatement of financial information is defined in the Auditing Standards in Appendix A of AS2810 “</w:t>
      </w:r>
      <w:r w:rsidRPr="00954123">
        <w:rPr>
          <w:rFonts w:ascii="Open Sans" w:hAnsi="Open Sans" w:cs="Open Sans"/>
          <w:i/>
          <w:sz w:val="20"/>
          <w:szCs w:val="20"/>
        </w:rPr>
        <w:t>Evaluating Audit Results</w:t>
      </w:r>
      <w:r w:rsidRPr="00954123">
        <w:rPr>
          <w:rFonts w:ascii="Open Sans" w:hAnsi="Open Sans" w:cs="Open Sans"/>
          <w:sz w:val="20"/>
          <w:szCs w:val="20"/>
        </w:rPr>
        <w:t>” as:</w:t>
      </w:r>
    </w:p>
    <w:p w14:paraId="442D9E3D" w14:textId="77777777" w:rsidR="0083304B" w:rsidRPr="00954123" w:rsidRDefault="0083304B" w:rsidP="0083304B">
      <w:pPr>
        <w:spacing w:before="120" w:after="120" w:line="240" w:lineRule="auto"/>
        <w:ind w:left="720" w:right="648"/>
        <w:jc w:val="both"/>
        <w:rPr>
          <w:rFonts w:ascii="Open Sans" w:eastAsia="Calibri" w:hAnsi="Open Sans" w:cs="Open Sans"/>
          <w:sz w:val="20"/>
          <w:szCs w:val="20"/>
        </w:rPr>
      </w:pPr>
      <w:r w:rsidRPr="00954123">
        <w:rPr>
          <w:rFonts w:ascii="Open Sans" w:eastAsia="Calibri" w:hAnsi="Open Sans" w:cs="Open Sans"/>
          <w:sz w:val="20"/>
          <w:szCs w:val="20"/>
        </w:rPr>
        <w:t>“A misstatement, if material individually or in combination with other misstatements, causes the financial statements not to be presented fairly in conformity with the applicable financial reporting framework. A misstatement may relate to a difference between the amount, classification, presentation, or disclosure of a reported financial statement item and the amount, classification, presentation, or disclosure that should be reported in conformity with the applicable financial reporting framework. Misstatements can arise from error (i.e., unintentional misstatement) or fraud.”</w:t>
      </w:r>
    </w:p>
    <w:p w14:paraId="251C5AEF" w14:textId="7CB68DED" w:rsidR="0083304B" w:rsidRPr="00954123" w:rsidRDefault="0083304B" w:rsidP="0083304B">
      <w:pPr>
        <w:spacing w:before="120" w:after="120" w:line="360" w:lineRule="auto"/>
        <w:jc w:val="both"/>
        <w:rPr>
          <w:rFonts w:ascii="Open Sans" w:hAnsi="Open Sans" w:cs="Open Sans"/>
          <w:sz w:val="20"/>
          <w:szCs w:val="20"/>
        </w:rPr>
      </w:pPr>
      <w:r w:rsidRPr="00954123">
        <w:rPr>
          <w:rFonts w:ascii="Open Sans" w:hAnsi="Open Sans" w:cs="Open Sans"/>
          <w:sz w:val="20"/>
          <w:szCs w:val="20"/>
        </w:rPr>
        <w:t>Note that fraud has long been of additional interest to auditors and regulators. The current auditing standard AS 2401 (previously AU Section 316) “</w:t>
      </w:r>
      <w:r w:rsidRPr="00954123">
        <w:rPr>
          <w:rFonts w:ascii="Open Sans" w:hAnsi="Open Sans" w:cs="Open Sans"/>
          <w:i/>
          <w:sz w:val="20"/>
          <w:szCs w:val="20"/>
        </w:rPr>
        <w:t>Consideration of Fraud in a Financial Statement Audit</w:t>
      </w:r>
      <w:r w:rsidRPr="00954123">
        <w:rPr>
          <w:rFonts w:ascii="Open Sans" w:hAnsi="Open Sans" w:cs="Open Sans"/>
          <w:sz w:val="20"/>
          <w:szCs w:val="20"/>
        </w:rPr>
        <w:t>” distinguishes fraud from errors based on the intention of the actions undertaken by management. Specifically, “</w:t>
      </w:r>
      <w:r w:rsidRPr="00954123">
        <w:rPr>
          <w:rFonts w:ascii="Open Sans" w:hAnsi="Open Sans" w:cs="Open Sans"/>
          <w:i/>
          <w:sz w:val="20"/>
          <w:szCs w:val="20"/>
        </w:rPr>
        <w:t>fraud</w:t>
      </w:r>
      <w:r w:rsidRPr="00954123">
        <w:rPr>
          <w:rFonts w:ascii="Open Sans" w:hAnsi="Open Sans" w:cs="Open Sans"/>
          <w:sz w:val="20"/>
          <w:szCs w:val="20"/>
        </w:rPr>
        <w:t xml:space="preserve"> is an intentional act that results in a material misstatement in financial statements that are the subject of an audit.” (AS 2401 ¶.05). Please note, however, that fraud is not “everywhere,” in many companies with strong controls over operations and financial reporting, fraud is very difficult for an individual to commit.</w:t>
      </w:r>
    </w:p>
    <w:p w14:paraId="4F7A76F2" w14:textId="3BB1FC89" w:rsidR="00AB170C" w:rsidRPr="00954123" w:rsidRDefault="0083304B" w:rsidP="00EC4EFA">
      <w:pPr>
        <w:spacing w:before="120" w:after="120" w:line="360" w:lineRule="auto"/>
        <w:jc w:val="both"/>
        <w:rPr>
          <w:rFonts w:ascii="Open Sans" w:hAnsi="Open Sans" w:cs="Open Sans"/>
          <w:sz w:val="20"/>
          <w:szCs w:val="20"/>
        </w:rPr>
      </w:pPr>
      <w:r w:rsidRPr="00954123">
        <w:rPr>
          <w:rFonts w:ascii="Open Sans" w:hAnsi="Open Sans" w:cs="Open Sans"/>
          <w:sz w:val="20"/>
          <w:szCs w:val="20"/>
        </w:rPr>
        <w:t>In this case</w:t>
      </w:r>
      <w:r w:rsidR="00AB170C" w:rsidRPr="00954123">
        <w:rPr>
          <w:rFonts w:ascii="Open Sans" w:hAnsi="Open Sans" w:cs="Open Sans"/>
          <w:sz w:val="20"/>
          <w:szCs w:val="20"/>
        </w:rPr>
        <w:t xml:space="preserve">, we will focus our discussion around why IPOs as a group have higher audit risk and if we can identify which IPOs are riskier than the average. </w:t>
      </w:r>
      <w:r w:rsidRPr="00954123">
        <w:rPr>
          <w:rFonts w:ascii="Open Sans" w:hAnsi="Open Sans" w:cs="Open Sans"/>
          <w:sz w:val="20"/>
          <w:szCs w:val="20"/>
        </w:rPr>
        <w:t xml:space="preserve">Is the reason that IPOs spend less </w:t>
      </w:r>
      <w:r w:rsidR="00954123">
        <w:rPr>
          <w:rFonts w:ascii="Open Sans" w:hAnsi="Open Sans" w:cs="Open Sans"/>
          <w:sz w:val="20"/>
          <w:szCs w:val="20"/>
        </w:rPr>
        <w:t>resources</w:t>
      </w:r>
      <w:r w:rsidRPr="00954123">
        <w:rPr>
          <w:rFonts w:ascii="Open Sans" w:hAnsi="Open Sans" w:cs="Open Sans"/>
          <w:sz w:val="20"/>
          <w:szCs w:val="20"/>
        </w:rPr>
        <w:t xml:space="preserve"> on internal controls? </w:t>
      </w:r>
      <w:r w:rsidR="00954123">
        <w:rPr>
          <w:rFonts w:ascii="Open Sans" w:hAnsi="Open Sans" w:cs="Open Sans"/>
          <w:sz w:val="20"/>
          <w:szCs w:val="20"/>
        </w:rPr>
        <w:t>Which types of accounting present unique challenges at the IPO? Are different firms more likely to be better prepared for the financial reporting challenges occurring at an IPO?</w:t>
      </w:r>
    </w:p>
    <w:bookmarkEnd w:id="0"/>
    <w:p w14:paraId="4DABF117" w14:textId="262AC90E" w:rsidR="00AB170C" w:rsidRPr="002F6B23" w:rsidRDefault="00AB170C" w:rsidP="00AB170C">
      <w:pPr>
        <w:pStyle w:val="Heading1"/>
        <w:rPr>
          <w:rFonts w:ascii="Open Sans" w:hAnsi="Open Sans" w:cs="Open Sans"/>
          <w:smallCaps/>
          <w:color w:val="33006F"/>
        </w:rPr>
      </w:pPr>
      <w:r>
        <w:rPr>
          <w:rFonts w:ascii="Open Sans" w:hAnsi="Open Sans" w:cs="Open Sans"/>
          <w:smallCaps/>
          <w:color w:val="33006F"/>
        </w:rPr>
        <w:t>Background</w:t>
      </w:r>
    </w:p>
    <w:p w14:paraId="3918D805" w14:textId="485B4C89" w:rsidR="00362597" w:rsidRDefault="002A23D0" w:rsidP="00EC4EFA">
      <w:pPr>
        <w:spacing w:before="120" w:after="120" w:line="360" w:lineRule="auto"/>
        <w:jc w:val="both"/>
        <w:rPr>
          <w:rFonts w:ascii="Open Sans" w:hAnsi="Open Sans" w:cs="Open Sans"/>
          <w:sz w:val="20"/>
          <w:szCs w:val="20"/>
        </w:rPr>
      </w:pPr>
      <w:r>
        <w:rPr>
          <w:rFonts w:ascii="Open Sans" w:hAnsi="Open Sans" w:cs="Open Sans"/>
          <w:sz w:val="20"/>
          <w:szCs w:val="20"/>
        </w:rPr>
        <w:t xml:space="preserve">Undertaking an IPO is a significant decision for any private firm. The shift from </w:t>
      </w:r>
      <w:r w:rsidR="00914E4C">
        <w:rPr>
          <w:rFonts w:ascii="Open Sans" w:hAnsi="Open Sans" w:cs="Open Sans"/>
          <w:sz w:val="20"/>
          <w:szCs w:val="20"/>
        </w:rPr>
        <w:t xml:space="preserve">being a private firm, where the firm can largely choose the level of financial disclosure and transparency they provide to the public, public firms are regulated to provide audited financial disclosures, with transparency determined by standards, listing requirements and enforcement by the SEC. </w:t>
      </w:r>
      <w:r w:rsidR="00BB1C07">
        <w:rPr>
          <w:rFonts w:ascii="Open Sans" w:hAnsi="Open Sans" w:cs="Open Sans"/>
          <w:sz w:val="20"/>
          <w:szCs w:val="20"/>
        </w:rPr>
        <w:t xml:space="preserve">An IPO is a financing and legal event that combines the raising of capital and listing on a public exchange. As such, the client undertaking the IPO benefits from the raising of new equity capital, at the cost of increased disclosure, compliance costs and associated financial disclosure misstatement risks. </w:t>
      </w:r>
    </w:p>
    <w:p w14:paraId="0923FBA2" w14:textId="75C5B817" w:rsidR="00362597" w:rsidRDefault="00C461D9" w:rsidP="00C461D9">
      <w:pPr>
        <w:spacing w:before="120" w:after="120" w:line="360" w:lineRule="auto"/>
        <w:jc w:val="both"/>
        <w:rPr>
          <w:rFonts w:ascii="Open Sans" w:hAnsi="Open Sans" w:cs="Open Sans"/>
          <w:sz w:val="20"/>
          <w:szCs w:val="20"/>
        </w:rPr>
      </w:pPr>
      <w:r w:rsidRPr="00C461D9">
        <w:rPr>
          <w:rFonts w:ascii="Open Sans" w:eastAsiaTheme="majorEastAsia" w:hAnsi="Open Sans" w:cs="Open Sans"/>
          <w:b/>
          <w:bCs/>
          <w:smallCaps/>
          <w:color w:val="33006F"/>
          <w:szCs w:val="28"/>
        </w:rPr>
        <w:lastRenderedPageBreak/>
        <w:t xml:space="preserve">What is an IPO? </w:t>
      </w:r>
      <w:r>
        <w:rPr>
          <w:rFonts w:ascii="Open Sans" w:hAnsi="Open Sans" w:cs="Open Sans"/>
          <w:sz w:val="20"/>
          <w:szCs w:val="20"/>
        </w:rPr>
        <w:t xml:space="preserve">The initial public offering (IPO) is the first offer to sell ownership equity (stock), which is registered and marketed to the public.  The SEC imposes conditions on the sellers of private company stock that greatly reduce the marketability of the stock.  Undertaking an IPO is a significant decision for any private firm. An IPO is a financing and legal event that combines the raising of capital and listing on a public exchange. Following the IPO, company stock that was part of the registration can be traded on a </w:t>
      </w:r>
      <w:r w:rsidRPr="00C207B5">
        <w:rPr>
          <w:rFonts w:ascii="Open Sans" w:hAnsi="Open Sans" w:cs="Open Sans"/>
          <w:b/>
          <w:sz w:val="20"/>
          <w:szCs w:val="20"/>
        </w:rPr>
        <w:t>secondary market</w:t>
      </w:r>
      <w:r>
        <w:rPr>
          <w:rFonts w:ascii="Open Sans" w:hAnsi="Open Sans" w:cs="Open Sans"/>
          <w:sz w:val="20"/>
          <w:szCs w:val="20"/>
        </w:rPr>
        <w:t>, either a public market (NYSE, NASDQ) or over-the-counter market (OTCBB, Pink Sheets)</w:t>
      </w:r>
      <w:r w:rsidR="00C207B5">
        <w:rPr>
          <w:rFonts w:ascii="Open Sans" w:hAnsi="Open Sans" w:cs="Open Sans"/>
          <w:sz w:val="20"/>
          <w:szCs w:val="20"/>
        </w:rPr>
        <w:t>. A s</w:t>
      </w:r>
      <w:r w:rsidR="00C207B5" w:rsidRPr="00C207B5">
        <w:rPr>
          <w:rFonts w:ascii="Open Sans" w:hAnsi="Open Sans" w:cs="Open Sans"/>
          <w:sz w:val="20"/>
          <w:szCs w:val="20"/>
        </w:rPr>
        <w:t xml:space="preserve">econdary </w:t>
      </w:r>
      <w:r w:rsidR="00C207B5">
        <w:rPr>
          <w:rFonts w:ascii="Open Sans" w:hAnsi="Open Sans" w:cs="Open Sans"/>
          <w:sz w:val="20"/>
          <w:szCs w:val="20"/>
        </w:rPr>
        <w:t>m</w:t>
      </w:r>
      <w:r w:rsidR="00C207B5" w:rsidRPr="00C207B5">
        <w:rPr>
          <w:rFonts w:ascii="Open Sans" w:hAnsi="Open Sans" w:cs="Open Sans"/>
          <w:sz w:val="20"/>
          <w:szCs w:val="20"/>
        </w:rPr>
        <w:t xml:space="preserve">arket </w:t>
      </w:r>
      <w:r w:rsidR="00C207B5">
        <w:rPr>
          <w:rFonts w:ascii="Open Sans" w:hAnsi="Open Sans" w:cs="Open Sans"/>
          <w:sz w:val="20"/>
          <w:szCs w:val="20"/>
        </w:rPr>
        <w:t>is</w:t>
      </w:r>
      <w:r w:rsidR="00C207B5" w:rsidRPr="00C207B5">
        <w:rPr>
          <w:rFonts w:ascii="Open Sans" w:hAnsi="Open Sans" w:cs="Open Sans"/>
          <w:sz w:val="20"/>
          <w:szCs w:val="20"/>
        </w:rPr>
        <w:t xml:space="preserve"> a market where investors buy and sell stock with other investors rather than with the company.</w:t>
      </w:r>
    </w:p>
    <w:p w14:paraId="3D343FC5" w14:textId="5DFBD665" w:rsidR="00C207B5" w:rsidRDefault="00C207B5" w:rsidP="00C461D9">
      <w:pPr>
        <w:spacing w:before="120" w:after="120" w:line="360" w:lineRule="auto"/>
        <w:jc w:val="both"/>
        <w:rPr>
          <w:rFonts w:ascii="Open Sans" w:hAnsi="Open Sans" w:cs="Open Sans"/>
          <w:sz w:val="20"/>
          <w:szCs w:val="20"/>
        </w:rPr>
      </w:pPr>
      <w:r>
        <w:rPr>
          <w:rFonts w:ascii="Open Sans" w:hAnsi="Open Sans" w:cs="Open Sans"/>
          <w:sz w:val="20"/>
          <w:szCs w:val="20"/>
        </w:rPr>
        <w:t>A private firm can largely choose the level of financial disclosure and transparency they provide to the public. Public firms are regulated to provide audited financial disclosures, with transparency determined by standards, listing requirements and enforcement by the SEC. While the client undertaking the IPO receives many benefits from being publicly traded, there are costs of increased disclosure and compliance as well as increased financial disclosure misstatement risks.</w:t>
      </w:r>
    </w:p>
    <w:p w14:paraId="3BB70F3C" w14:textId="47D06764" w:rsidR="00E111C4" w:rsidRPr="002F6B23" w:rsidRDefault="00E111C4" w:rsidP="00E111C4">
      <w:pPr>
        <w:pStyle w:val="Heading1"/>
        <w:rPr>
          <w:rFonts w:ascii="Open Sans" w:hAnsi="Open Sans" w:cs="Open Sans"/>
          <w:smallCaps/>
          <w:color w:val="33006F"/>
        </w:rPr>
      </w:pPr>
      <w:r>
        <w:rPr>
          <w:rFonts w:ascii="Open Sans" w:hAnsi="Open Sans" w:cs="Open Sans"/>
          <w:smallCaps/>
          <w:color w:val="33006F"/>
        </w:rPr>
        <w:t>A Brief Overview of the Going Public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3"/>
      </w:tblGrid>
      <w:tr w:rsidR="00BB1C07" w14:paraId="2E87D4A3" w14:textId="77777777" w:rsidTr="00A227D0">
        <w:trPr>
          <w:trHeight w:val="3282"/>
        </w:trPr>
        <w:tc>
          <w:tcPr>
            <w:tcW w:w="5670" w:type="dxa"/>
            <w:tcBorders>
              <w:right w:val="single" w:sz="12" w:space="0" w:color="auto"/>
            </w:tcBorders>
          </w:tcPr>
          <w:p w14:paraId="753054D2" w14:textId="1EE0668A" w:rsidR="00BB1C07" w:rsidRDefault="00BB1C07" w:rsidP="00BB1C07">
            <w:pPr>
              <w:spacing w:before="120" w:after="120" w:line="360" w:lineRule="auto"/>
              <w:jc w:val="both"/>
              <w:rPr>
                <w:rFonts w:ascii="Open Sans" w:hAnsi="Open Sans" w:cs="Open Sans"/>
                <w:sz w:val="20"/>
                <w:szCs w:val="20"/>
              </w:rPr>
            </w:pPr>
            <w:r>
              <w:rPr>
                <w:rFonts w:ascii="Open Sans" w:hAnsi="Open Sans" w:cs="Open Sans"/>
                <w:sz w:val="20"/>
                <w:szCs w:val="20"/>
              </w:rPr>
              <w:t xml:space="preserve">Undertaking an IPO is a significant decision for any private firm. The first step in the process for the client is to decide that they want to IPO and seek out the </w:t>
            </w:r>
            <w:r w:rsidR="003C4831">
              <w:rPr>
                <w:rFonts w:ascii="Open Sans" w:hAnsi="Open Sans" w:cs="Open Sans"/>
                <w:sz w:val="20"/>
                <w:szCs w:val="20"/>
              </w:rPr>
              <w:t xml:space="preserve">various </w:t>
            </w:r>
            <w:r>
              <w:rPr>
                <w:rFonts w:ascii="Open Sans" w:hAnsi="Open Sans" w:cs="Open Sans"/>
                <w:sz w:val="20"/>
                <w:szCs w:val="20"/>
              </w:rPr>
              <w:t xml:space="preserve">professional services experts to undertake the significant IPO process. </w:t>
            </w:r>
          </w:p>
          <w:p w14:paraId="5A32ECC1" w14:textId="356BE3E4" w:rsidR="00914E4C" w:rsidRDefault="00A227D0" w:rsidP="00A227D0">
            <w:pPr>
              <w:spacing w:before="120" w:line="360" w:lineRule="auto"/>
              <w:jc w:val="both"/>
              <w:rPr>
                <w:rFonts w:ascii="Open Sans" w:hAnsi="Open Sans" w:cs="Open Sans"/>
                <w:sz w:val="20"/>
                <w:szCs w:val="20"/>
              </w:rPr>
            </w:pPr>
            <w:r>
              <w:rPr>
                <w:rFonts w:ascii="Open Sans" w:hAnsi="Open Sans" w:cs="Open Sans"/>
                <w:sz w:val="20"/>
                <w:szCs w:val="20"/>
              </w:rPr>
              <w:t>In general, the indicators for possible success for the IPOs are generally related to the performance and preparation of the company. In general, the client needs to find the answers to the following types of questions:</w:t>
            </w:r>
          </w:p>
        </w:tc>
        <w:tc>
          <w:tcPr>
            <w:tcW w:w="3963" w:type="dxa"/>
            <w:tcBorders>
              <w:top w:val="single" w:sz="12" w:space="0" w:color="auto"/>
              <w:left w:val="single" w:sz="12" w:space="0" w:color="auto"/>
              <w:bottom w:val="single" w:sz="12" w:space="0" w:color="auto"/>
              <w:right w:val="single" w:sz="12" w:space="0" w:color="auto"/>
            </w:tcBorders>
          </w:tcPr>
          <w:p w14:paraId="63569C53" w14:textId="77777777" w:rsidR="00BB1C07" w:rsidRDefault="00914E4C" w:rsidP="00E56061">
            <w:pPr>
              <w:spacing w:before="120" w:after="120" w:line="240" w:lineRule="auto"/>
              <w:jc w:val="both"/>
              <w:rPr>
                <w:rFonts w:ascii="Open Sans" w:hAnsi="Open Sans" w:cs="Open Sans"/>
                <w:color w:val="37246A" w:themeColor="text2"/>
                <w:sz w:val="18"/>
                <w:szCs w:val="20"/>
              </w:rPr>
            </w:pPr>
            <w:r>
              <w:rPr>
                <w:rFonts w:ascii="Open Sans" w:hAnsi="Open Sans" w:cs="Open Sans"/>
                <w:noProof/>
                <w:sz w:val="20"/>
                <w:szCs w:val="20"/>
              </w:rPr>
              <w:drawing>
                <wp:anchor distT="0" distB="0" distL="114300" distR="114300" simplePos="0" relativeHeight="251665408" behindDoc="0" locked="0" layoutInCell="1" allowOverlap="1" wp14:anchorId="2BF5395F" wp14:editId="79A6C847">
                  <wp:simplePos x="0" y="0"/>
                  <wp:positionH relativeFrom="column">
                    <wp:posOffset>5715</wp:posOffset>
                  </wp:positionH>
                  <wp:positionV relativeFrom="paragraph">
                    <wp:posOffset>29845</wp:posOffset>
                  </wp:positionV>
                  <wp:extent cx="603250" cy="603250"/>
                  <wp:effectExtent l="0" t="0" r="0" b="6350"/>
                  <wp:wrapSquare wrapText="bothSides"/>
                  <wp:docPr id="4" name="Graphic 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rovider=MicrosoftIcon&amp;fileName=Document.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03250" cy="603250"/>
                          </a:xfrm>
                          <a:prstGeom prst="rect">
                            <a:avLst/>
                          </a:prstGeom>
                        </pic:spPr>
                      </pic:pic>
                    </a:graphicData>
                  </a:graphic>
                </wp:anchor>
              </w:drawing>
            </w:r>
            <w:r>
              <w:rPr>
                <w:rFonts w:ascii="Open Sans" w:hAnsi="Open Sans" w:cs="Open Sans"/>
                <w:color w:val="37246A" w:themeColor="text2"/>
                <w:sz w:val="18"/>
                <w:szCs w:val="20"/>
              </w:rPr>
              <w:t>In PwC’s “Roadmap for an IPO” whitepaper they state,</w:t>
            </w:r>
            <w:r w:rsidRPr="00914E4C">
              <w:rPr>
                <w:rFonts w:ascii="Open Sans" w:hAnsi="Open Sans" w:cs="Open Sans"/>
                <w:b/>
                <w:color w:val="37246A" w:themeColor="text2"/>
                <w:sz w:val="18"/>
                <w:szCs w:val="20"/>
              </w:rPr>
              <w:t>” The most important question a CEO should ask is, “Why do I want to go public?””</w:t>
            </w:r>
            <w:r w:rsidRPr="00914E4C">
              <w:rPr>
                <w:rFonts w:ascii="Open Sans" w:hAnsi="Open Sans" w:cs="Open Sans"/>
                <w:color w:val="37246A" w:themeColor="text2"/>
                <w:sz w:val="18"/>
                <w:szCs w:val="20"/>
              </w:rPr>
              <w:t xml:space="preserve"> </w:t>
            </w:r>
            <w:r w:rsidR="00BB1C07">
              <w:rPr>
                <w:rFonts w:ascii="Open Sans" w:hAnsi="Open Sans" w:cs="Open Sans"/>
                <w:color w:val="37246A" w:themeColor="text2"/>
                <w:sz w:val="18"/>
                <w:szCs w:val="20"/>
              </w:rPr>
              <w:t>and provide a list of reasons:</w:t>
            </w:r>
          </w:p>
          <w:p w14:paraId="3F7E6EEA" w14:textId="72A422B9" w:rsidR="00914E4C" w:rsidRPr="00BB1C07" w:rsidRDefault="00BB1C07" w:rsidP="00BB1C07">
            <w:pPr>
              <w:pStyle w:val="ListParagraph"/>
              <w:numPr>
                <w:ilvl w:val="0"/>
                <w:numId w:val="23"/>
              </w:numPr>
              <w:spacing w:before="120" w:after="120" w:line="240" w:lineRule="auto"/>
              <w:jc w:val="both"/>
              <w:rPr>
                <w:rFonts w:ascii="Open Sans" w:hAnsi="Open Sans" w:cs="Open Sans"/>
                <w:color w:val="37246A" w:themeColor="text2"/>
                <w:sz w:val="18"/>
                <w:szCs w:val="20"/>
              </w:rPr>
            </w:pPr>
            <w:r w:rsidRPr="00BB1C07">
              <w:rPr>
                <w:rFonts w:ascii="Open Sans" w:hAnsi="Open Sans" w:cs="Open Sans"/>
                <w:color w:val="37246A" w:themeColor="text2"/>
                <w:sz w:val="18"/>
                <w:szCs w:val="20"/>
              </w:rPr>
              <w:t>Raising capital</w:t>
            </w:r>
          </w:p>
          <w:p w14:paraId="1E019250" w14:textId="77777777" w:rsidR="00BB1C07" w:rsidRPr="00BB1C07" w:rsidRDefault="00BB1C07" w:rsidP="00BB1C07">
            <w:pPr>
              <w:pStyle w:val="ListParagraph"/>
              <w:numPr>
                <w:ilvl w:val="0"/>
                <w:numId w:val="23"/>
              </w:numPr>
              <w:spacing w:before="120" w:after="120" w:line="240" w:lineRule="auto"/>
              <w:jc w:val="both"/>
              <w:rPr>
                <w:rFonts w:ascii="Open Sans" w:hAnsi="Open Sans" w:cs="Open Sans"/>
                <w:color w:val="37246A" w:themeColor="text2"/>
                <w:sz w:val="18"/>
                <w:szCs w:val="20"/>
              </w:rPr>
            </w:pPr>
            <w:r w:rsidRPr="00BB1C07">
              <w:rPr>
                <w:rFonts w:ascii="Open Sans" w:hAnsi="Open Sans" w:cs="Open Sans"/>
                <w:color w:val="37246A" w:themeColor="text2"/>
                <w:sz w:val="18"/>
                <w:szCs w:val="20"/>
              </w:rPr>
              <w:t>Acquiring other companies</w:t>
            </w:r>
          </w:p>
          <w:p w14:paraId="18F12846" w14:textId="77777777" w:rsidR="00BB1C07" w:rsidRPr="00BB1C07" w:rsidRDefault="00BB1C07" w:rsidP="00BB1C07">
            <w:pPr>
              <w:pStyle w:val="ListParagraph"/>
              <w:numPr>
                <w:ilvl w:val="0"/>
                <w:numId w:val="23"/>
              </w:numPr>
              <w:spacing w:before="120" w:after="120" w:line="240" w:lineRule="auto"/>
              <w:jc w:val="both"/>
              <w:rPr>
                <w:rFonts w:ascii="Open Sans" w:hAnsi="Open Sans" w:cs="Open Sans"/>
                <w:color w:val="37246A" w:themeColor="text2"/>
                <w:sz w:val="18"/>
                <w:szCs w:val="20"/>
              </w:rPr>
            </w:pPr>
            <w:r w:rsidRPr="00BB1C07">
              <w:rPr>
                <w:rFonts w:ascii="Open Sans" w:hAnsi="Open Sans" w:cs="Open Sans"/>
                <w:color w:val="37246A" w:themeColor="text2"/>
                <w:sz w:val="18"/>
                <w:szCs w:val="20"/>
              </w:rPr>
              <w:t>Attract/retain key employees</w:t>
            </w:r>
          </w:p>
          <w:p w14:paraId="76E1EE61" w14:textId="7FB56CDA" w:rsidR="00BB1C07" w:rsidRDefault="00BB1C07" w:rsidP="00BB1C07">
            <w:pPr>
              <w:pStyle w:val="ListParagraph"/>
              <w:numPr>
                <w:ilvl w:val="0"/>
                <w:numId w:val="23"/>
              </w:numPr>
              <w:spacing w:before="120" w:after="120" w:line="240" w:lineRule="auto"/>
              <w:jc w:val="both"/>
              <w:rPr>
                <w:rFonts w:ascii="Open Sans" w:hAnsi="Open Sans" w:cs="Open Sans"/>
                <w:color w:val="37246A" w:themeColor="text2"/>
                <w:sz w:val="18"/>
                <w:szCs w:val="20"/>
              </w:rPr>
            </w:pPr>
            <w:r w:rsidRPr="00BB1C07">
              <w:rPr>
                <w:rFonts w:ascii="Open Sans" w:hAnsi="Open Sans" w:cs="Open Sans"/>
                <w:color w:val="37246A" w:themeColor="text2"/>
                <w:sz w:val="18"/>
                <w:szCs w:val="20"/>
              </w:rPr>
              <w:t>Diversification &amp; liquidity</w:t>
            </w:r>
          </w:p>
          <w:p w14:paraId="551EA374" w14:textId="77777777" w:rsidR="00BB1C07" w:rsidRDefault="00BB1C07" w:rsidP="00BB1C07">
            <w:pPr>
              <w:pStyle w:val="ListParagraph"/>
              <w:numPr>
                <w:ilvl w:val="0"/>
                <w:numId w:val="23"/>
              </w:numPr>
              <w:spacing w:before="120" w:after="120" w:line="240" w:lineRule="auto"/>
              <w:jc w:val="both"/>
              <w:rPr>
                <w:rFonts w:ascii="Open Sans" w:hAnsi="Open Sans" w:cs="Open Sans"/>
                <w:color w:val="37246A" w:themeColor="text2"/>
                <w:sz w:val="18"/>
                <w:szCs w:val="20"/>
              </w:rPr>
            </w:pPr>
            <w:r w:rsidRPr="00BB1C07">
              <w:rPr>
                <w:rFonts w:ascii="Open Sans" w:hAnsi="Open Sans" w:cs="Open Sans"/>
                <w:color w:val="37246A" w:themeColor="text2"/>
                <w:sz w:val="18"/>
                <w:szCs w:val="20"/>
              </w:rPr>
              <w:t>Enhancing reputation</w:t>
            </w:r>
          </w:p>
          <w:p w14:paraId="6EB19AAD" w14:textId="5995A0CA" w:rsidR="00BB1C07" w:rsidRPr="00BB1C07" w:rsidRDefault="00BB1C07" w:rsidP="00BB1C07">
            <w:pPr>
              <w:spacing w:before="120" w:after="120" w:line="240" w:lineRule="auto"/>
              <w:jc w:val="both"/>
              <w:rPr>
                <w:rFonts w:ascii="Open Sans" w:hAnsi="Open Sans" w:cs="Open Sans"/>
                <w:color w:val="37246A" w:themeColor="text2"/>
                <w:sz w:val="18"/>
                <w:szCs w:val="20"/>
              </w:rPr>
            </w:pPr>
            <w:r>
              <w:rPr>
                <w:rFonts w:ascii="Open Sans" w:hAnsi="Open Sans" w:cs="Open Sans"/>
                <w:color w:val="37246A" w:themeColor="text2"/>
                <w:sz w:val="18"/>
                <w:szCs w:val="20"/>
              </w:rPr>
              <w:t>Are these reasons equal? Do any of them present a higher audit risk?</w:t>
            </w:r>
          </w:p>
        </w:tc>
      </w:tr>
    </w:tbl>
    <w:p w14:paraId="66B7B53A" w14:textId="73F39935" w:rsidR="00E111C4" w:rsidRDefault="00A227D0" w:rsidP="00A227D0">
      <w:pPr>
        <w:spacing w:before="120" w:after="120" w:line="360" w:lineRule="auto"/>
        <w:jc w:val="both"/>
        <w:rPr>
          <w:rFonts w:ascii="Open Sans" w:hAnsi="Open Sans" w:cs="Open Sans"/>
          <w:sz w:val="20"/>
          <w:szCs w:val="20"/>
        </w:rPr>
      </w:pPr>
      <w:r>
        <w:rPr>
          <w:rFonts w:ascii="Open Sans" w:hAnsi="Open Sans" w:cs="Open Sans"/>
          <w:sz w:val="20"/>
          <w:szCs w:val="20"/>
        </w:rPr>
        <w:t>Has the company outperformed their peers and established sufficient evidence that the growth prospects of the company are favorable? Is the management team and their advisors capable and committed to taking the company public? Does the firm have an effective control system? Does the firm have sufficient financial controls to meet the requirement to file timely quarterly financial reports?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5"/>
        <w:gridCol w:w="3708"/>
      </w:tblGrid>
      <w:tr w:rsidR="00A227D0" w14:paraId="5C896B44" w14:textId="77777777" w:rsidTr="00FC37FF">
        <w:tc>
          <w:tcPr>
            <w:tcW w:w="5925" w:type="dxa"/>
            <w:tcBorders>
              <w:top w:val="single" w:sz="12" w:space="0" w:color="auto"/>
              <w:left w:val="single" w:sz="12" w:space="0" w:color="auto"/>
              <w:bottom w:val="single" w:sz="12" w:space="0" w:color="auto"/>
              <w:right w:val="single" w:sz="12" w:space="0" w:color="auto"/>
            </w:tcBorders>
          </w:tcPr>
          <w:p w14:paraId="24450032" w14:textId="6E0457DB" w:rsidR="00A227D0" w:rsidRDefault="00FC37FF" w:rsidP="00E56061">
            <w:pPr>
              <w:spacing w:before="120" w:after="120" w:line="240" w:lineRule="auto"/>
              <w:jc w:val="both"/>
              <w:rPr>
                <w:rFonts w:ascii="Open Sans" w:hAnsi="Open Sans" w:cs="Open Sans"/>
                <w:sz w:val="20"/>
                <w:szCs w:val="20"/>
              </w:rPr>
            </w:pPr>
            <w:r w:rsidRPr="00FC37FF">
              <w:rPr>
                <w:rFonts w:ascii="Open Sans" w:hAnsi="Open Sans" w:cs="Open Sans"/>
                <w:b/>
                <w:i/>
                <w:color w:val="37246A" w:themeColor="text2"/>
                <w:sz w:val="18"/>
                <w:szCs w:val="20"/>
              </w:rPr>
              <w:lastRenderedPageBreak/>
              <w:t>An example from Groupon</w:t>
            </w:r>
            <w:r>
              <w:rPr>
                <w:rFonts w:ascii="Open Sans" w:hAnsi="Open Sans" w:cs="Open Sans"/>
                <w:b/>
                <w:i/>
                <w:color w:val="37246A" w:themeColor="text2"/>
                <w:sz w:val="18"/>
                <w:szCs w:val="20"/>
              </w:rPr>
              <w:t>’s S-1 filing</w:t>
            </w:r>
            <w:r w:rsidRPr="00FC37FF">
              <w:rPr>
                <w:rFonts w:ascii="Open Sans" w:hAnsi="Open Sans" w:cs="Open Sans"/>
                <w:b/>
                <w:i/>
                <w:color w:val="37246A" w:themeColor="text2"/>
                <w:sz w:val="18"/>
                <w:szCs w:val="20"/>
              </w:rPr>
              <w:t>:</w:t>
            </w:r>
            <w:r>
              <w:rPr>
                <w:rFonts w:ascii="Open Sans" w:hAnsi="Open Sans" w:cs="Open Sans"/>
                <w:i/>
                <w:color w:val="37246A" w:themeColor="text2"/>
                <w:sz w:val="18"/>
                <w:szCs w:val="20"/>
              </w:rPr>
              <w:t xml:space="preserve"> </w:t>
            </w:r>
            <w:r w:rsidRPr="00FC37FF">
              <w:rPr>
                <w:rFonts w:ascii="Open Sans" w:hAnsi="Open Sans" w:cs="Open Sans"/>
                <w:i/>
                <w:color w:val="37246A" w:themeColor="text2"/>
                <w:sz w:val="18"/>
                <w:szCs w:val="20"/>
              </w:rPr>
              <w:t>Jason E. Child</w:t>
            </w:r>
            <w:r w:rsidRPr="00FC37FF">
              <w:rPr>
                <w:rFonts w:ascii="Open Sans" w:hAnsi="Open Sans" w:cs="Open Sans"/>
                <w:color w:val="37246A" w:themeColor="text2"/>
                <w:sz w:val="18"/>
                <w:szCs w:val="20"/>
              </w:rPr>
              <w:t xml:space="preserve"> has served as our Chief Financial Officer since December 2010. From March 1999 through December 2010, Mr. Child held several positions with Amazon.com, Inc. (NASDAQ: AMZN), including Vice President of Finance, International from April 2007 to December 2010, Vice President of Finance, Asia from July 2006 to July 2007, Director of Finance, Amazon Germany from April 2004 to July 2006, Director of Investor Relations from April 2003 to April 2004, Director of Finance, Worldwide Application Software from November 2001 to April 2003, Director of Finance, Marketing and Business Development from November 2000 to November 2001 and Global Controller from October 1999 to November 2000. Prior to joining Amazon.com, Mr. Child spent more than seven years as a C.P.A. and a consulting manager at Arthur Andersen. Mr. Child received his Bachelor of Arts from the Foster School of Business at the University of Washington.</w:t>
            </w:r>
          </w:p>
        </w:tc>
        <w:tc>
          <w:tcPr>
            <w:tcW w:w="3708" w:type="dxa"/>
            <w:tcBorders>
              <w:left w:val="single" w:sz="12" w:space="0" w:color="auto"/>
            </w:tcBorders>
          </w:tcPr>
          <w:p w14:paraId="70C938FF" w14:textId="33AC315B" w:rsidR="00A227D0" w:rsidRDefault="00FC37FF" w:rsidP="00E56061">
            <w:pPr>
              <w:spacing w:before="120" w:after="120" w:line="360" w:lineRule="auto"/>
              <w:jc w:val="both"/>
              <w:rPr>
                <w:rFonts w:ascii="Open Sans" w:hAnsi="Open Sans" w:cs="Open Sans"/>
                <w:sz w:val="20"/>
                <w:szCs w:val="20"/>
              </w:rPr>
            </w:pPr>
            <w:r>
              <w:rPr>
                <w:rFonts w:ascii="Open Sans" w:hAnsi="Open Sans" w:cs="Open Sans"/>
                <w:sz w:val="20"/>
                <w:szCs w:val="20"/>
              </w:rPr>
              <w:t>Many of these questions are answered by the client by engaging professional services, including</w:t>
            </w:r>
            <w:r w:rsidR="001E52E9">
              <w:rPr>
                <w:rFonts w:ascii="Open Sans" w:hAnsi="Open Sans" w:cs="Open Sans"/>
                <w:sz w:val="20"/>
                <w:szCs w:val="20"/>
              </w:rPr>
              <w:t xml:space="preserve"> the services of an audit firm.</w:t>
            </w:r>
          </w:p>
          <w:p w14:paraId="062535B1" w14:textId="0A44C039" w:rsidR="00FC37FF" w:rsidRDefault="00FC37FF" w:rsidP="00E56061">
            <w:pPr>
              <w:spacing w:before="120" w:after="120" w:line="360" w:lineRule="auto"/>
              <w:jc w:val="both"/>
              <w:rPr>
                <w:rFonts w:ascii="Open Sans" w:hAnsi="Open Sans" w:cs="Open Sans"/>
                <w:sz w:val="20"/>
                <w:szCs w:val="20"/>
              </w:rPr>
            </w:pPr>
            <w:r>
              <w:rPr>
                <w:rFonts w:ascii="Open Sans" w:hAnsi="Open Sans" w:cs="Open Sans"/>
                <w:sz w:val="20"/>
                <w:szCs w:val="20"/>
              </w:rPr>
              <w:t>Another trend that is observed prior to the IPO are changes in the management and advisors with an increase in individuals who have public firm experience.</w:t>
            </w:r>
          </w:p>
        </w:tc>
      </w:tr>
    </w:tbl>
    <w:p w14:paraId="718A7B3D" w14:textId="49CF95B4" w:rsidR="00A227D0" w:rsidRDefault="00C207B5" w:rsidP="00C207B5">
      <w:pPr>
        <w:spacing w:before="120" w:after="120" w:line="360" w:lineRule="auto"/>
        <w:jc w:val="both"/>
        <w:rPr>
          <w:rFonts w:ascii="Open Sans" w:hAnsi="Open Sans" w:cs="Open Sans"/>
          <w:sz w:val="20"/>
          <w:szCs w:val="20"/>
        </w:rPr>
      </w:pPr>
      <w:r w:rsidRPr="00C207B5">
        <w:rPr>
          <w:rFonts w:ascii="Open Sans" w:eastAsiaTheme="majorEastAsia" w:hAnsi="Open Sans" w:cs="Open Sans"/>
          <w:b/>
          <w:bCs/>
          <w:smallCaps/>
          <w:color w:val="33006F"/>
          <w:szCs w:val="28"/>
        </w:rPr>
        <w:t>What are the benefits of being a public firm?</w:t>
      </w:r>
      <w:r>
        <w:rPr>
          <w:rFonts w:ascii="Open Sans" w:hAnsi="Open Sans" w:cs="Open Sans"/>
          <w:sz w:val="20"/>
          <w:szCs w:val="20"/>
        </w:rPr>
        <w:t xml:space="preserve"> </w:t>
      </w:r>
      <w:r w:rsidRPr="00C207B5">
        <w:rPr>
          <w:rFonts w:ascii="Open Sans" w:hAnsi="Open Sans" w:cs="Open Sans"/>
          <w:sz w:val="20"/>
          <w:szCs w:val="20"/>
        </w:rPr>
        <w:t>Being a public firm provides significant strategic, financial, legal, and economic benefits</w:t>
      </w:r>
      <w:r>
        <w:rPr>
          <w:rFonts w:ascii="Open Sans" w:hAnsi="Open Sans" w:cs="Open Sans"/>
          <w:sz w:val="20"/>
          <w:szCs w:val="20"/>
        </w:rPr>
        <w:t xml:space="preserve"> to both the firm and owners. </w:t>
      </w:r>
      <w:r w:rsidRPr="00C207B5">
        <w:rPr>
          <w:rFonts w:ascii="Open Sans" w:hAnsi="Open Sans" w:cs="Open Sans"/>
          <w:sz w:val="20"/>
          <w:szCs w:val="20"/>
        </w:rPr>
        <w:t>Depending on the needs of the firm and the owners different benefits may be more important than others.  The firm also obtains some economic benefits indirectly t</w:t>
      </w:r>
      <w:r>
        <w:rPr>
          <w:rFonts w:ascii="Open Sans" w:hAnsi="Open Sans" w:cs="Open Sans"/>
          <w:sz w:val="20"/>
          <w:szCs w:val="20"/>
        </w:rPr>
        <w:t xml:space="preserve">hrough benefits to the owners. </w:t>
      </w:r>
      <w:r w:rsidRPr="00C207B5">
        <w:rPr>
          <w:rFonts w:ascii="Open Sans" w:hAnsi="Open Sans" w:cs="Open Sans"/>
          <w:sz w:val="20"/>
          <w:szCs w:val="20"/>
        </w:rPr>
        <w:t>If the value of owner interest can be increased through increased marketability or decreased risk this will lower the cost of capital to the firm.</w:t>
      </w:r>
    </w:p>
    <w:p w14:paraId="05D36339" w14:textId="5921A50A" w:rsidR="00C207B5" w:rsidRP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b/>
          <w:sz w:val="20"/>
          <w:szCs w:val="20"/>
        </w:rPr>
        <w:t>Benefits to the owner:</w:t>
      </w:r>
      <w:r>
        <w:rPr>
          <w:rFonts w:ascii="Open Sans" w:hAnsi="Open Sans" w:cs="Open Sans"/>
          <w:sz w:val="20"/>
          <w:szCs w:val="20"/>
        </w:rPr>
        <w:t xml:space="preserve"> </w:t>
      </w:r>
      <w:r w:rsidRPr="00C207B5">
        <w:rPr>
          <w:rFonts w:ascii="Open Sans" w:hAnsi="Open Sans" w:cs="Open Sans"/>
          <w:sz w:val="20"/>
          <w:szCs w:val="20"/>
        </w:rPr>
        <w:t xml:space="preserve">The owners of a private firm may benefit from the ability to trade their ownership interests on a public market with decreased governmental restriction on trading.  Most owners of private firms have significant portions of their wealth invested in the firm with limited ability to diversify their holdings.  A public market for the stock will allow the owners to liquidate some of their holdings and allow them to better diversify their wealth resulting in decreased risk.   Many IPO’s include secondary offerings where a portion of the shares sold to the public are founder shares in addition to new stock </w:t>
      </w:r>
      <w:r w:rsidR="00356226">
        <w:rPr>
          <w:rFonts w:ascii="Open Sans" w:hAnsi="Open Sans" w:cs="Open Sans"/>
          <w:sz w:val="20"/>
          <w:szCs w:val="20"/>
        </w:rPr>
        <w:t xml:space="preserve">being issued by the firm. </w:t>
      </w:r>
      <w:r w:rsidRPr="00C207B5">
        <w:rPr>
          <w:rFonts w:ascii="Open Sans" w:hAnsi="Open Sans" w:cs="Open Sans"/>
          <w:sz w:val="20"/>
          <w:szCs w:val="20"/>
        </w:rPr>
        <w:t>Owners will also face lower future liquidity risk if they can sell stock when they need cash rather than having to negotiate private sales of stock.</w:t>
      </w:r>
    </w:p>
    <w:p w14:paraId="19821893" w14:textId="61C7F57D" w:rsidR="00C207B5" w:rsidRP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Owners also benefit from the informatio</w:t>
      </w:r>
      <w:r w:rsidR="00356226">
        <w:rPr>
          <w:rFonts w:ascii="Open Sans" w:hAnsi="Open Sans" w:cs="Open Sans"/>
          <w:sz w:val="20"/>
          <w:szCs w:val="20"/>
        </w:rPr>
        <w:t>n environment of a public firm.</w:t>
      </w:r>
      <w:r w:rsidRPr="00C207B5">
        <w:rPr>
          <w:rFonts w:ascii="Open Sans" w:hAnsi="Open Sans" w:cs="Open Sans"/>
          <w:sz w:val="20"/>
          <w:szCs w:val="20"/>
        </w:rPr>
        <w:t xml:space="preserve"> In going public the firm has committed to providing increased public disclosures of information both at the time of the IPO and in the future.  This increased availability of information reduces information asymmetry and decreases risks faced by stockholders.</w:t>
      </w:r>
    </w:p>
    <w:p w14:paraId="5F92E06C" w14:textId="77777777" w:rsid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 xml:space="preserve">A final significant benefit to owners is the availability of a public objective valuation of their ownership interests.  Owners often need to perform estate planning and engage in other personal financial </w:t>
      </w:r>
      <w:r w:rsidRPr="00C207B5">
        <w:rPr>
          <w:rFonts w:ascii="Open Sans" w:hAnsi="Open Sans" w:cs="Open Sans"/>
          <w:sz w:val="20"/>
          <w:szCs w:val="20"/>
        </w:rPr>
        <w:lastRenderedPageBreak/>
        <w:t>transactions.  Often these require estimating the value of their stock holdings.  When the holdings are in a private firm the valuation requires a great deal of estimation and uncertainty.  Having a publicly available frequent transaction price for their stock greatly simplifies estimation of value.</w:t>
      </w:r>
      <w:r>
        <w:rPr>
          <w:rFonts w:ascii="Open Sans" w:hAnsi="Open Sans" w:cs="Open Sans"/>
          <w:sz w:val="20"/>
          <w:szCs w:val="20"/>
        </w:rPr>
        <w:t xml:space="preserve"> </w:t>
      </w:r>
    </w:p>
    <w:p w14:paraId="10F6D564" w14:textId="2E725C03" w:rsid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b/>
          <w:sz w:val="20"/>
          <w:szCs w:val="20"/>
        </w:rPr>
        <w:t>Benefits to the firm:</w:t>
      </w:r>
      <w:r>
        <w:rPr>
          <w:rFonts w:ascii="Open Sans" w:hAnsi="Open Sans" w:cs="Open Sans"/>
          <w:sz w:val="20"/>
          <w:szCs w:val="20"/>
        </w:rPr>
        <w:t xml:space="preserve"> </w:t>
      </w:r>
      <w:r w:rsidRPr="00C207B5">
        <w:rPr>
          <w:rFonts w:ascii="Open Sans" w:hAnsi="Open Sans" w:cs="Open Sans"/>
          <w:sz w:val="20"/>
          <w:szCs w:val="20"/>
        </w:rPr>
        <w:t>One of the most significant benefits to firms of being public is access to greatly increased sources of financing.  As a private firm access to equity financing is limited to the personal wealth of owners or to the amount venture capital investors are willing to provide.  By accessing millions of potential investors in the public market the availability of funds is increased by orders of magnitude.  Often this access to increased funding happens over time with the IPO creating an access to markets and follow on stock issues providing greater funding amounts once the public is more familiar with the firm and market prices for the firm are more established.  Often in the period directly after the IPO firms will raise capital using convertible debt instruments.</w:t>
      </w:r>
      <w:r w:rsidR="006F5EB4">
        <w:rPr>
          <w:rFonts w:ascii="Open Sans" w:hAnsi="Open Sans" w:cs="Open Sans"/>
          <w:sz w:val="20"/>
          <w:szCs w:val="20"/>
        </w:rPr>
        <w:t xml:space="preserve"> </w:t>
      </w:r>
      <w:r w:rsidR="006F5EB4" w:rsidRPr="006F5EB4">
        <w:rPr>
          <w:rFonts w:ascii="Open Sans" w:hAnsi="Open Sans" w:cs="Open Sans"/>
          <w:sz w:val="20"/>
          <w:szCs w:val="20"/>
          <w:highlight w:val="yellow"/>
        </w:rPr>
        <w:t>Discussion of the figure.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5616"/>
      </w:tblGrid>
      <w:tr w:rsidR="00A373DE" w14:paraId="4E36146F" w14:textId="77777777" w:rsidTr="005803BE">
        <w:trPr>
          <w:jc w:val="center"/>
        </w:trPr>
        <w:tc>
          <w:tcPr>
            <w:tcW w:w="8248" w:type="dxa"/>
            <w:gridSpan w:val="2"/>
          </w:tcPr>
          <w:p w14:paraId="6EB2D71A" w14:textId="77777777" w:rsidR="00A373DE" w:rsidRPr="009C6099" w:rsidRDefault="00A373DE" w:rsidP="005803BE">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Pr>
                <w:rFonts w:asciiTheme="majorHAnsi" w:hAnsiTheme="majorHAnsi"/>
                <w:b/>
                <w:noProof/>
              </w:rPr>
              <w:t>1</w:t>
            </w:r>
            <w:r>
              <w:rPr>
                <w:rFonts w:asciiTheme="majorHAnsi" w:hAnsiTheme="majorHAnsi"/>
                <w:b/>
              </w:rPr>
              <w:fldChar w:fldCharType="end"/>
            </w:r>
          </w:p>
          <w:p w14:paraId="5DF2FF39" w14:textId="3A245538" w:rsidR="00A373DE" w:rsidRDefault="006F5EB4" w:rsidP="005803BE">
            <w:pPr>
              <w:jc w:val="center"/>
            </w:pPr>
            <w:r w:rsidRPr="006F5EB4">
              <w:rPr>
                <w:rFonts w:ascii="Calibri" w:eastAsia="Calibri" w:hAnsi="Calibri" w:cs="Times New Roman"/>
                <w:b/>
                <w:highlight w:val="yellow"/>
              </w:rPr>
              <w:t>Title for this figure</w:t>
            </w:r>
            <w:r w:rsidR="00A373DE">
              <w:rPr>
                <w:rFonts w:ascii="Calibri" w:eastAsia="Calibri" w:hAnsi="Calibri" w:cs="Times New Roman"/>
                <w:b/>
              </w:rPr>
              <w:t xml:space="preserve"> </w:t>
            </w:r>
          </w:p>
        </w:tc>
      </w:tr>
      <w:tr w:rsidR="00A373DE" w14:paraId="1695FAFE" w14:textId="77777777" w:rsidTr="005803BE">
        <w:trPr>
          <w:trHeight w:val="2844"/>
          <w:jc w:val="center"/>
        </w:trPr>
        <w:tc>
          <w:tcPr>
            <w:tcW w:w="8248" w:type="dxa"/>
            <w:gridSpan w:val="2"/>
          </w:tcPr>
          <w:p w14:paraId="0BBAC14A" w14:textId="64E284A0" w:rsidR="00A373DE" w:rsidRDefault="00A373DE" w:rsidP="005803BE">
            <w:pPr>
              <w:spacing w:before="120" w:after="120" w:line="360" w:lineRule="auto"/>
              <w:jc w:val="center"/>
            </w:pPr>
            <w:r>
              <w:rPr>
                <w:noProof/>
              </w:rPr>
              <w:drawing>
                <wp:inline distT="0" distB="0" distL="0" distR="0" wp14:anchorId="6106E961" wp14:editId="613426B9">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A373DE" w:rsidRPr="009C6099" w14:paraId="44C8B586" w14:textId="77777777" w:rsidTr="005803BE">
        <w:trPr>
          <w:trHeight w:val="85"/>
          <w:jc w:val="center"/>
        </w:trPr>
        <w:tc>
          <w:tcPr>
            <w:tcW w:w="2632" w:type="dxa"/>
            <w:tcBorders>
              <w:bottom w:val="single" w:sz="8" w:space="0" w:color="33006F"/>
            </w:tcBorders>
          </w:tcPr>
          <w:p w14:paraId="12CAA437" w14:textId="77777777" w:rsidR="00A373DE" w:rsidRPr="009C6099" w:rsidRDefault="00A373DE" w:rsidP="005803BE">
            <w:pPr>
              <w:rPr>
                <w:sz w:val="8"/>
              </w:rPr>
            </w:pPr>
          </w:p>
        </w:tc>
        <w:tc>
          <w:tcPr>
            <w:tcW w:w="5616" w:type="dxa"/>
          </w:tcPr>
          <w:p w14:paraId="030A7F77" w14:textId="77777777" w:rsidR="00A373DE" w:rsidRPr="009C6099" w:rsidRDefault="00A373DE" w:rsidP="005803BE">
            <w:pPr>
              <w:rPr>
                <w:sz w:val="8"/>
              </w:rPr>
            </w:pPr>
          </w:p>
        </w:tc>
      </w:tr>
      <w:tr w:rsidR="00A373DE" w:rsidRPr="00AE45C3" w14:paraId="113B45AC" w14:textId="77777777" w:rsidTr="005803BE">
        <w:trPr>
          <w:trHeight w:val="612"/>
          <w:jc w:val="center"/>
        </w:trPr>
        <w:tc>
          <w:tcPr>
            <w:tcW w:w="8248" w:type="dxa"/>
            <w:gridSpan w:val="2"/>
          </w:tcPr>
          <w:p w14:paraId="62E89F7C" w14:textId="7053E5CE" w:rsidR="00A373DE" w:rsidRPr="00AE45C3" w:rsidRDefault="00A373DE" w:rsidP="005803BE">
            <w:pPr>
              <w:spacing w:line="240" w:lineRule="auto"/>
              <w:jc w:val="both"/>
              <w:rPr>
                <w:sz w:val="20"/>
                <w:szCs w:val="20"/>
              </w:rPr>
            </w:pPr>
            <w:r w:rsidRPr="00AE45C3">
              <w:rPr>
                <w:sz w:val="20"/>
                <w:szCs w:val="20"/>
              </w:rPr>
              <w:t xml:space="preserve">Notes: </w:t>
            </w:r>
            <w:r>
              <w:rPr>
                <w:sz w:val="20"/>
                <w:szCs w:val="20"/>
              </w:rPr>
              <w:t xml:space="preserve">Data sourced from </w:t>
            </w:r>
            <w:r w:rsidRPr="00A373DE">
              <w:rPr>
                <w:rFonts w:ascii="Calibri" w:eastAsia="Calibri" w:hAnsi="Calibri" w:cs="Times New Roman"/>
                <w:sz w:val="20"/>
              </w:rPr>
              <w:t>Pitchbook, US PE &amp; VC IPO Trends, 2016 Report.</w:t>
            </w:r>
          </w:p>
        </w:tc>
      </w:tr>
    </w:tbl>
    <w:p w14:paraId="66F87DF0" w14:textId="77777777" w:rsidR="00C207B5" w:rsidRP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 xml:space="preserve">A second benefit to firms is the ability to use their stock as a medium of exchange.  When acquiring other companies a firm has the choice of paying either cash or stock to the existing owners.  In large acquisitions it is desirable to pay for the acquisition in stock because large cash amounts may not be available or may create liquidity and financing issues for the acquirer.  Existing owners in the acquired </w:t>
      </w:r>
      <w:r w:rsidRPr="00C207B5">
        <w:rPr>
          <w:rFonts w:ascii="Open Sans" w:hAnsi="Open Sans" w:cs="Open Sans"/>
          <w:sz w:val="20"/>
          <w:szCs w:val="20"/>
        </w:rPr>
        <w:lastRenderedPageBreak/>
        <w:t>firm may not be willing to take stock in payment if the acquiring firm is not publicly traded and thus the stock is not easily marketable.</w:t>
      </w:r>
    </w:p>
    <w:p w14:paraId="4904E4AA" w14:textId="3DAB638D" w:rsid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A related benefit to firms is the ability to pay employees with stock.  Employees are more willing to accept stock compensation when the stock they receive is marketable.  They can also more easily determine the value of the compensation they are receiving when the stock has a objectively determined market price.  The value of stock options, ESOPS, and other related equity instruments is also more easily determined.  The use of these instruments allows the firm to attract and reward talented employees while retaining cash for other uses.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0"/>
        <w:gridCol w:w="2613"/>
      </w:tblGrid>
      <w:tr w:rsidR="00A373DE" w14:paraId="5DFE5350" w14:textId="77777777" w:rsidTr="00A373DE">
        <w:trPr>
          <w:trHeight w:val="2472"/>
        </w:trPr>
        <w:tc>
          <w:tcPr>
            <w:tcW w:w="7020" w:type="dxa"/>
            <w:tcBorders>
              <w:right w:val="single" w:sz="12" w:space="0" w:color="auto"/>
            </w:tcBorders>
          </w:tcPr>
          <w:p w14:paraId="7D1B722B" w14:textId="6F304A99" w:rsidR="00A373DE" w:rsidRDefault="00A373DE" w:rsidP="00A373DE">
            <w:pPr>
              <w:spacing w:before="120" w:line="360" w:lineRule="auto"/>
              <w:jc w:val="both"/>
              <w:rPr>
                <w:rFonts w:ascii="Open Sans" w:hAnsi="Open Sans" w:cs="Open Sans"/>
                <w:sz w:val="20"/>
                <w:szCs w:val="20"/>
              </w:rPr>
            </w:pPr>
            <w:r w:rsidRPr="00C207B5">
              <w:rPr>
                <w:rFonts w:ascii="Open Sans" w:hAnsi="Open Sans" w:cs="Open Sans"/>
                <w:sz w:val="20"/>
                <w:szCs w:val="20"/>
              </w:rPr>
              <w:t>A final benefit to the IPO is increased public awareness.  The process of an IPO itself can generate significant free publicity for the firm as the financial press carries stories in anticipation of the IPO.  Following the IPO financial analysts may begin following the firm creating increased ongoing awareness and interest.  Being public also creates an aura of creditability that may lead to improvement in terms with suppliers and creditors.</w:t>
            </w:r>
          </w:p>
        </w:tc>
        <w:tc>
          <w:tcPr>
            <w:tcW w:w="2613" w:type="dxa"/>
            <w:tcBorders>
              <w:top w:val="single" w:sz="12" w:space="0" w:color="auto"/>
              <w:left w:val="single" w:sz="12" w:space="0" w:color="auto"/>
              <w:bottom w:val="single" w:sz="12" w:space="0" w:color="auto"/>
              <w:right w:val="single" w:sz="12" w:space="0" w:color="auto"/>
            </w:tcBorders>
          </w:tcPr>
          <w:p w14:paraId="028D44CB" w14:textId="73BF9C79" w:rsidR="00A373DE" w:rsidRPr="00A373DE" w:rsidRDefault="00A373DE" w:rsidP="00A373DE">
            <w:pPr>
              <w:spacing w:before="120" w:after="120" w:line="240" w:lineRule="auto"/>
              <w:jc w:val="both"/>
              <w:rPr>
                <w:rFonts w:ascii="Open Sans" w:hAnsi="Open Sans" w:cs="Open Sans"/>
                <w:color w:val="37246A" w:themeColor="text2"/>
                <w:sz w:val="18"/>
                <w:szCs w:val="20"/>
              </w:rPr>
            </w:pPr>
            <w:r w:rsidRPr="007B5561">
              <w:rPr>
                <w:rFonts w:ascii="Open Sans" w:hAnsi="Open Sans" w:cs="Open Sans"/>
                <w:noProof/>
                <w:color w:val="37246A" w:themeColor="text2"/>
                <w:sz w:val="18"/>
                <w:szCs w:val="20"/>
              </w:rPr>
              <w:drawing>
                <wp:anchor distT="0" distB="0" distL="114300" distR="114300" simplePos="0" relativeHeight="251672576" behindDoc="1" locked="0" layoutInCell="1" allowOverlap="1" wp14:anchorId="00CF1941" wp14:editId="24088963">
                  <wp:simplePos x="0" y="0"/>
                  <wp:positionH relativeFrom="column">
                    <wp:posOffset>-3810</wp:posOffset>
                  </wp:positionH>
                  <wp:positionV relativeFrom="paragraph">
                    <wp:posOffset>79375</wp:posOffset>
                  </wp:positionV>
                  <wp:extent cx="603504" cy="603504"/>
                  <wp:effectExtent l="0" t="0" r="0" b="0"/>
                  <wp:wrapSquare wrapText="bothSides"/>
                  <wp:docPr id="15" name="Graphic 15" descr="Head with G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provider=MicrosoftIcon&amp;fileName=HeadWithGears.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03504" cy="603504"/>
                          </a:xfrm>
                          <a:prstGeom prst="rect">
                            <a:avLst/>
                          </a:prstGeom>
                        </pic:spPr>
                      </pic:pic>
                    </a:graphicData>
                  </a:graphic>
                  <wp14:sizeRelH relativeFrom="margin">
                    <wp14:pctWidth>0</wp14:pctWidth>
                  </wp14:sizeRelH>
                  <wp14:sizeRelV relativeFrom="margin">
                    <wp14:pctHeight>0</wp14:pctHeight>
                  </wp14:sizeRelV>
                </wp:anchor>
              </w:drawing>
            </w:r>
            <w:r w:rsidRPr="00A373DE">
              <w:rPr>
                <w:rFonts w:ascii="Open Sans" w:hAnsi="Open Sans" w:cs="Open Sans"/>
                <w:color w:val="37246A" w:themeColor="text2"/>
                <w:sz w:val="18"/>
                <w:szCs w:val="20"/>
              </w:rPr>
              <w:t>H</w:t>
            </w:r>
            <w:r>
              <w:rPr>
                <w:rFonts w:ascii="Open Sans" w:hAnsi="Open Sans" w:cs="Open Sans"/>
                <w:color w:val="37246A" w:themeColor="text2"/>
                <w:sz w:val="18"/>
                <w:szCs w:val="20"/>
              </w:rPr>
              <w:t xml:space="preserve">ave you heard about the giant Chinese e-retailer </w:t>
            </w:r>
            <w:r w:rsidRPr="00A373DE">
              <w:rPr>
                <w:rFonts w:ascii="Open Sans" w:hAnsi="Open Sans" w:cs="Open Sans"/>
                <w:color w:val="37246A" w:themeColor="text2"/>
                <w:sz w:val="18"/>
                <w:szCs w:val="20"/>
              </w:rPr>
              <w:t>Alibaba?</w:t>
            </w:r>
          </w:p>
          <w:p w14:paraId="20F7D049" w14:textId="78A9F648" w:rsidR="00A373DE" w:rsidRDefault="00A373DE" w:rsidP="00A373DE">
            <w:pPr>
              <w:spacing w:before="120" w:after="120" w:line="240" w:lineRule="auto"/>
              <w:jc w:val="both"/>
              <w:rPr>
                <w:rFonts w:ascii="Open Sans" w:hAnsi="Open Sans" w:cs="Open Sans"/>
                <w:sz w:val="20"/>
                <w:szCs w:val="20"/>
              </w:rPr>
            </w:pPr>
            <w:r>
              <w:rPr>
                <w:rFonts w:ascii="Open Sans" w:hAnsi="Open Sans" w:cs="Open Sans"/>
                <w:color w:val="37246A" w:themeColor="text2"/>
                <w:sz w:val="18"/>
                <w:szCs w:val="20"/>
              </w:rPr>
              <w:t>… Thinking back, h</w:t>
            </w:r>
            <w:r w:rsidRPr="00A373DE">
              <w:rPr>
                <w:rFonts w:ascii="Open Sans" w:hAnsi="Open Sans" w:cs="Open Sans"/>
                <w:color w:val="37246A" w:themeColor="text2"/>
                <w:sz w:val="18"/>
                <w:szCs w:val="20"/>
              </w:rPr>
              <w:t xml:space="preserve">ow much did you know about </w:t>
            </w:r>
            <w:r>
              <w:rPr>
                <w:rFonts w:ascii="Open Sans" w:hAnsi="Open Sans" w:cs="Open Sans"/>
                <w:color w:val="37246A" w:themeColor="text2"/>
                <w:sz w:val="18"/>
                <w:szCs w:val="20"/>
              </w:rPr>
              <w:t>Alibaba</w:t>
            </w:r>
            <w:r w:rsidRPr="00A373DE">
              <w:rPr>
                <w:rFonts w:ascii="Open Sans" w:hAnsi="Open Sans" w:cs="Open Sans"/>
                <w:color w:val="37246A" w:themeColor="text2"/>
                <w:sz w:val="18"/>
                <w:szCs w:val="20"/>
              </w:rPr>
              <w:t xml:space="preserve"> before their IPO?</w:t>
            </w:r>
          </w:p>
        </w:tc>
      </w:tr>
    </w:tbl>
    <w:p w14:paraId="1D20B322" w14:textId="14D29523" w:rsidR="00C207B5" w:rsidRPr="00C207B5" w:rsidRDefault="00C207B5" w:rsidP="00C207B5">
      <w:pPr>
        <w:spacing w:before="120" w:after="120" w:line="360" w:lineRule="auto"/>
        <w:jc w:val="both"/>
        <w:rPr>
          <w:rFonts w:ascii="Open Sans" w:hAnsi="Open Sans" w:cs="Open Sans"/>
          <w:sz w:val="20"/>
          <w:szCs w:val="20"/>
        </w:rPr>
      </w:pPr>
      <w:r w:rsidRPr="00C207B5">
        <w:rPr>
          <w:rFonts w:ascii="Open Sans" w:eastAsiaTheme="majorEastAsia" w:hAnsi="Open Sans" w:cs="Open Sans"/>
          <w:b/>
          <w:bCs/>
          <w:smallCaps/>
          <w:color w:val="33006F"/>
          <w:szCs w:val="28"/>
        </w:rPr>
        <w:t xml:space="preserve">What are the </w:t>
      </w:r>
      <w:r>
        <w:rPr>
          <w:rFonts w:ascii="Open Sans" w:eastAsiaTheme="majorEastAsia" w:hAnsi="Open Sans" w:cs="Open Sans"/>
          <w:b/>
          <w:bCs/>
          <w:smallCaps/>
          <w:color w:val="33006F"/>
          <w:szCs w:val="28"/>
        </w:rPr>
        <w:t>costs</w:t>
      </w:r>
      <w:r w:rsidRPr="00C207B5">
        <w:rPr>
          <w:rFonts w:ascii="Open Sans" w:eastAsiaTheme="majorEastAsia" w:hAnsi="Open Sans" w:cs="Open Sans"/>
          <w:b/>
          <w:bCs/>
          <w:smallCaps/>
          <w:color w:val="33006F"/>
          <w:szCs w:val="28"/>
        </w:rPr>
        <w:t xml:space="preserve"> of being a public firm?</w:t>
      </w:r>
      <w:r>
        <w:rPr>
          <w:rFonts w:ascii="Open Sans" w:eastAsiaTheme="majorEastAsia" w:hAnsi="Open Sans" w:cs="Open Sans"/>
          <w:b/>
          <w:bCs/>
          <w:smallCaps/>
          <w:color w:val="33006F"/>
          <w:szCs w:val="28"/>
        </w:rPr>
        <w:t xml:space="preserve"> </w:t>
      </w:r>
      <w:r w:rsidRPr="00C207B5">
        <w:rPr>
          <w:rFonts w:ascii="Open Sans" w:hAnsi="Open Sans" w:cs="Open Sans"/>
          <w:sz w:val="20"/>
          <w:szCs w:val="20"/>
        </w:rPr>
        <w:t xml:space="preserve">While being a public firm provides many </w:t>
      </w:r>
      <w:r w:rsidR="00A373DE" w:rsidRPr="00C207B5">
        <w:rPr>
          <w:rFonts w:ascii="Open Sans" w:hAnsi="Open Sans" w:cs="Open Sans"/>
          <w:sz w:val="20"/>
          <w:szCs w:val="20"/>
        </w:rPr>
        <w:t>advantages,</w:t>
      </w:r>
      <w:r w:rsidRPr="00C207B5">
        <w:rPr>
          <w:rFonts w:ascii="Open Sans" w:hAnsi="Open Sans" w:cs="Open Sans"/>
          <w:sz w:val="20"/>
          <w:szCs w:val="20"/>
        </w:rPr>
        <w:t xml:space="preserve"> there are also significant costs associated with being public. For the owners of a private firm going public may mean a loss of control over the firm.  The firm must answer to the shareholders and many decisions that previously could be made by the owners now must obtain official board approval.  Owners who are members of executive management also lose a great deal of privacy as compensation and any special arrangements must now be publicly disclosed.  This often leads to the termination of related party transactions (e.g. the firm leasing a facility which is owned by one of the founders as an individual).</w:t>
      </w:r>
    </w:p>
    <w:p w14:paraId="27A99D62" w14:textId="77777777" w:rsidR="00C207B5" w:rsidRP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The process of an IPO itself is expensive.  Significant amounts are paid for improved accounting systems, increased reporting staff, legal counsel, registration and underwriting (6-10% of the issue amount).  One factor that is often not considered is the large time commitment by senior management during the IPO process, which reduces their time spent on other management functions.  Many of these costs may also continue due to the reporting environment of a public firm.</w:t>
      </w:r>
    </w:p>
    <w:p w14:paraId="1745B3A0" w14:textId="0898811A" w:rsid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Significant costs also arise due to the fiduciary responsibilities of management.  As discussed later conflicts of interest become more important when management and ownership are separated.  This creates needs for improved reporting as well as for auditing and assurance services.</w:t>
      </w:r>
    </w:p>
    <w:p w14:paraId="1D27217D" w14:textId="77777777" w:rsidR="00A373DE" w:rsidRDefault="00C779A2" w:rsidP="00C207B5">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lastRenderedPageBreak/>
        <w:t>Is going public the only answer?</w:t>
      </w:r>
      <w:r w:rsidRPr="00744929">
        <w:rPr>
          <w:rFonts w:ascii="Open Sans" w:hAnsi="Open Sans" w:cs="Open Sans"/>
          <w:sz w:val="20"/>
          <w:szCs w:val="20"/>
        </w:rPr>
        <w:t xml:space="preserve"> </w:t>
      </w:r>
      <w:r w:rsidR="00C207B5" w:rsidRPr="00C207B5">
        <w:rPr>
          <w:rFonts w:ascii="Open Sans" w:hAnsi="Open Sans" w:cs="Open Sans"/>
          <w:sz w:val="20"/>
          <w:szCs w:val="20"/>
        </w:rPr>
        <w:t xml:space="preserve">Firms considering an IPO should consider alternatives that may be temporary or permanent.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3693"/>
      </w:tblGrid>
      <w:tr w:rsidR="00A373DE" w14:paraId="7940BE5C" w14:textId="77777777" w:rsidTr="00A373DE">
        <w:trPr>
          <w:trHeight w:val="4533"/>
        </w:trPr>
        <w:tc>
          <w:tcPr>
            <w:tcW w:w="5940" w:type="dxa"/>
            <w:tcBorders>
              <w:right w:val="single" w:sz="12" w:space="0" w:color="auto"/>
            </w:tcBorders>
          </w:tcPr>
          <w:p w14:paraId="445D69A5" w14:textId="77777777" w:rsidR="00A373DE" w:rsidRPr="00C207B5" w:rsidRDefault="00A373DE" w:rsidP="00A373DE">
            <w:pPr>
              <w:spacing w:before="120" w:after="120" w:line="360" w:lineRule="auto"/>
              <w:jc w:val="both"/>
              <w:rPr>
                <w:rFonts w:ascii="Open Sans" w:hAnsi="Open Sans" w:cs="Open Sans"/>
                <w:sz w:val="20"/>
                <w:szCs w:val="20"/>
              </w:rPr>
            </w:pPr>
            <w:r w:rsidRPr="00C207B5">
              <w:rPr>
                <w:rFonts w:ascii="Open Sans" w:hAnsi="Open Sans" w:cs="Open Sans"/>
                <w:sz w:val="20"/>
                <w:szCs w:val="20"/>
              </w:rPr>
              <w:t>I</w:t>
            </w:r>
            <w:r>
              <w:rPr>
                <w:rFonts w:ascii="Open Sans" w:hAnsi="Open Sans" w:cs="Open Sans"/>
                <w:sz w:val="20"/>
                <w:szCs w:val="20"/>
              </w:rPr>
              <w:t>f</w:t>
            </w:r>
            <w:r w:rsidRPr="00C207B5">
              <w:rPr>
                <w:rFonts w:ascii="Open Sans" w:hAnsi="Open Sans" w:cs="Open Sans"/>
                <w:sz w:val="20"/>
                <w:szCs w:val="20"/>
              </w:rPr>
              <w:t xml:space="preserve"> the main goal of the IPO is to obtain capital the firm could consider borrowings, sale/leaseback of owned assets, franchising options, joint ventures, and private placements with venture capital firms.  Private placements are particularly useful for 2nd and 3rd round issues when firms are just not operationally ready to be public, but generally require a commitment to going public soon.</w:t>
            </w:r>
          </w:p>
          <w:p w14:paraId="6188EC87" w14:textId="42DC9E3F" w:rsidR="00A373DE" w:rsidRDefault="00A373DE" w:rsidP="00A373DE">
            <w:pPr>
              <w:spacing w:before="120" w:after="120" w:line="360" w:lineRule="auto"/>
              <w:jc w:val="both"/>
              <w:rPr>
                <w:rFonts w:ascii="Open Sans" w:hAnsi="Open Sans" w:cs="Open Sans"/>
                <w:sz w:val="20"/>
                <w:szCs w:val="20"/>
              </w:rPr>
            </w:pPr>
            <w:r w:rsidRPr="00C207B5">
              <w:rPr>
                <w:rFonts w:ascii="Open Sans" w:hAnsi="Open Sans" w:cs="Open Sans"/>
                <w:sz w:val="20"/>
                <w:szCs w:val="20"/>
              </w:rPr>
              <w:t>One of the most common alternatives to the IPO is to sell the firm to another public firm or to merge with another public firm.  This allows for most of the benefits to be received without going through the IPO process itself.</w:t>
            </w:r>
          </w:p>
        </w:tc>
        <w:tc>
          <w:tcPr>
            <w:tcW w:w="3693" w:type="dxa"/>
            <w:tcBorders>
              <w:top w:val="single" w:sz="12" w:space="0" w:color="auto"/>
              <w:left w:val="single" w:sz="12" w:space="0" w:color="auto"/>
              <w:bottom w:val="single" w:sz="12" w:space="0" w:color="auto"/>
              <w:right w:val="single" w:sz="12" w:space="0" w:color="auto"/>
            </w:tcBorders>
          </w:tcPr>
          <w:p w14:paraId="12253DFD" w14:textId="2EE31AB0" w:rsidR="00A373DE" w:rsidRPr="00A373DE" w:rsidRDefault="00A373DE" w:rsidP="00A373DE">
            <w:pPr>
              <w:spacing w:before="120" w:after="120" w:line="240" w:lineRule="auto"/>
              <w:jc w:val="both"/>
              <w:rPr>
                <w:rFonts w:ascii="Open Sans" w:hAnsi="Open Sans" w:cs="Open Sans"/>
                <w:color w:val="37246A" w:themeColor="text2"/>
                <w:sz w:val="18"/>
                <w:szCs w:val="20"/>
              </w:rPr>
            </w:pPr>
            <w:r>
              <w:rPr>
                <w:rFonts w:ascii="Open Sans" w:hAnsi="Open Sans" w:cs="Open Sans"/>
                <w:noProof/>
                <w:color w:val="37246A" w:themeColor="text2"/>
                <w:sz w:val="18"/>
                <w:szCs w:val="20"/>
              </w:rPr>
              <w:drawing>
                <wp:anchor distT="0" distB="0" distL="114300" distR="114300" simplePos="0" relativeHeight="251673600" behindDoc="0" locked="0" layoutInCell="1" allowOverlap="1" wp14:anchorId="53465E76" wp14:editId="47D6BBA3">
                  <wp:simplePos x="0" y="0"/>
                  <wp:positionH relativeFrom="column">
                    <wp:posOffset>0</wp:posOffset>
                  </wp:positionH>
                  <wp:positionV relativeFrom="paragraph">
                    <wp:posOffset>76835</wp:posOffset>
                  </wp:positionV>
                  <wp:extent cx="603250" cy="603250"/>
                  <wp:effectExtent l="0" t="0" r="0" b="635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pic:spPr>
                      </pic:pic>
                    </a:graphicData>
                  </a:graphic>
                  <wp14:sizeRelH relativeFrom="page">
                    <wp14:pctWidth>0</wp14:pctWidth>
                  </wp14:sizeRelH>
                  <wp14:sizeRelV relativeFrom="page">
                    <wp14:pctHeight>0</wp14:pctHeight>
                  </wp14:sizeRelV>
                </wp:anchor>
              </w:drawing>
            </w:r>
            <w:r>
              <w:rPr>
                <w:rFonts w:ascii="Open Sans" w:hAnsi="Open Sans" w:cs="Open Sans"/>
                <w:color w:val="37246A" w:themeColor="text2"/>
                <w:sz w:val="18"/>
                <w:szCs w:val="20"/>
              </w:rPr>
              <w:t>“</w:t>
            </w:r>
            <w:r w:rsidRPr="00A373DE">
              <w:rPr>
                <w:rFonts w:ascii="Open Sans" w:hAnsi="Open Sans" w:cs="Open Sans"/>
                <w:color w:val="37246A" w:themeColor="text2"/>
                <w:sz w:val="18"/>
                <w:szCs w:val="20"/>
              </w:rPr>
              <w:t>Amazon.com Inc., the Seattle upstart that made a splashy business out of selling books over the Internet, filed for an initial public offering that values the company at almost $300 million.</w:t>
            </w:r>
            <w:r>
              <w:rPr>
                <w:rFonts w:ascii="Open Sans" w:hAnsi="Open Sans" w:cs="Open Sans"/>
                <w:color w:val="37246A" w:themeColor="text2"/>
                <w:sz w:val="18"/>
                <w:szCs w:val="20"/>
              </w:rPr>
              <w:t xml:space="preserve"> </w:t>
            </w:r>
            <w:r w:rsidRPr="00A373DE">
              <w:rPr>
                <w:rFonts w:ascii="Open Sans" w:hAnsi="Open Sans" w:cs="Open Sans"/>
                <w:color w:val="37246A" w:themeColor="text2"/>
                <w:sz w:val="18"/>
                <w:szCs w:val="20"/>
              </w:rPr>
              <w:t>Not bad for a three-year-old company that says profit isn't yet in sight.</w:t>
            </w:r>
          </w:p>
          <w:p w14:paraId="39C7D8BD" w14:textId="3B0AD8FA" w:rsidR="00A373DE" w:rsidRPr="00A373DE" w:rsidRDefault="00A373DE" w:rsidP="00A373DE">
            <w:pPr>
              <w:spacing w:before="120" w:after="120" w:line="240" w:lineRule="auto"/>
              <w:jc w:val="both"/>
              <w:rPr>
                <w:rFonts w:ascii="Open Sans" w:hAnsi="Open Sans" w:cs="Open Sans"/>
                <w:color w:val="37246A" w:themeColor="text2"/>
                <w:sz w:val="18"/>
                <w:szCs w:val="20"/>
              </w:rPr>
            </w:pPr>
            <w:r w:rsidRPr="00A373DE">
              <w:rPr>
                <w:rFonts w:ascii="Open Sans" w:hAnsi="Open Sans" w:cs="Open Sans"/>
                <w:color w:val="37246A" w:themeColor="text2"/>
                <w:sz w:val="18"/>
                <w:szCs w:val="20"/>
              </w:rPr>
              <w:t>Amazon plans to raise about $37 million by selling as many as 2.9 million shares at as much as $13 a share, according to a registration statement filed with the Securities and Exchange Commission.</w:t>
            </w:r>
            <w:r>
              <w:rPr>
                <w:rFonts w:ascii="Open Sans" w:hAnsi="Open Sans" w:cs="Open Sans"/>
                <w:color w:val="37246A" w:themeColor="text2"/>
                <w:sz w:val="18"/>
                <w:szCs w:val="20"/>
              </w:rPr>
              <w:t>”</w:t>
            </w:r>
          </w:p>
          <w:p w14:paraId="42D29C77" w14:textId="77777777" w:rsidR="00A373DE" w:rsidRPr="00A373DE" w:rsidRDefault="00A373DE" w:rsidP="00A373DE">
            <w:pPr>
              <w:spacing w:before="120" w:after="120" w:line="240" w:lineRule="auto"/>
              <w:jc w:val="both"/>
              <w:rPr>
                <w:rFonts w:ascii="Open Sans" w:hAnsi="Open Sans" w:cs="Open Sans"/>
                <w:color w:val="37246A" w:themeColor="text2"/>
                <w:sz w:val="18"/>
                <w:szCs w:val="20"/>
              </w:rPr>
            </w:pPr>
            <w:r w:rsidRPr="00A373DE">
              <w:rPr>
                <w:rFonts w:ascii="Open Sans" w:hAnsi="Open Sans" w:cs="Open Sans"/>
                <w:color w:val="37246A" w:themeColor="text2"/>
                <w:sz w:val="18"/>
                <w:szCs w:val="20"/>
              </w:rPr>
              <w:t>-</w:t>
            </w:r>
            <w:r w:rsidRPr="00A373DE">
              <w:rPr>
                <w:rFonts w:ascii="Open Sans" w:hAnsi="Open Sans" w:cs="Open Sans"/>
                <w:i/>
                <w:color w:val="37246A" w:themeColor="text2"/>
                <w:sz w:val="18"/>
                <w:szCs w:val="20"/>
              </w:rPr>
              <w:t>WSJ</w:t>
            </w:r>
            <w:r w:rsidRPr="00A373DE">
              <w:rPr>
                <w:rFonts w:ascii="Open Sans" w:hAnsi="Open Sans" w:cs="Open Sans"/>
                <w:color w:val="37246A" w:themeColor="text2"/>
                <w:sz w:val="18"/>
                <w:szCs w:val="20"/>
              </w:rPr>
              <w:t>, March 25, 1997, G. Bruce Knecht</w:t>
            </w:r>
          </w:p>
          <w:p w14:paraId="20FBDC57" w14:textId="592B1091" w:rsidR="00A373DE" w:rsidRDefault="00A373DE" w:rsidP="00A373DE">
            <w:pPr>
              <w:spacing w:before="120" w:after="120" w:line="240" w:lineRule="auto"/>
              <w:jc w:val="both"/>
              <w:rPr>
                <w:rFonts w:ascii="Open Sans" w:hAnsi="Open Sans" w:cs="Open Sans"/>
                <w:sz w:val="20"/>
                <w:szCs w:val="20"/>
              </w:rPr>
            </w:pPr>
            <w:r w:rsidRPr="00A373DE">
              <w:rPr>
                <w:rFonts w:ascii="Open Sans" w:hAnsi="Open Sans" w:cs="Open Sans"/>
                <w:color w:val="37246A" w:themeColor="text2"/>
                <w:sz w:val="18"/>
                <w:szCs w:val="20"/>
              </w:rPr>
              <w:t>Why did Amazon take part in an IPO in 1997?  Was it to raise the money?</w:t>
            </w:r>
          </w:p>
        </w:tc>
      </w:tr>
    </w:tbl>
    <w:p w14:paraId="79B83DCC" w14:textId="6DBD0D8B" w:rsidR="00C207B5" w:rsidRPr="00C207B5"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I</w:t>
      </w:r>
      <w:r w:rsidR="00A373DE">
        <w:rPr>
          <w:rFonts w:ascii="Open Sans" w:hAnsi="Open Sans" w:cs="Open Sans"/>
          <w:sz w:val="20"/>
          <w:szCs w:val="20"/>
        </w:rPr>
        <w:t>f</w:t>
      </w:r>
      <w:r w:rsidRPr="00C207B5">
        <w:rPr>
          <w:rFonts w:ascii="Open Sans" w:hAnsi="Open Sans" w:cs="Open Sans"/>
          <w:sz w:val="20"/>
          <w:szCs w:val="20"/>
        </w:rPr>
        <w:t xml:space="preserve"> the main goal of the IPO is to obtain capital the firm could consider borrowings, sale/leaseback of owned assets, franchising options, joint ventures, and private placements with venture capital firms.  Private placements are particularly useful for 2nd and 3rd round issues when firms are just not operationally ready to be public, but generally require a commitment to going public </w:t>
      </w:r>
      <w:r w:rsidR="00356226" w:rsidRPr="00C207B5">
        <w:rPr>
          <w:rFonts w:ascii="Open Sans" w:hAnsi="Open Sans" w:cs="Open Sans"/>
          <w:sz w:val="20"/>
          <w:szCs w:val="20"/>
        </w:rPr>
        <w:t>soon</w:t>
      </w:r>
      <w:r w:rsidRPr="00C207B5">
        <w:rPr>
          <w:rFonts w:ascii="Open Sans" w:hAnsi="Open Sans" w:cs="Open Sans"/>
          <w:sz w:val="20"/>
          <w:szCs w:val="20"/>
        </w:rPr>
        <w:t>.</w:t>
      </w:r>
    </w:p>
    <w:p w14:paraId="3811406C" w14:textId="1FAE5A0A" w:rsidR="00C779A2" w:rsidRDefault="00C207B5" w:rsidP="00C207B5">
      <w:pPr>
        <w:spacing w:before="120" w:after="120" w:line="360" w:lineRule="auto"/>
        <w:jc w:val="both"/>
        <w:rPr>
          <w:rFonts w:ascii="Open Sans" w:hAnsi="Open Sans" w:cs="Open Sans"/>
          <w:sz w:val="20"/>
          <w:szCs w:val="20"/>
        </w:rPr>
      </w:pPr>
      <w:r w:rsidRPr="00C207B5">
        <w:rPr>
          <w:rFonts w:ascii="Open Sans" w:hAnsi="Open Sans" w:cs="Open Sans"/>
          <w:sz w:val="20"/>
          <w:szCs w:val="20"/>
        </w:rPr>
        <w:t xml:space="preserve">One of the most common alternatives to the IPO is to sell the firm to another public firm or to merge with another public firm.  This allows for </w:t>
      </w:r>
      <w:r w:rsidR="00356226" w:rsidRPr="00C207B5">
        <w:rPr>
          <w:rFonts w:ascii="Open Sans" w:hAnsi="Open Sans" w:cs="Open Sans"/>
          <w:sz w:val="20"/>
          <w:szCs w:val="20"/>
        </w:rPr>
        <w:t>most of</w:t>
      </w:r>
      <w:r w:rsidRPr="00C207B5">
        <w:rPr>
          <w:rFonts w:ascii="Open Sans" w:hAnsi="Open Sans" w:cs="Open Sans"/>
          <w:sz w:val="20"/>
          <w:szCs w:val="20"/>
        </w:rPr>
        <w:t xml:space="preserve"> the benefits to be received without going through the IPO process itself.</w:t>
      </w:r>
    </w:p>
    <w:p w14:paraId="651EF5B0" w14:textId="0D4A4E0F" w:rsidR="001F5FB0" w:rsidRPr="001F5FB0" w:rsidRDefault="001F5FB0" w:rsidP="001F5FB0">
      <w:pPr>
        <w:pStyle w:val="Heading1"/>
        <w:rPr>
          <w:rFonts w:ascii="Open Sans" w:hAnsi="Open Sans" w:cs="Open Sans"/>
          <w:smallCaps/>
          <w:color w:val="33006F"/>
        </w:rPr>
      </w:pPr>
      <w:r w:rsidRPr="001F5FB0">
        <w:rPr>
          <w:rFonts w:ascii="Open Sans" w:hAnsi="Open Sans" w:cs="Open Sans"/>
          <w:smallCaps/>
          <w:color w:val="33006F"/>
        </w:rPr>
        <w:t>fundamental differences between private and public companies</w:t>
      </w:r>
    </w:p>
    <w:p w14:paraId="321443FF" w14:textId="12E6F4E5" w:rsidR="00BC2B5F" w:rsidRDefault="00BC2B5F" w:rsidP="00BC2B5F">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 xml:space="preserve">There are fundamental differences between private and public companies </w:t>
      </w:r>
      <w:r w:rsidRPr="00356226">
        <w:rPr>
          <w:rFonts w:ascii="Open Sans" w:hAnsi="Open Sans" w:cs="Open Sans"/>
          <w:sz w:val="20"/>
          <w:szCs w:val="20"/>
        </w:rPr>
        <w:t>that make going IPO a unique situation for many accounts that use share-based information</w:t>
      </w:r>
      <w:r w:rsidR="00C207B5" w:rsidRPr="00356226">
        <w:rPr>
          <w:rFonts w:ascii="Open Sans" w:hAnsi="Open Sans" w:cs="Open Sans"/>
          <w:sz w:val="20"/>
          <w:szCs w:val="20"/>
        </w:rPr>
        <w:t xml:space="preserve"> and auditors who provide assurance over estimates using share-based information</w:t>
      </w:r>
      <w:r w:rsidRPr="00356226">
        <w:rPr>
          <w:rFonts w:ascii="Open Sans" w:hAnsi="Open Sans" w:cs="Open Sans"/>
          <w:sz w:val="20"/>
          <w:szCs w:val="20"/>
        </w:rPr>
        <w:t>.</w:t>
      </w:r>
      <w:r>
        <w:rPr>
          <w:rFonts w:ascii="Open Sans" w:hAnsi="Open Sans" w:cs="Open Sans"/>
          <w:sz w:val="20"/>
          <w:szCs w:val="20"/>
        </w:rPr>
        <w:t xml:space="preserve"> </w:t>
      </w:r>
    </w:p>
    <w:p w14:paraId="2CAB06C8" w14:textId="67D7F0CC" w:rsidR="00954123" w:rsidRDefault="00BC2B5F" w:rsidP="0017534F">
      <w:pPr>
        <w:spacing w:before="120" w:after="120" w:line="360" w:lineRule="auto"/>
        <w:jc w:val="both"/>
        <w:rPr>
          <w:rFonts w:ascii="Open Sans" w:hAnsi="Open Sans" w:cs="Open Sans"/>
          <w:sz w:val="20"/>
          <w:szCs w:val="20"/>
        </w:rPr>
      </w:pPr>
      <w:r w:rsidRPr="00BC2B5F">
        <w:rPr>
          <w:rFonts w:ascii="Open Sans" w:eastAsiaTheme="majorEastAsia" w:hAnsi="Open Sans" w:cs="Open Sans"/>
          <w:b/>
          <w:bCs/>
          <w:smallCaps/>
          <w:color w:val="33006F"/>
          <w:szCs w:val="28"/>
        </w:rPr>
        <w:t>A spotlight on share-based valuation:</w:t>
      </w:r>
      <w:r>
        <w:rPr>
          <w:rFonts w:ascii="Open Sans" w:hAnsi="Open Sans" w:cs="Open Sans"/>
          <w:sz w:val="20"/>
          <w:szCs w:val="20"/>
        </w:rPr>
        <w:t xml:space="preserve"> </w:t>
      </w:r>
      <w:r w:rsidR="00356226" w:rsidRPr="00356226">
        <w:rPr>
          <w:rFonts w:ascii="Open Sans" w:hAnsi="Open Sans" w:cs="Open Sans"/>
          <w:sz w:val="20"/>
          <w:szCs w:val="20"/>
        </w:rPr>
        <w:t>There are two concern</w:t>
      </w:r>
      <w:r w:rsidR="00356226">
        <w:rPr>
          <w:rFonts w:ascii="Open Sans" w:hAnsi="Open Sans" w:cs="Open Sans"/>
          <w:sz w:val="20"/>
          <w:szCs w:val="20"/>
        </w:rPr>
        <w:t>s</w:t>
      </w:r>
      <w:r w:rsidR="00356226" w:rsidRPr="00356226">
        <w:rPr>
          <w:rFonts w:ascii="Open Sans" w:hAnsi="Open Sans" w:cs="Open Sans"/>
          <w:sz w:val="20"/>
          <w:szCs w:val="20"/>
        </w:rPr>
        <w:t xml:space="preserve"> regarding differences in the valuation of public and private firms.  The first is the methodology available to determine the value of the firm.  For public firms the stock price is observable on the public market.  For private firms the stock value must be </w:t>
      </w:r>
      <w:r w:rsidR="00356226" w:rsidRPr="00356226">
        <w:rPr>
          <w:rFonts w:ascii="Open Sans" w:hAnsi="Open Sans" w:cs="Open Sans"/>
          <w:sz w:val="20"/>
          <w:szCs w:val="20"/>
        </w:rPr>
        <w:lastRenderedPageBreak/>
        <w:t>estimated using unobservable measures (discounting estimated future cash flows) or using comparable publicly traded firms to provide indications of value. The second concern is differences in underlying value to the buyer of equity interests. Determining the value of equity is important to accountants and auditors because the stock price is an input to other valuations (employee stock options for example) as well as a component of many decisions (impairment of equity method investments, qualified vs. non-qualified stock options, etc.).</w:t>
      </w:r>
    </w:p>
    <w:p w14:paraId="72B4525C" w14:textId="6553B670" w:rsidR="00356226" w:rsidRPr="00356226" w:rsidRDefault="00356226" w:rsidP="00356226">
      <w:pPr>
        <w:spacing w:before="120" w:after="120" w:line="360" w:lineRule="auto"/>
        <w:jc w:val="both"/>
        <w:rPr>
          <w:rFonts w:ascii="Open Sans" w:hAnsi="Open Sans" w:cs="Open Sans"/>
          <w:sz w:val="20"/>
          <w:szCs w:val="20"/>
        </w:rPr>
      </w:pPr>
      <w:r w:rsidRPr="00356226">
        <w:rPr>
          <w:rFonts w:ascii="Open Sans" w:hAnsi="Open Sans" w:cs="Open Sans"/>
          <w:b/>
          <w:sz w:val="20"/>
          <w:szCs w:val="20"/>
        </w:rPr>
        <w:t>Comparable values:</w:t>
      </w:r>
      <w:r>
        <w:rPr>
          <w:rFonts w:ascii="Open Sans" w:hAnsi="Open Sans" w:cs="Open Sans"/>
          <w:sz w:val="20"/>
          <w:szCs w:val="20"/>
        </w:rPr>
        <w:t xml:space="preserve"> </w:t>
      </w:r>
      <w:r w:rsidRPr="00356226">
        <w:rPr>
          <w:rFonts w:ascii="Open Sans" w:hAnsi="Open Sans" w:cs="Open Sans"/>
          <w:sz w:val="20"/>
          <w:szCs w:val="20"/>
        </w:rPr>
        <w:t>Two major and counteracting influences have been recognized that impact the value of private firms as compared to public firms.  The first influence is the control premium.  When comparing the value of ownership stakes a controlling interest may allow the acquiring firm to improve the operations of the acquired firm is they are not currently optimal.  A study by Willamette Associates covering acquisitions from 1990-2010 found and average premium paid over market price of 44%.  To disentangle the control premium from synergistic benefits of an acquisition they studied difference between going private acquisitions and strategic acquisitions, which would be due to synergies in strategic acquisitions not present in going private acquisitions.  The difference in premiums paid over this period was approximately 11% indicating a control premium during this time period of 33%.  This control premium increases the value of private firms as compared to public firms.</w:t>
      </w:r>
    </w:p>
    <w:p w14:paraId="623DC24F" w14:textId="5155F12F" w:rsidR="00356226" w:rsidRDefault="00356226" w:rsidP="00356226">
      <w:pPr>
        <w:spacing w:before="120" w:after="120" w:line="360" w:lineRule="auto"/>
        <w:jc w:val="both"/>
        <w:rPr>
          <w:rFonts w:ascii="Open Sans" w:hAnsi="Open Sans" w:cs="Open Sans"/>
          <w:sz w:val="20"/>
          <w:szCs w:val="20"/>
        </w:rPr>
      </w:pPr>
      <w:r w:rsidRPr="00356226">
        <w:rPr>
          <w:rFonts w:ascii="Open Sans" w:hAnsi="Open Sans" w:cs="Open Sans"/>
          <w:sz w:val="20"/>
          <w:szCs w:val="20"/>
        </w:rPr>
        <w:t>The second countering influence is the lack of marketability discount.  As noted previously restrictions on trading stock of private companies decreases the diversification of owners and increases their risk.  This lack of marketability decreases the value of private firm stock.  A multitude of studies and methodologies indicate that the lack of marketability discount ranges from 30-60% depending on the period studied as well as the technique used.  Of interest is a study by Value Advisors, which compared pre-IPO transaction values to post IPO transaction values.  For the period from 2008 to 2012 the discount declined from almost 47% to 17% as firms neared their IPO’s and the probability of eliminating the lack of marketability increased.</w:t>
      </w:r>
    </w:p>
    <w:tbl>
      <w:tblPr>
        <w:tblStyle w:val="TableGrid"/>
        <w:tblW w:w="0" w:type="auto"/>
        <w:tblLook w:val="04A0" w:firstRow="1" w:lastRow="0" w:firstColumn="1" w:lastColumn="0" w:noHBand="0" w:noVBand="1"/>
      </w:tblPr>
      <w:tblGrid>
        <w:gridCol w:w="1926"/>
        <w:gridCol w:w="1928"/>
        <w:gridCol w:w="1928"/>
        <w:gridCol w:w="1928"/>
        <w:gridCol w:w="1928"/>
      </w:tblGrid>
      <w:tr w:rsidR="00356226" w:rsidRPr="00A373DE" w14:paraId="075BE554" w14:textId="77777777" w:rsidTr="00356226">
        <w:tc>
          <w:tcPr>
            <w:tcW w:w="9638" w:type="dxa"/>
            <w:gridSpan w:val="5"/>
            <w:tcBorders>
              <w:top w:val="single" w:sz="4" w:space="0" w:color="auto"/>
              <w:left w:val="single" w:sz="4" w:space="0" w:color="auto"/>
              <w:bottom w:val="single" w:sz="4" w:space="0" w:color="auto"/>
              <w:right w:val="single" w:sz="4" w:space="0" w:color="auto"/>
            </w:tcBorders>
            <w:hideMark/>
          </w:tcPr>
          <w:p w14:paraId="50D14549" w14:textId="77777777" w:rsidR="00356226" w:rsidRPr="00A373DE" w:rsidRDefault="00356226">
            <w:pPr>
              <w:jc w:val="center"/>
              <w:rPr>
                <w:rFonts w:ascii="Open Sans" w:hAnsi="Open Sans"/>
                <w:sz w:val="20"/>
              </w:rPr>
            </w:pPr>
            <w:r w:rsidRPr="00A373DE">
              <w:rPr>
                <w:rFonts w:ascii="Open Sans" w:hAnsi="Open Sans"/>
                <w:sz w:val="20"/>
              </w:rPr>
              <w:t>Period before IPO</w:t>
            </w:r>
          </w:p>
        </w:tc>
      </w:tr>
      <w:tr w:rsidR="00356226" w:rsidRPr="00A373DE" w14:paraId="4532A92E" w14:textId="77777777" w:rsidTr="00356226">
        <w:tc>
          <w:tcPr>
            <w:tcW w:w="1926" w:type="dxa"/>
            <w:tcBorders>
              <w:top w:val="single" w:sz="4" w:space="0" w:color="auto"/>
              <w:left w:val="single" w:sz="4" w:space="0" w:color="auto"/>
              <w:bottom w:val="single" w:sz="4" w:space="0" w:color="auto"/>
              <w:right w:val="single" w:sz="4" w:space="0" w:color="auto"/>
            </w:tcBorders>
            <w:hideMark/>
          </w:tcPr>
          <w:p w14:paraId="6B7978E4" w14:textId="77777777" w:rsidR="00356226" w:rsidRPr="00A373DE" w:rsidRDefault="00356226">
            <w:pPr>
              <w:jc w:val="right"/>
              <w:rPr>
                <w:rFonts w:ascii="Open Sans" w:hAnsi="Open Sans"/>
                <w:sz w:val="20"/>
              </w:rPr>
            </w:pPr>
            <w:r w:rsidRPr="00A373DE">
              <w:rPr>
                <w:rFonts w:ascii="Open Sans" w:hAnsi="Open Sans"/>
                <w:sz w:val="20"/>
              </w:rPr>
              <w:t>1-2 years</w:t>
            </w:r>
          </w:p>
        </w:tc>
        <w:tc>
          <w:tcPr>
            <w:tcW w:w="1928" w:type="dxa"/>
            <w:tcBorders>
              <w:top w:val="single" w:sz="4" w:space="0" w:color="auto"/>
              <w:left w:val="single" w:sz="4" w:space="0" w:color="auto"/>
              <w:bottom w:val="single" w:sz="4" w:space="0" w:color="auto"/>
              <w:right w:val="single" w:sz="4" w:space="0" w:color="auto"/>
            </w:tcBorders>
            <w:hideMark/>
          </w:tcPr>
          <w:p w14:paraId="2E1FB791" w14:textId="77777777" w:rsidR="00356226" w:rsidRPr="00A373DE" w:rsidRDefault="00356226">
            <w:pPr>
              <w:jc w:val="right"/>
              <w:rPr>
                <w:rFonts w:ascii="Open Sans" w:hAnsi="Open Sans"/>
                <w:sz w:val="20"/>
              </w:rPr>
            </w:pPr>
            <w:r w:rsidRPr="00A373DE">
              <w:rPr>
                <w:rFonts w:ascii="Open Sans" w:hAnsi="Open Sans"/>
                <w:sz w:val="20"/>
              </w:rPr>
              <w:t>10-12 months</w:t>
            </w:r>
          </w:p>
        </w:tc>
        <w:tc>
          <w:tcPr>
            <w:tcW w:w="1928" w:type="dxa"/>
            <w:tcBorders>
              <w:top w:val="single" w:sz="4" w:space="0" w:color="auto"/>
              <w:left w:val="single" w:sz="4" w:space="0" w:color="auto"/>
              <w:bottom w:val="single" w:sz="4" w:space="0" w:color="auto"/>
              <w:right w:val="single" w:sz="4" w:space="0" w:color="auto"/>
            </w:tcBorders>
            <w:hideMark/>
          </w:tcPr>
          <w:p w14:paraId="11D20F85" w14:textId="77777777" w:rsidR="00356226" w:rsidRPr="00A373DE" w:rsidRDefault="00356226">
            <w:pPr>
              <w:jc w:val="right"/>
              <w:rPr>
                <w:rFonts w:ascii="Open Sans" w:hAnsi="Open Sans"/>
                <w:sz w:val="20"/>
              </w:rPr>
            </w:pPr>
            <w:r w:rsidRPr="00A373DE">
              <w:rPr>
                <w:rFonts w:ascii="Open Sans" w:hAnsi="Open Sans"/>
                <w:sz w:val="20"/>
              </w:rPr>
              <w:t>7-9 months</w:t>
            </w:r>
          </w:p>
        </w:tc>
        <w:tc>
          <w:tcPr>
            <w:tcW w:w="1928" w:type="dxa"/>
            <w:tcBorders>
              <w:top w:val="single" w:sz="4" w:space="0" w:color="auto"/>
              <w:left w:val="single" w:sz="4" w:space="0" w:color="auto"/>
              <w:bottom w:val="single" w:sz="4" w:space="0" w:color="auto"/>
              <w:right w:val="single" w:sz="4" w:space="0" w:color="auto"/>
            </w:tcBorders>
            <w:hideMark/>
          </w:tcPr>
          <w:p w14:paraId="42AA0CA0" w14:textId="77777777" w:rsidR="00356226" w:rsidRPr="00A373DE" w:rsidRDefault="00356226">
            <w:pPr>
              <w:jc w:val="right"/>
              <w:rPr>
                <w:rFonts w:ascii="Open Sans" w:hAnsi="Open Sans"/>
                <w:sz w:val="20"/>
              </w:rPr>
            </w:pPr>
            <w:r w:rsidRPr="00A373DE">
              <w:rPr>
                <w:rFonts w:ascii="Open Sans" w:hAnsi="Open Sans"/>
                <w:sz w:val="20"/>
              </w:rPr>
              <w:t>4-6 months</w:t>
            </w:r>
          </w:p>
        </w:tc>
        <w:tc>
          <w:tcPr>
            <w:tcW w:w="1928" w:type="dxa"/>
            <w:tcBorders>
              <w:top w:val="single" w:sz="4" w:space="0" w:color="auto"/>
              <w:left w:val="single" w:sz="4" w:space="0" w:color="auto"/>
              <w:bottom w:val="single" w:sz="4" w:space="0" w:color="auto"/>
              <w:right w:val="single" w:sz="4" w:space="0" w:color="auto"/>
            </w:tcBorders>
            <w:hideMark/>
          </w:tcPr>
          <w:p w14:paraId="10B32F85" w14:textId="77777777" w:rsidR="00356226" w:rsidRPr="00A373DE" w:rsidRDefault="00356226">
            <w:pPr>
              <w:jc w:val="right"/>
              <w:rPr>
                <w:rFonts w:ascii="Open Sans" w:hAnsi="Open Sans"/>
                <w:sz w:val="20"/>
              </w:rPr>
            </w:pPr>
            <w:r w:rsidRPr="00A373DE">
              <w:rPr>
                <w:rFonts w:ascii="Open Sans" w:hAnsi="Open Sans"/>
                <w:sz w:val="20"/>
              </w:rPr>
              <w:t>0-3 months</w:t>
            </w:r>
          </w:p>
        </w:tc>
      </w:tr>
      <w:tr w:rsidR="00356226" w:rsidRPr="00A373DE" w14:paraId="4C924821" w14:textId="77777777" w:rsidTr="00356226">
        <w:tc>
          <w:tcPr>
            <w:tcW w:w="1926" w:type="dxa"/>
            <w:tcBorders>
              <w:top w:val="single" w:sz="4" w:space="0" w:color="auto"/>
              <w:left w:val="single" w:sz="4" w:space="0" w:color="auto"/>
              <w:bottom w:val="single" w:sz="4" w:space="0" w:color="auto"/>
              <w:right w:val="single" w:sz="4" w:space="0" w:color="auto"/>
            </w:tcBorders>
            <w:hideMark/>
          </w:tcPr>
          <w:p w14:paraId="43911577" w14:textId="77777777" w:rsidR="00356226" w:rsidRPr="00A373DE" w:rsidRDefault="00356226">
            <w:pPr>
              <w:jc w:val="right"/>
              <w:rPr>
                <w:rFonts w:ascii="Open Sans" w:hAnsi="Open Sans"/>
                <w:sz w:val="20"/>
              </w:rPr>
            </w:pPr>
            <w:r w:rsidRPr="00A373DE">
              <w:rPr>
                <w:rFonts w:ascii="Open Sans" w:hAnsi="Open Sans"/>
                <w:sz w:val="20"/>
              </w:rPr>
              <w:t>46.96%</w:t>
            </w:r>
          </w:p>
        </w:tc>
        <w:tc>
          <w:tcPr>
            <w:tcW w:w="1928" w:type="dxa"/>
            <w:tcBorders>
              <w:top w:val="single" w:sz="4" w:space="0" w:color="auto"/>
              <w:left w:val="single" w:sz="4" w:space="0" w:color="auto"/>
              <w:bottom w:val="single" w:sz="4" w:space="0" w:color="auto"/>
              <w:right w:val="single" w:sz="4" w:space="0" w:color="auto"/>
            </w:tcBorders>
            <w:hideMark/>
          </w:tcPr>
          <w:p w14:paraId="2FF14236" w14:textId="77777777" w:rsidR="00356226" w:rsidRPr="00A373DE" w:rsidRDefault="00356226">
            <w:pPr>
              <w:jc w:val="right"/>
              <w:rPr>
                <w:rFonts w:ascii="Open Sans" w:hAnsi="Open Sans"/>
                <w:sz w:val="20"/>
              </w:rPr>
            </w:pPr>
            <w:r w:rsidRPr="00A373DE">
              <w:rPr>
                <w:rFonts w:ascii="Open Sans" w:hAnsi="Open Sans"/>
                <w:sz w:val="20"/>
              </w:rPr>
              <w:t>45.39%</w:t>
            </w:r>
          </w:p>
        </w:tc>
        <w:tc>
          <w:tcPr>
            <w:tcW w:w="1928" w:type="dxa"/>
            <w:tcBorders>
              <w:top w:val="single" w:sz="4" w:space="0" w:color="auto"/>
              <w:left w:val="single" w:sz="4" w:space="0" w:color="auto"/>
              <w:bottom w:val="single" w:sz="4" w:space="0" w:color="auto"/>
              <w:right w:val="single" w:sz="4" w:space="0" w:color="auto"/>
            </w:tcBorders>
            <w:hideMark/>
          </w:tcPr>
          <w:p w14:paraId="5585CC23" w14:textId="77777777" w:rsidR="00356226" w:rsidRPr="00A373DE" w:rsidRDefault="00356226">
            <w:pPr>
              <w:jc w:val="right"/>
              <w:rPr>
                <w:rFonts w:ascii="Open Sans" w:hAnsi="Open Sans"/>
                <w:sz w:val="20"/>
              </w:rPr>
            </w:pPr>
            <w:r w:rsidRPr="00A373DE">
              <w:rPr>
                <w:rFonts w:ascii="Open Sans" w:hAnsi="Open Sans"/>
                <w:sz w:val="20"/>
              </w:rPr>
              <w:t>37.85%</w:t>
            </w:r>
          </w:p>
        </w:tc>
        <w:tc>
          <w:tcPr>
            <w:tcW w:w="1928" w:type="dxa"/>
            <w:tcBorders>
              <w:top w:val="single" w:sz="4" w:space="0" w:color="auto"/>
              <w:left w:val="single" w:sz="4" w:space="0" w:color="auto"/>
              <w:bottom w:val="single" w:sz="4" w:space="0" w:color="auto"/>
              <w:right w:val="single" w:sz="4" w:space="0" w:color="auto"/>
            </w:tcBorders>
            <w:hideMark/>
          </w:tcPr>
          <w:p w14:paraId="08F52F3D" w14:textId="77777777" w:rsidR="00356226" w:rsidRPr="00A373DE" w:rsidRDefault="00356226">
            <w:pPr>
              <w:jc w:val="right"/>
              <w:rPr>
                <w:rFonts w:ascii="Open Sans" w:hAnsi="Open Sans"/>
                <w:sz w:val="20"/>
              </w:rPr>
            </w:pPr>
            <w:r w:rsidRPr="00A373DE">
              <w:rPr>
                <w:rFonts w:ascii="Open Sans" w:hAnsi="Open Sans"/>
                <w:sz w:val="20"/>
              </w:rPr>
              <w:t>38.93%</w:t>
            </w:r>
          </w:p>
        </w:tc>
        <w:tc>
          <w:tcPr>
            <w:tcW w:w="1928" w:type="dxa"/>
            <w:tcBorders>
              <w:top w:val="single" w:sz="4" w:space="0" w:color="auto"/>
              <w:left w:val="single" w:sz="4" w:space="0" w:color="auto"/>
              <w:bottom w:val="single" w:sz="4" w:space="0" w:color="auto"/>
              <w:right w:val="single" w:sz="4" w:space="0" w:color="auto"/>
            </w:tcBorders>
            <w:hideMark/>
          </w:tcPr>
          <w:p w14:paraId="4121E671" w14:textId="77777777" w:rsidR="00356226" w:rsidRPr="00A373DE" w:rsidRDefault="00356226">
            <w:pPr>
              <w:jc w:val="right"/>
              <w:rPr>
                <w:rFonts w:ascii="Open Sans" w:hAnsi="Open Sans"/>
                <w:sz w:val="20"/>
              </w:rPr>
            </w:pPr>
            <w:r w:rsidRPr="00A373DE">
              <w:rPr>
                <w:rFonts w:ascii="Open Sans" w:hAnsi="Open Sans"/>
                <w:sz w:val="20"/>
              </w:rPr>
              <w:t>16.82%</w:t>
            </w:r>
          </w:p>
        </w:tc>
      </w:tr>
    </w:tbl>
    <w:p w14:paraId="31FC83D8" w14:textId="77777777" w:rsidR="00356226" w:rsidRPr="00356226" w:rsidRDefault="00356226" w:rsidP="00356226">
      <w:pPr>
        <w:spacing w:before="120" w:after="120" w:line="360" w:lineRule="auto"/>
        <w:jc w:val="both"/>
        <w:rPr>
          <w:rFonts w:ascii="Open Sans" w:hAnsi="Open Sans" w:cs="Open Sans"/>
          <w:sz w:val="20"/>
          <w:szCs w:val="20"/>
        </w:rPr>
      </w:pPr>
      <w:r w:rsidRPr="00356226">
        <w:rPr>
          <w:rFonts w:ascii="Open Sans" w:eastAsiaTheme="majorEastAsia" w:hAnsi="Open Sans" w:cs="Open Sans"/>
          <w:b/>
          <w:bCs/>
          <w:smallCaps/>
          <w:color w:val="33006F"/>
          <w:szCs w:val="28"/>
        </w:rPr>
        <w:t>Tableau Software became a client of PWC as a private company in 2005.</w:t>
      </w:r>
      <w:r w:rsidRPr="00356226">
        <w:rPr>
          <w:rFonts w:ascii="Open Sans" w:hAnsi="Open Sans" w:cs="Open Sans"/>
          <w:sz w:val="20"/>
          <w:szCs w:val="20"/>
        </w:rPr>
        <w:t xml:space="preserve">  They grew rapidly over the following years and in second half of 2012 decided to go public.  They began preparations in July, selected </w:t>
      </w:r>
      <w:r w:rsidRPr="00356226">
        <w:rPr>
          <w:rFonts w:ascii="Open Sans" w:hAnsi="Open Sans" w:cs="Open Sans"/>
          <w:sz w:val="20"/>
          <w:szCs w:val="20"/>
        </w:rPr>
        <w:lastRenderedPageBreak/>
        <w:t xml:space="preserve">a banker in December and had an all hands meeting in January.  In February of 2013 they made and initial filing as an Emerging Growth Company. </w:t>
      </w:r>
    </w:p>
    <w:p w14:paraId="7D375769" w14:textId="0102CD72" w:rsidR="00356226" w:rsidRDefault="00356226" w:rsidP="00356226">
      <w:pPr>
        <w:spacing w:before="120" w:after="120" w:line="360" w:lineRule="auto"/>
        <w:jc w:val="both"/>
        <w:rPr>
          <w:rFonts w:ascii="Open Sans" w:hAnsi="Open Sans" w:cs="Open Sans"/>
          <w:sz w:val="20"/>
          <w:szCs w:val="20"/>
        </w:rPr>
      </w:pPr>
      <w:r w:rsidRPr="00356226">
        <w:rPr>
          <w:rFonts w:ascii="Open Sans" w:hAnsi="Open Sans" w:cs="Open Sans"/>
          <w:sz w:val="20"/>
          <w:szCs w:val="20"/>
        </w:rPr>
        <w:t>Prior to going public Tableau had been granting employee stock options for several years.  To value the stock options and to set exercise prices Tableau needed estimates of the stock price.  A limited number of transactions were available related to VC preferred rounds.  Round A in 2005 was at a stock price of $1.00 per share and round B in 2008 was at a stock price of $2.28.  In 2009 a late stage equity firm, Meritech Partners, purchased stock at $5.00per share. Tableau hired a valuation firm that used a blended approach of the two methods, discounted cash flow and market comparable company, to arrive at a derived common stock price. In December 2012 as they prepared for the IPO Tableau re-assessed certain assumptions and adjusted the stock price estimates for grants from February through September of 2012.</w:t>
      </w:r>
    </w:p>
    <w:tbl>
      <w:tblPr>
        <w:tblStyle w:val="TableGrid"/>
        <w:tblW w:w="0" w:type="auto"/>
        <w:tblLook w:val="04A0" w:firstRow="1" w:lastRow="0" w:firstColumn="1" w:lastColumn="0" w:noHBand="0" w:noVBand="1"/>
      </w:tblPr>
      <w:tblGrid>
        <w:gridCol w:w="3217"/>
        <w:gridCol w:w="3214"/>
        <w:gridCol w:w="3207"/>
      </w:tblGrid>
      <w:tr w:rsidR="00356226" w14:paraId="218324E5"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416B0628" w14:textId="77777777" w:rsidR="00356226" w:rsidRPr="00A373DE" w:rsidRDefault="00356226">
            <w:pPr>
              <w:rPr>
                <w:rFonts w:ascii="Open Sans" w:hAnsi="Open Sans"/>
                <w:sz w:val="20"/>
              </w:rPr>
            </w:pPr>
            <w:r w:rsidRPr="00A373DE">
              <w:rPr>
                <w:rFonts w:ascii="Open Sans" w:hAnsi="Open Sans"/>
                <w:sz w:val="20"/>
              </w:rPr>
              <w:t>Option Grant Date</w:t>
            </w:r>
          </w:p>
        </w:tc>
        <w:tc>
          <w:tcPr>
            <w:tcW w:w="3214" w:type="dxa"/>
            <w:tcBorders>
              <w:top w:val="single" w:sz="4" w:space="0" w:color="auto"/>
              <w:left w:val="single" w:sz="4" w:space="0" w:color="auto"/>
              <w:bottom w:val="single" w:sz="4" w:space="0" w:color="auto"/>
              <w:right w:val="single" w:sz="4" w:space="0" w:color="auto"/>
            </w:tcBorders>
            <w:hideMark/>
          </w:tcPr>
          <w:p w14:paraId="41D7F2E4" w14:textId="77777777" w:rsidR="00356226" w:rsidRPr="00A373DE" w:rsidRDefault="00356226">
            <w:pPr>
              <w:rPr>
                <w:rFonts w:ascii="Open Sans" w:hAnsi="Open Sans"/>
                <w:sz w:val="20"/>
              </w:rPr>
            </w:pPr>
            <w:r w:rsidRPr="00A373DE">
              <w:rPr>
                <w:rFonts w:ascii="Open Sans" w:hAnsi="Open Sans"/>
                <w:sz w:val="20"/>
              </w:rPr>
              <w:t>Estimated Stock Price</w:t>
            </w:r>
          </w:p>
        </w:tc>
        <w:tc>
          <w:tcPr>
            <w:tcW w:w="3207" w:type="dxa"/>
            <w:tcBorders>
              <w:top w:val="single" w:sz="4" w:space="0" w:color="auto"/>
              <w:left w:val="single" w:sz="4" w:space="0" w:color="auto"/>
              <w:bottom w:val="single" w:sz="4" w:space="0" w:color="auto"/>
              <w:right w:val="single" w:sz="4" w:space="0" w:color="auto"/>
            </w:tcBorders>
            <w:hideMark/>
          </w:tcPr>
          <w:p w14:paraId="148DDDD0" w14:textId="77777777" w:rsidR="00356226" w:rsidRPr="00A373DE" w:rsidRDefault="00356226">
            <w:pPr>
              <w:rPr>
                <w:rFonts w:ascii="Open Sans" w:hAnsi="Open Sans"/>
                <w:sz w:val="20"/>
              </w:rPr>
            </w:pPr>
            <w:r w:rsidRPr="00A373DE">
              <w:rPr>
                <w:rFonts w:ascii="Open Sans" w:hAnsi="Open Sans"/>
                <w:sz w:val="20"/>
              </w:rPr>
              <w:t>Exercise Price</w:t>
            </w:r>
          </w:p>
        </w:tc>
      </w:tr>
      <w:tr w:rsidR="00356226" w14:paraId="2160AF84"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3F2B1EBD" w14:textId="77777777" w:rsidR="00356226" w:rsidRPr="00A373DE" w:rsidRDefault="00356226">
            <w:pPr>
              <w:rPr>
                <w:rFonts w:ascii="Open Sans" w:hAnsi="Open Sans"/>
                <w:sz w:val="20"/>
              </w:rPr>
            </w:pPr>
            <w:r w:rsidRPr="00A373DE">
              <w:rPr>
                <w:rFonts w:ascii="Open Sans" w:hAnsi="Open Sans"/>
                <w:sz w:val="20"/>
              </w:rPr>
              <w:t>February 29, 2012</w:t>
            </w:r>
          </w:p>
        </w:tc>
        <w:tc>
          <w:tcPr>
            <w:tcW w:w="3214" w:type="dxa"/>
            <w:tcBorders>
              <w:top w:val="single" w:sz="4" w:space="0" w:color="auto"/>
              <w:left w:val="single" w:sz="4" w:space="0" w:color="auto"/>
              <w:bottom w:val="single" w:sz="4" w:space="0" w:color="auto"/>
              <w:right w:val="single" w:sz="4" w:space="0" w:color="auto"/>
            </w:tcBorders>
            <w:hideMark/>
          </w:tcPr>
          <w:p w14:paraId="7446FF51" w14:textId="77777777" w:rsidR="00356226" w:rsidRPr="00A373DE" w:rsidRDefault="00356226">
            <w:pPr>
              <w:rPr>
                <w:rFonts w:ascii="Open Sans" w:hAnsi="Open Sans"/>
                <w:sz w:val="20"/>
              </w:rPr>
            </w:pPr>
            <w:r w:rsidRPr="00A373DE">
              <w:rPr>
                <w:rFonts w:ascii="Open Sans" w:hAnsi="Open Sans"/>
                <w:sz w:val="20"/>
              </w:rPr>
              <w:t>$7.65</w:t>
            </w:r>
          </w:p>
        </w:tc>
        <w:tc>
          <w:tcPr>
            <w:tcW w:w="3207" w:type="dxa"/>
            <w:tcBorders>
              <w:top w:val="single" w:sz="4" w:space="0" w:color="auto"/>
              <w:left w:val="single" w:sz="4" w:space="0" w:color="auto"/>
              <w:bottom w:val="single" w:sz="4" w:space="0" w:color="auto"/>
              <w:right w:val="single" w:sz="4" w:space="0" w:color="auto"/>
            </w:tcBorders>
            <w:hideMark/>
          </w:tcPr>
          <w:p w14:paraId="62BDAB47" w14:textId="77777777" w:rsidR="00356226" w:rsidRPr="00A373DE" w:rsidRDefault="00356226">
            <w:pPr>
              <w:rPr>
                <w:rFonts w:ascii="Open Sans" w:hAnsi="Open Sans"/>
                <w:sz w:val="20"/>
              </w:rPr>
            </w:pPr>
            <w:r w:rsidRPr="00A373DE">
              <w:rPr>
                <w:rFonts w:ascii="Open Sans" w:hAnsi="Open Sans"/>
                <w:sz w:val="20"/>
              </w:rPr>
              <w:t>$7.17</w:t>
            </w:r>
          </w:p>
        </w:tc>
      </w:tr>
      <w:tr w:rsidR="00356226" w14:paraId="5ACD5DF1"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153A23F0" w14:textId="77777777" w:rsidR="00356226" w:rsidRPr="00A373DE" w:rsidRDefault="00356226">
            <w:pPr>
              <w:rPr>
                <w:rFonts w:ascii="Open Sans" w:hAnsi="Open Sans"/>
                <w:sz w:val="20"/>
              </w:rPr>
            </w:pPr>
            <w:r w:rsidRPr="00A373DE">
              <w:rPr>
                <w:rFonts w:ascii="Open Sans" w:hAnsi="Open Sans"/>
                <w:sz w:val="20"/>
              </w:rPr>
              <w:t>May 23, 2012</w:t>
            </w:r>
          </w:p>
        </w:tc>
        <w:tc>
          <w:tcPr>
            <w:tcW w:w="3214" w:type="dxa"/>
            <w:tcBorders>
              <w:top w:val="single" w:sz="4" w:space="0" w:color="auto"/>
              <w:left w:val="single" w:sz="4" w:space="0" w:color="auto"/>
              <w:bottom w:val="single" w:sz="4" w:space="0" w:color="auto"/>
              <w:right w:val="single" w:sz="4" w:space="0" w:color="auto"/>
            </w:tcBorders>
            <w:hideMark/>
          </w:tcPr>
          <w:p w14:paraId="72815E83" w14:textId="77777777" w:rsidR="00356226" w:rsidRPr="00A373DE" w:rsidRDefault="00356226">
            <w:pPr>
              <w:rPr>
                <w:rFonts w:ascii="Open Sans" w:hAnsi="Open Sans"/>
                <w:sz w:val="20"/>
              </w:rPr>
            </w:pPr>
            <w:r w:rsidRPr="00A373DE">
              <w:rPr>
                <w:rFonts w:ascii="Open Sans" w:hAnsi="Open Sans"/>
                <w:sz w:val="20"/>
              </w:rPr>
              <w:t>8.15</w:t>
            </w:r>
          </w:p>
        </w:tc>
        <w:tc>
          <w:tcPr>
            <w:tcW w:w="3207" w:type="dxa"/>
            <w:tcBorders>
              <w:top w:val="single" w:sz="4" w:space="0" w:color="auto"/>
              <w:left w:val="single" w:sz="4" w:space="0" w:color="auto"/>
              <w:bottom w:val="single" w:sz="4" w:space="0" w:color="auto"/>
              <w:right w:val="single" w:sz="4" w:space="0" w:color="auto"/>
            </w:tcBorders>
            <w:hideMark/>
          </w:tcPr>
          <w:p w14:paraId="6813CDDC" w14:textId="77777777" w:rsidR="00356226" w:rsidRPr="00A373DE" w:rsidRDefault="00356226">
            <w:pPr>
              <w:rPr>
                <w:rFonts w:ascii="Open Sans" w:hAnsi="Open Sans"/>
                <w:sz w:val="20"/>
              </w:rPr>
            </w:pPr>
            <w:r w:rsidRPr="00A373DE">
              <w:rPr>
                <w:rFonts w:ascii="Open Sans" w:hAnsi="Open Sans"/>
                <w:sz w:val="20"/>
              </w:rPr>
              <w:t>7.19</w:t>
            </w:r>
          </w:p>
        </w:tc>
      </w:tr>
      <w:tr w:rsidR="00356226" w14:paraId="7DBA2B5B"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1399CB68" w14:textId="77777777" w:rsidR="00356226" w:rsidRPr="00A373DE" w:rsidRDefault="00356226">
            <w:pPr>
              <w:rPr>
                <w:rFonts w:ascii="Open Sans" w:hAnsi="Open Sans"/>
                <w:sz w:val="20"/>
              </w:rPr>
            </w:pPr>
            <w:r w:rsidRPr="00A373DE">
              <w:rPr>
                <w:rFonts w:ascii="Open Sans" w:hAnsi="Open Sans"/>
                <w:sz w:val="20"/>
              </w:rPr>
              <w:t>September 5, 2012</w:t>
            </w:r>
          </w:p>
        </w:tc>
        <w:tc>
          <w:tcPr>
            <w:tcW w:w="3214" w:type="dxa"/>
            <w:tcBorders>
              <w:top w:val="single" w:sz="4" w:space="0" w:color="auto"/>
              <w:left w:val="single" w:sz="4" w:space="0" w:color="auto"/>
              <w:bottom w:val="single" w:sz="4" w:space="0" w:color="auto"/>
              <w:right w:val="single" w:sz="4" w:space="0" w:color="auto"/>
            </w:tcBorders>
            <w:hideMark/>
          </w:tcPr>
          <w:p w14:paraId="0E1D1AFE" w14:textId="77777777" w:rsidR="00356226" w:rsidRPr="00A373DE" w:rsidRDefault="00356226">
            <w:pPr>
              <w:rPr>
                <w:rFonts w:ascii="Open Sans" w:hAnsi="Open Sans"/>
                <w:sz w:val="20"/>
              </w:rPr>
            </w:pPr>
            <w:r w:rsidRPr="00A373DE">
              <w:rPr>
                <w:rFonts w:ascii="Open Sans" w:hAnsi="Open Sans"/>
                <w:sz w:val="20"/>
              </w:rPr>
              <w:t>8.47</w:t>
            </w:r>
          </w:p>
        </w:tc>
        <w:tc>
          <w:tcPr>
            <w:tcW w:w="3207" w:type="dxa"/>
            <w:tcBorders>
              <w:top w:val="single" w:sz="4" w:space="0" w:color="auto"/>
              <w:left w:val="single" w:sz="4" w:space="0" w:color="auto"/>
              <w:bottom w:val="single" w:sz="4" w:space="0" w:color="auto"/>
              <w:right w:val="single" w:sz="4" w:space="0" w:color="auto"/>
            </w:tcBorders>
            <w:hideMark/>
          </w:tcPr>
          <w:p w14:paraId="0DA13D52" w14:textId="77777777" w:rsidR="00356226" w:rsidRPr="00A373DE" w:rsidRDefault="00356226">
            <w:pPr>
              <w:rPr>
                <w:rFonts w:ascii="Open Sans" w:hAnsi="Open Sans"/>
                <w:sz w:val="20"/>
              </w:rPr>
            </w:pPr>
            <w:r w:rsidRPr="00A373DE">
              <w:rPr>
                <w:rFonts w:ascii="Open Sans" w:hAnsi="Open Sans"/>
                <w:sz w:val="20"/>
              </w:rPr>
              <w:t>7.47</w:t>
            </w:r>
          </w:p>
        </w:tc>
      </w:tr>
      <w:tr w:rsidR="00356226" w14:paraId="1478F117"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6A1E4794" w14:textId="77777777" w:rsidR="00356226" w:rsidRPr="00A373DE" w:rsidRDefault="00356226">
            <w:pPr>
              <w:rPr>
                <w:rFonts w:ascii="Open Sans" w:hAnsi="Open Sans"/>
                <w:sz w:val="20"/>
              </w:rPr>
            </w:pPr>
            <w:r w:rsidRPr="00A373DE">
              <w:rPr>
                <w:rFonts w:ascii="Open Sans" w:hAnsi="Open Sans"/>
                <w:sz w:val="20"/>
              </w:rPr>
              <w:t>December 4, 2012</w:t>
            </w:r>
          </w:p>
        </w:tc>
        <w:tc>
          <w:tcPr>
            <w:tcW w:w="3214" w:type="dxa"/>
            <w:tcBorders>
              <w:top w:val="single" w:sz="4" w:space="0" w:color="auto"/>
              <w:left w:val="single" w:sz="4" w:space="0" w:color="auto"/>
              <w:bottom w:val="single" w:sz="4" w:space="0" w:color="auto"/>
              <w:right w:val="single" w:sz="4" w:space="0" w:color="auto"/>
            </w:tcBorders>
            <w:hideMark/>
          </w:tcPr>
          <w:p w14:paraId="26ACECFB" w14:textId="77777777" w:rsidR="00356226" w:rsidRPr="00A373DE" w:rsidRDefault="00356226">
            <w:pPr>
              <w:rPr>
                <w:rFonts w:ascii="Open Sans" w:hAnsi="Open Sans"/>
                <w:sz w:val="20"/>
              </w:rPr>
            </w:pPr>
            <w:r w:rsidRPr="00A373DE">
              <w:rPr>
                <w:rFonts w:ascii="Open Sans" w:hAnsi="Open Sans"/>
                <w:sz w:val="20"/>
              </w:rPr>
              <w:t>9.30</w:t>
            </w:r>
          </w:p>
        </w:tc>
        <w:tc>
          <w:tcPr>
            <w:tcW w:w="3207" w:type="dxa"/>
            <w:tcBorders>
              <w:top w:val="single" w:sz="4" w:space="0" w:color="auto"/>
              <w:left w:val="single" w:sz="4" w:space="0" w:color="auto"/>
              <w:bottom w:val="single" w:sz="4" w:space="0" w:color="auto"/>
              <w:right w:val="single" w:sz="4" w:space="0" w:color="auto"/>
            </w:tcBorders>
            <w:hideMark/>
          </w:tcPr>
          <w:p w14:paraId="530C2875" w14:textId="77777777" w:rsidR="00356226" w:rsidRPr="00A373DE" w:rsidRDefault="00356226">
            <w:pPr>
              <w:rPr>
                <w:rFonts w:ascii="Open Sans" w:hAnsi="Open Sans"/>
                <w:sz w:val="20"/>
              </w:rPr>
            </w:pPr>
            <w:r w:rsidRPr="00A373DE">
              <w:rPr>
                <w:rFonts w:ascii="Open Sans" w:hAnsi="Open Sans"/>
                <w:sz w:val="20"/>
              </w:rPr>
              <w:t>9.30</w:t>
            </w:r>
          </w:p>
        </w:tc>
      </w:tr>
      <w:tr w:rsidR="00356226" w14:paraId="08E39FA1"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7EC5B7FF" w14:textId="77777777" w:rsidR="00356226" w:rsidRPr="00A373DE" w:rsidRDefault="00356226">
            <w:pPr>
              <w:rPr>
                <w:rFonts w:ascii="Open Sans" w:hAnsi="Open Sans"/>
                <w:sz w:val="20"/>
              </w:rPr>
            </w:pPr>
            <w:r w:rsidRPr="00A373DE">
              <w:rPr>
                <w:rFonts w:ascii="Open Sans" w:hAnsi="Open Sans"/>
                <w:sz w:val="20"/>
              </w:rPr>
              <w:t>December 10, 2012</w:t>
            </w:r>
          </w:p>
        </w:tc>
        <w:tc>
          <w:tcPr>
            <w:tcW w:w="3214" w:type="dxa"/>
            <w:tcBorders>
              <w:top w:val="single" w:sz="4" w:space="0" w:color="auto"/>
              <w:left w:val="single" w:sz="4" w:space="0" w:color="auto"/>
              <w:bottom w:val="single" w:sz="4" w:space="0" w:color="auto"/>
              <w:right w:val="single" w:sz="4" w:space="0" w:color="auto"/>
            </w:tcBorders>
            <w:hideMark/>
          </w:tcPr>
          <w:p w14:paraId="0230BE22" w14:textId="77777777" w:rsidR="00356226" w:rsidRPr="00A373DE" w:rsidRDefault="00356226">
            <w:pPr>
              <w:rPr>
                <w:rFonts w:ascii="Open Sans" w:hAnsi="Open Sans"/>
                <w:sz w:val="20"/>
              </w:rPr>
            </w:pPr>
            <w:r w:rsidRPr="00A373DE">
              <w:rPr>
                <w:rFonts w:ascii="Open Sans" w:hAnsi="Open Sans"/>
                <w:sz w:val="20"/>
              </w:rPr>
              <w:t>9.30</w:t>
            </w:r>
          </w:p>
        </w:tc>
        <w:tc>
          <w:tcPr>
            <w:tcW w:w="3207" w:type="dxa"/>
            <w:tcBorders>
              <w:top w:val="single" w:sz="4" w:space="0" w:color="auto"/>
              <w:left w:val="single" w:sz="4" w:space="0" w:color="auto"/>
              <w:bottom w:val="single" w:sz="4" w:space="0" w:color="auto"/>
              <w:right w:val="single" w:sz="4" w:space="0" w:color="auto"/>
            </w:tcBorders>
            <w:hideMark/>
          </w:tcPr>
          <w:p w14:paraId="22FAC1A5" w14:textId="77777777" w:rsidR="00356226" w:rsidRPr="00A373DE" w:rsidRDefault="00356226">
            <w:pPr>
              <w:rPr>
                <w:rFonts w:ascii="Open Sans" w:hAnsi="Open Sans"/>
                <w:sz w:val="20"/>
              </w:rPr>
            </w:pPr>
            <w:r w:rsidRPr="00A373DE">
              <w:rPr>
                <w:rFonts w:ascii="Open Sans" w:hAnsi="Open Sans"/>
                <w:sz w:val="20"/>
              </w:rPr>
              <w:t>9.30</w:t>
            </w:r>
          </w:p>
        </w:tc>
      </w:tr>
      <w:tr w:rsidR="00356226" w14:paraId="41FBA0BB"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1F6F8EF3" w14:textId="77777777" w:rsidR="00356226" w:rsidRPr="00A373DE" w:rsidRDefault="00356226">
            <w:pPr>
              <w:rPr>
                <w:rFonts w:ascii="Open Sans" w:hAnsi="Open Sans"/>
                <w:sz w:val="20"/>
              </w:rPr>
            </w:pPr>
            <w:r w:rsidRPr="00A373DE">
              <w:rPr>
                <w:rFonts w:ascii="Open Sans" w:hAnsi="Open Sans"/>
                <w:sz w:val="20"/>
              </w:rPr>
              <w:t>February 28, 2013</w:t>
            </w:r>
          </w:p>
        </w:tc>
        <w:tc>
          <w:tcPr>
            <w:tcW w:w="3214" w:type="dxa"/>
            <w:tcBorders>
              <w:top w:val="single" w:sz="4" w:space="0" w:color="auto"/>
              <w:left w:val="single" w:sz="4" w:space="0" w:color="auto"/>
              <w:bottom w:val="single" w:sz="4" w:space="0" w:color="auto"/>
              <w:right w:val="single" w:sz="4" w:space="0" w:color="auto"/>
            </w:tcBorders>
            <w:hideMark/>
          </w:tcPr>
          <w:p w14:paraId="15CBC13E" w14:textId="77777777" w:rsidR="00356226" w:rsidRPr="00A373DE" w:rsidRDefault="00356226">
            <w:pPr>
              <w:rPr>
                <w:rFonts w:ascii="Open Sans" w:hAnsi="Open Sans"/>
                <w:sz w:val="20"/>
              </w:rPr>
            </w:pPr>
            <w:r w:rsidRPr="00A373DE">
              <w:rPr>
                <w:rFonts w:ascii="Open Sans" w:hAnsi="Open Sans"/>
                <w:sz w:val="20"/>
              </w:rPr>
              <w:t>14.95</w:t>
            </w:r>
          </w:p>
        </w:tc>
        <w:tc>
          <w:tcPr>
            <w:tcW w:w="3207" w:type="dxa"/>
            <w:tcBorders>
              <w:top w:val="single" w:sz="4" w:space="0" w:color="auto"/>
              <w:left w:val="single" w:sz="4" w:space="0" w:color="auto"/>
              <w:bottom w:val="single" w:sz="4" w:space="0" w:color="auto"/>
              <w:right w:val="single" w:sz="4" w:space="0" w:color="auto"/>
            </w:tcBorders>
            <w:hideMark/>
          </w:tcPr>
          <w:p w14:paraId="44C12D82" w14:textId="77777777" w:rsidR="00356226" w:rsidRPr="00A373DE" w:rsidRDefault="00356226">
            <w:pPr>
              <w:rPr>
                <w:rFonts w:ascii="Open Sans" w:hAnsi="Open Sans"/>
                <w:sz w:val="20"/>
              </w:rPr>
            </w:pPr>
            <w:r w:rsidRPr="00A373DE">
              <w:rPr>
                <w:rFonts w:ascii="Open Sans" w:hAnsi="Open Sans"/>
                <w:sz w:val="20"/>
              </w:rPr>
              <w:t>14.95</w:t>
            </w:r>
          </w:p>
        </w:tc>
      </w:tr>
      <w:tr w:rsidR="00356226" w14:paraId="08A361D8"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6D51EADD" w14:textId="77777777" w:rsidR="00356226" w:rsidRPr="00A373DE" w:rsidRDefault="00356226">
            <w:pPr>
              <w:rPr>
                <w:rFonts w:ascii="Open Sans" w:hAnsi="Open Sans"/>
                <w:sz w:val="20"/>
              </w:rPr>
            </w:pPr>
            <w:r w:rsidRPr="00A373DE">
              <w:rPr>
                <w:rFonts w:ascii="Open Sans" w:hAnsi="Open Sans"/>
                <w:sz w:val="20"/>
              </w:rPr>
              <w:t>March 15, 2013</w:t>
            </w:r>
          </w:p>
        </w:tc>
        <w:tc>
          <w:tcPr>
            <w:tcW w:w="3214" w:type="dxa"/>
            <w:tcBorders>
              <w:top w:val="single" w:sz="4" w:space="0" w:color="auto"/>
              <w:left w:val="single" w:sz="4" w:space="0" w:color="auto"/>
              <w:bottom w:val="single" w:sz="4" w:space="0" w:color="auto"/>
              <w:right w:val="single" w:sz="4" w:space="0" w:color="auto"/>
            </w:tcBorders>
            <w:hideMark/>
          </w:tcPr>
          <w:p w14:paraId="7AAC24AE" w14:textId="77777777" w:rsidR="00356226" w:rsidRPr="00A373DE" w:rsidRDefault="00356226">
            <w:pPr>
              <w:rPr>
                <w:rFonts w:ascii="Open Sans" w:hAnsi="Open Sans"/>
                <w:sz w:val="20"/>
              </w:rPr>
            </w:pPr>
            <w:r w:rsidRPr="00A373DE">
              <w:rPr>
                <w:rFonts w:ascii="Open Sans" w:hAnsi="Open Sans"/>
                <w:sz w:val="20"/>
              </w:rPr>
              <w:t>14.98</w:t>
            </w:r>
          </w:p>
        </w:tc>
        <w:tc>
          <w:tcPr>
            <w:tcW w:w="3207" w:type="dxa"/>
            <w:tcBorders>
              <w:top w:val="single" w:sz="4" w:space="0" w:color="auto"/>
              <w:left w:val="single" w:sz="4" w:space="0" w:color="auto"/>
              <w:bottom w:val="single" w:sz="4" w:space="0" w:color="auto"/>
              <w:right w:val="single" w:sz="4" w:space="0" w:color="auto"/>
            </w:tcBorders>
            <w:hideMark/>
          </w:tcPr>
          <w:p w14:paraId="390825EA" w14:textId="77777777" w:rsidR="00356226" w:rsidRPr="00A373DE" w:rsidRDefault="00356226">
            <w:pPr>
              <w:rPr>
                <w:rFonts w:ascii="Open Sans" w:hAnsi="Open Sans"/>
                <w:sz w:val="20"/>
              </w:rPr>
            </w:pPr>
            <w:r w:rsidRPr="00A373DE">
              <w:rPr>
                <w:rFonts w:ascii="Open Sans" w:hAnsi="Open Sans"/>
                <w:sz w:val="20"/>
              </w:rPr>
              <w:t>14.98</w:t>
            </w:r>
          </w:p>
        </w:tc>
      </w:tr>
    </w:tbl>
    <w:p w14:paraId="79941C64" w14:textId="549FBBE0" w:rsidR="00356226" w:rsidRDefault="00356226" w:rsidP="00356226">
      <w:pPr>
        <w:spacing w:before="120" w:after="120" w:line="360" w:lineRule="auto"/>
        <w:jc w:val="both"/>
        <w:rPr>
          <w:rFonts w:ascii="Open Sans" w:hAnsi="Open Sans" w:cs="Open Sans"/>
          <w:sz w:val="20"/>
          <w:szCs w:val="20"/>
        </w:rPr>
      </w:pPr>
      <w:r w:rsidRPr="00356226">
        <w:rPr>
          <w:rFonts w:ascii="Open Sans" w:hAnsi="Open Sans" w:cs="Open Sans"/>
          <w:sz w:val="20"/>
          <w:szCs w:val="20"/>
        </w:rPr>
        <w:t>On April 24th investment bankers indicated interest at a range of $22-27.  During road shows the estimate was increased to $28-30.  Based on these indications on May 1st Tableau again re-estimated stock prices.</w:t>
      </w:r>
    </w:p>
    <w:tbl>
      <w:tblPr>
        <w:tblStyle w:val="TableGrid"/>
        <w:tblW w:w="0" w:type="auto"/>
        <w:tblLook w:val="04A0" w:firstRow="1" w:lastRow="0" w:firstColumn="1" w:lastColumn="0" w:noHBand="0" w:noVBand="1"/>
      </w:tblPr>
      <w:tblGrid>
        <w:gridCol w:w="3217"/>
        <w:gridCol w:w="3214"/>
        <w:gridCol w:w="3207"/>
      </w:tblGrid>
      <w:tr w:rsidR="00356226" w14:paraId="55F1007B"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0B71D0FC" w14:textId="77777777" w:rsidR="00356226" w:rsidRPr="00A373DE" w:rsidRDefault="00356226">
            <w:pPr>
              <w:rPr>
                <w:rFonts w:ascii="Open Sans" w:hAnsi="Open Sans"/>
                <w:sz w:val="20"/>
              </w:rPr>
            </w:pPr>
            <w:r w:rsidRPr="00A373DE">
              <w:rPr>
                <w:rFonts w:ascii="Open Sans" w:hAnsi="Open Sans"/>
                <w:sz w:val="20"/>
              </w:rPr>
              <w:t>Option Grant Date</w:t>
            </w:r>
          </w:p>
        </w:tc>
        <w:tc>
          <w:tcPr>
            <w:tcW w:w="3214" w:type="dxa"/>
            <w:tcBorders>
              <w:top w:val="single" w:sz="4" w:space="0" w:color="auto"/>
              <w:left w:val="single" w:sz="4" w:space="0" w:color="auto"/>
              <w:bottom w:val="single" w:sz="4" w:space="0" w:color="auto"/>
              <w:right w:val="single" w:sz="4" w:space="0" w:color="auto"/>
            </w:tcBorders>
            <w:hideMark/>
          </w:tcPr>
          <w:p w14:paraId="286B079D" w14:textId="77777777" w:rsidR="00356226" w:rsidRPr="00A373DE" w:rsidRDefault="00356226">
            <w:pPr>
              <w:rPr>
                <w:rFonts w:ascii="Open Sans" w:hAnsi="Open Sans"/>
                <w:sz w:val="20"/>
              </w:rPr>
            </w:pPr>
            <w:r w:rsidRPr="00A373DE">
              <w:rPr>
                <w:rFonts w:ascii="Open Sans" w:hAnsi="Open Sans"/>
                <w:sz w:val="20"/>
              </w:rPr>
              <w:t>Estimated Stock Price</w:t>
            </w:r>
          </w:p>
        </w:tc>
        <w:tc>
          <w:tcPr>
            <w:tcW w:w="3207" w:type="dxa"/>
            <w:tcBorders>
              <w:top w:val="single" w:sz="4" w:space="0" w:color="auto"/>
              <w:left w:val="single" w:sz="4" w:space="0" w:color="auto"/>
              <w:bottom w:val="single" w:sz="4" w:space="0" w:color="auto"/>
              <w:right w:val="single" w:sz="4" w:space="0" w:color="auto"/>
            </w:tcBorders>
            <w:hideMark/>
          </w:tcPr>
          <w:p w14:paraId="2D0FE5D6" w14:textId="77777777" w:rsidR="00356226" w:rsidRPr="00A373DE" w:rsidRDefault="00356226">
            <w:pPr>
              <w:rPr>
                <w:rFonts w:ascii="Open Sans" w:hAnsi="Open Sans"/>
                <w:sz w:val="20"/>
              </w:rPr>
            </w:pPr>
            <w:r w:rsidRPr="00A373DE">
              <w:rPr>
                <w:rFonts w:ascii="Open Sans" w:hAnsi="Open Sans"/>
                <w:sz w:val="20"/>
              </w:rPr>
              <w:t>Exercise Price</w:t>
            </w:r>
          </w:p>
        </w:tc>
      </w:tr>
      <w:tr w:rsidR="00356226" w14:paraId="6C311BF7"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19AC624D" w14:textId="77777777" w:rsidR="00356226" w:rsidRPr="00A373DE" w:rsidRDefault="00356226">
            <w:pPr>
              <w:rPr>
                <w:rFonts w:ascii="Open Sans" w:hAnsi="Open Sans"/>
                <w:sz w:val="20"/>
              </w:rPr>
            </w:pPr>
            <w:r w:rsidRPr="00A373DE">
              <w:rPr>
                <w:rFonts w:ascii="Open Sans" w:hAnsi="Open Sans"/>
                <w:sz w:val="20"/>
              </w:rPr>
              <w:t>February 29, 2012</w:t>
            </w:r>
          </w:p>
        </w:tc>
        <w:tc>
          <w:tcPr>
            <w:tcW w:w="3214" w:type="dxa"/>
            <w:tcBorders>
              <w:top w:val="single" w:sz="4" w:space="0" w:color="auto"/>
              <w:left w:val="single" w:sz="4" w:space="0" w:color="auto"/>
              <w:bottom w:val="single" w:sz="4" w:space="0" w:color="auto"/>
              <w:right w:val="single" w:sz="4" w:space="0" w:color="auto"/>
            </w:tcBorders>
            <w:hideMark/>
          </w:tcPr>
          <w:p w14:paraId="0543E1DE" w14:textId="77777777" w:rsidR="00356226" w:rsidRPr="00A373DE" w:rsidRDefault="00356226">
            <w:pPr>
              <w:rPr>
                <w:rFonts w:ascii="Open Sans" w:hAnsi="Open Sans"/>
                <w:sz w:val="20"/>
              </w:rPr>
            </w:pPr>
            <w:r w:rsidRPr="00A373DE">
              <w:rPr>
                <w:rFonts w:ascii="Open Sans" w:hAnsi="Open Sans"/>
                <w:sz w:val="20"/>
              </w:rPr>
              <w:t>$7.65</w:t>
            </w:r>
          </w:p>
        </w:tc>
        <w:tc>
          <w:tcPr>
            <w:tcW w:w="3207" w:type="dxa"/>
            <w:tcBorders>
              <w:top w:val="single" w:sz="4" w:space="0" w:color="auto"/>
              <w:left w:val="single" w:sz="4" w:space="0" w:color="auto"/>
              <w:bottom w:val="single" w:sz="4" w:space="0" w:color="auto"/>
              <w:right w:val="single" w:sz="4" w:space="0" w:color="auto"/>
            </w:tcBorders>
            <w:hideMark/>
          </w:tcPr>
          <w:p w14:paraId="183CB67A" w14:textId="77777777" w:rsidR="00356226" w:rsidRPr="00A373DE" w:rsidRDefault="00356226">
            <w:pPr>
              <w:rPr>
                <w:rFonts w:ascii="Open Sans" w:hAnsi="Open Sans"/>
                <w:sz w:val="20"/>
              </w:rPr>
            </w:pPr>
            <w:r w:rsidRPr="00A373DE">
              <w:rPr>
                <w:rFonts w:ascii="Open Sans" w:hAnsi="Open Sans"/>
                <w:sz w:val="20"/>
              </w:rPr>
              <w:t>$7.17</w:t>
            </w:r>
          </w:p>
        </w:tc>
      </w:tr>
      <w:tr w:rsidR="00356226" w14:paraId="23CA41D7"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330AD508" w14:textId="77777777" w:rsidR="00356226" w:rsidRPr="00A373DE" w:rsidRDefault="00356226">
            <w:pPr>
              <w:rPr>
                <w:rFonts w:ascii="Open Sans" w:hAnsi="Open Sans"/>
                <w:sz w:val="20"/>
              </w:rPr>
            </w:pPr>
            <w:r w:rsidRPr="00A373DE">
              <w:rPr>
                <w:rFonts w:ascii="Open Sans" w:hAnsi="Open Sans"/>
                <w:sz w:val="20"/>
              </w:rPr>
              <w:t>May 23, 2012</w:t>
            </w:r>
          </w:p>
        </w:tc>
        <w:tc>
          <w:tcPr>
            <w:tcW w:w="3214" w:type="dxa"/>
            <w:tcBorders>
              <w:top w:val="single" w:sz="4" w:space="0" w:color="auto"/>
              <w:left w:val="single" w:sz="4" w:space="0" w:color="auto"/>
              <w:bottom w:val="single" w:sz="4" w:space="0" w:color="auto"/>
              <w:right w:val="single" w:sz="4" w:space="0" w:color="auto"/>
            </w:tcBorders>
            <w:hideMark/>
          </w:tcPr>
          <w:p w14:paraId="419B68F3" w14:textId="77777777" w:rsidR="00356226" w:rsidRPr="00A373DE" w:rsidRDefault="00356226">
            <w:pPr>
              <w:rPr>
                <w:rFonts w:ascii="Open Sans" w:hAnsi="Open Sans"/>
                <w:sz w:val="20"/>
              </w:rPr>
            </w:pPr>
            <w:r w:rsidRPr="00A373DE">
              <w:rPr>
                <w:rFonts w:ascii="Open Sans" w:hAnsi="Open Sans"/>
                <w:sz w:val="20"/>
              </w:rPr>
              <w:t>8.15</w:t>
            </w:r>
          </w:p>
        </w:tc>
        <w:tc>
          <w:tcPr>
            <w:tcW w:w="3207" w:type="dxa"/>
            <w:tcBorders>
              <w:top w:val="single" w:sz="4" w:space="0" w:color="auto"/>
              <w:left w:val="single" w:sz="4" w:space="0" w:color="auto"/>
              <w:bottom w:val="single" w:sz="4" w:space="0" w:color="auto"/>
              <w:right w:val="single" w:sz="4" w:space="0" w:color="auto"/>
            </w:tcBorders>
            <w:hideMark/>
          </w:tcPr>
          <w:p w14:paraId="02161257" w14:textId="77777777" w:rsidR="00356226" w:rsidRPr="00A373DE" w:rsidRDefault="00356226">
            <w:pPr>
              <w:rPr>
                <w:rFonts w:ascii="Open Sans" w:hAnsi="Open Sans"/>
                <w:sz w:val="20"/>
              </w:rPr>
            </w:pPr>
            <w:r w:rsidRPr="00A373DE">
              <w:rPr>
                <w:rFonts w:ascii="Open Sans" w:hAnsi="Open Sans"/>
                <w:sz w:val="20"/>
              </w:rPr>
              <w:t>7.19</w:t>
            </w:r>
          </w:p>
        </w:tc>
      </w:tr>
      <w:tr w:rsidR="00356226" w14:paraId="0EA7E273"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214C8B5C" w14:textId="77777777" w:rsidR="00356226" w:rsidRPr="00A373DE" w:rsidRDefault="00356226">
            <w:pPr>
              <w:rPr>
                <w:rFonts w:ascii="Open Sans" w:hAnsi="Open Sans"/>
                <w:sz w:val="20"/>
              </w:rPr>
            </w:pPr>
            <w:r w:rsidRPr="00A373DE">
              <w:rPr>
                <w:rFonts w:ascii="Open Sans" w:hAnsi="Open Sans"/>
                <w:sz w:val="20"/>
              </w:rPr>
              <w:t>September 5, 2012</w:t>
            </w:r>
          </w:p>
        </w:tc>
        <w:tc>
          <w:tcPr>
            <w:tcW w:w="3214" w:type="dxa"/>
            <w:tcBorders>
              <w:top w:val="single" w:sz="4" w:space="0" w:color="auto"/>
              <w:left w:val="single" w:sz="4" w:space="0" w:color="auto"/>
              <w:bottom w:val="single" w:sz="4" w:space="0" w:color="auto"/>
              <w:right w:val="single" w:sz="4" w:space="0" w:color="auto"/>
            </w:tcBorders>
            <w:hideMark/>
          </w:tcPr>
          <w:p w14:paraId="108B0006" w14:textId="77777777" w:rsidR="00356226" w:rsidRPr="00A373DE" w:rsidRDefault="00356226">
            <w:pPr>
              <w:rPr>
                <w:rFonts w:ascii="Open Sans" w:hAnsi="Open Sans"/>
                <w:sz w:val="20"/>
              </w:rPr>
            </w:pPr>
            <w:r w:rsidRPr="00A373DE">
              <w:rPr>
                <w:rFonts w:ascii="Open Sans" w:hAnsi="Open Sans"/>
                <w:sz w:val="20"/>
              </w:rPr>
              <w:t>8.47</w:t>
            </w:r>
          </w:p>
        </w:tc>
        <w:tc>
          <w:tcPr>
            <w:tcW w:w="3207" w:type="dxa"/>
            <w:tcBorders>
              <w:top w:val="single" w:sz="4" w:space="0" w:color="auto"/>
              <w:left w:val="single" w:sz="4" w:space="0" w:color="auto"/>
              <w:bottom w:val="single" w:sz="4" w:space="0" w:color="auto"/>
              <w:right w:val="single" w:sz="4" w:space="0" w:color="auto"/>
            </w:tcBorders>
            <w:hideMark/>
          </w:tcPr>
          <w:p w14:paraId="3F8C911D" w14:textId="77777777" w:rsidR="00356226" w:rsidRPr="00A373DE" w:rsidRDefault="00356226">
            <w:pPr>
              <w:rPr>
                <w:rFonts w:ascii="Open Sans" w:hAnsi="Open Sans"/>
                <w:sz w:val="20"/>
              </w:rPr>
            </w:pPr>
            <w:r w:rsidRPr="00A373DE">
              <w:rPr>
                <w:rFonts w:ascii="Open Sans" w:hAnsi="Open Sans"/>
                <w:sz w:val="20"/>
              </w:rPr>
              <w:t>7.47</w:t>
            </w:r>
          </w:p>
        </w:tc>
      </w:tr>
      <w:tr w:rsidR="00356226" w14:paraId="4E03CA47"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59A7123E" w14:textId="77777777" w:rsidR="00356226" w:rsidRPr="00A373DE" w:rsidRDefault="00356226">
            <w:pPr>
              <w:rPr>
                <w:rFonts w:ascii="Open Sans" w:hAnsi="Open Sans"/>
                <w:sz w:val="20"/>
              </w:rPr>
            </w:pPr>
            <w:r w:rsidRPr="00A373DE">
              <w:rPr>
                <w:rFonts w:ascii="Open Sans" w:hAnsi="Open Sans"/>
                <w:sz w:val="20"/>
              </w:rPr>
              <w:t>December 4, 2012</w:t>
            </w:r>
          </w:p>
        </w:tc>
        <w:tc>
          <w:tcPr>
            <w:tcW w:w="3214" w:type="dxa"/>
            <w:tcBorders>
              <w:top w:val="single" w:sz="4" w:space="0" w:color="auto"/>
              <w:left w:val="single" w:sz="4" w:space="0" w:color="auto"/>
              <w:bottom w:val="single" w:sz="4" w:space="0" w:color="auto"/>
              <w:right w:val="single" w:sz="4" w:space="0" w:color="auto"/>
            </w:tcBorders>
            <w:hideMark/>
          </w:tcPr>
          <w:p w14:paraId="7973C4C3" w14:textId="77777777" w:rsidR="00356226" w:rsidRPr="00A373DE" w:rsidRDefault="00356226">
            <w:pPr>
              <w:rPr>
                <w:rFonts w:ascii="Open Sans" w:hAnsi="Open Sans"/>
                <w:sz w:val="20"/>
              </w:rPr>
            </w:pPr>
            <w:r w:rsidRPr="00A373DE">
              <w:rPr>
                <w:rFonts w:ascii="Open Sans" w:hAnsi="Open Sans"/>
                <w:sz w:val="20"/>
              </w:rPr>
              <w:t>11.89</w:t>
            </w:r>
          </w:p>
        </w:tc>
        <w:tc>
          <w:tcPr>
            <w:tcW w:w="3207" w:type="dxa"/>
            <w:tcBorders>
              <w:top w:val="single" w:sz="4" w:space="0" w:color="auto"/>
              <w:left w:val="single" w:sz="4" w:space="0" w:color="auto"/>
              <w:bottom w:val="single" w:sz="4" w:space="0" w:color="auto"/>
              <w:right w:val="single" w:sz="4" w:space="0" w:color="auto"/>
            </w:tcBorders>
            <w:hideMark/>
          </w:tcPr>
          <w:p w14:paraId="695070C9" w14:textId="77777777" w:rsidR="00356226" w:rsidRPr="00A373DE" w:rsidRDefault="00356226">
            <w:pPr>
              <w:rPr>
                <w:rFonts w:ascii="Open Sans" w:hAnsi="Open Sans"/>
                <w:sz w:val="20"/>
              </w:rPr>
            </w:pPr>
            <w:r w:rsidRPr="00A373DE">
              <w:rPr>
                <w:rFonts w:ascii="Open Sans" w:hAnsi="Open Sans"/>
                <w:sz w:val="20"/>
              </w:rPr>
              <w:t>9.30</w:t>
            </w:r>
          </w:p>
        </w:tc>
      </w:tr>
      <w:tr w:rsidR="00356226" w14:paraId="7FF8FBE1"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0273D7EB" w14:textId="77777777" w:rsidR="00356226" w:rsidRPr="00A373DE" w:rsidRDefault="00356226">
            <w:pPr>
              <w:rPr>
                <w:rFonts w:ascii="Open Sans" w:hAnsi="Open Sans"/>
                <w:sz w:val="20"/>
              </w:rPr>
            </w:pPr>
            <w:r w:rsidRPr="00A373DE">
              <w:rPr>
                <w:rFonts w:ascii="Open Sans" w:hAnsi="Open Sans"/>
                <w:sz w:val="20"/>
              </w:rPr>
              <w:t>December 10, 2012</w:t>
            </w:r>
          </w:p>
        </w:tc>
        <w:tc>
          <w:tcPr>
            <w:tcW w:w="3214" w:type="dxa"/>
            <w:tcBorders>
              <w:top w:val="single" w:sz="4" w:space="0" w:color="auto"/>
              <w:left w:val="single" w:sz="4" w:space="0" w:color="auto"/>
              <w:bottom w:val="single" w:sz="4" w:space="0" w:color="auto"/>
              <w:right w:val="single" w:sz="4" w:space="0" w:color="auto"/>
            </w:tcBorders>
            <w:hideMark/>
          </w:tcPr>
          <w:p w14:paraId="312F08D8" w14:textId="77777777" w:rsidR="00356226" w:rsidRPr="00A373DE" w:rsidRDefault="00356226">
            <w:pPr>
              <w:rPr>
                <w:rFonts w:ascii="Open Sans" w:hAnsi="Open Sans"/>
                <w:sz w:val="20"/>
              </w:rPr>
            </w:pPr>
            <w:r w:rsidRPr="00A373DE">
              <w:rPr>
                <w:rFonts w:ascii="Open Sans" w:hAnsi="Open Sans"/>
                <w:sz w:val="20"/>
              </w:rPr>
              <w:t>11.89</w:t>
            </w:r>
          </w:p>
        </w:tc>
        <w:tc>
          <w:tcPr>
            <w:tcW w:w="3207" w:type="dxa"/>
            <w:tcBorders>
              <w:top w:val="single" w:sz="4" w:space="0" w:color="auto"/>
              <w:left w:val="single" w:sz="4" w:space="0" w:color="auto"/>
              <w:bottom w:val="single" w:sz="4" w:space="0" w:color="auto"/>
              <w:right w:val="single" w:sz="4" w:space="0" w:color="auto"/>
            </w:tcBorders>
            <w:hideMark/>
          </w:tcPr>
          <w:p w14:paraId="74732255" w14:textId="77777777" w:rsidR="00356226" w:rsidRPr="00A373DE" w:rsidRDefault="00356226">
            <w:pPr>
              <w:rPr>
                <w:rFonts w:ascii="Open Sans" w:hAnsi="Open Sans"/>
                <w:sz w:val="20"/>
              </w:rPr>
            </w:pPr>
            <w:r w:rsidRPr="00A373DE">
              <w:rPr>
                <w:rFonts w:ascii="Open Sans" w:hAnsi="Open Sans"/>
                <w:sz w:val="20"/>
              </w:rPr>
              <w:t>9.30</w:t>
            </w:r>
          </w:p>
        </w:tc>
      </w:tr>
      <w:tr w:rsidR="00356226" w14:paraId="404EA0F0"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0DE3E140" w14:textId="77777777" w:rsidR="00356226" w:rsidRPr="00A373DE" w:rsidRDefault="00356226">
            <w:pPr>
              <w:rPr>
                <w:rFonts w:ascii="Open Sans" w:hAnsi="Open Sans"/>
                <w:sz w:val="20"/>
              </w:rPr>
            </w:pPr>
            <w:r w:rsidRPr="00A373DE">
              <w:rPr>
                <w:rFonts w:ascii="Open Sans" w:hAnsi="Open Sans"/>
                <w:sz w:val="20"/>
              </w:rPr>
              <w:t>February 28, 2013</w:t>
            </w:r>
          </w:p>
        </w:tc>
        <w:tc>
          <w:tcPr>
            <w:tcW w:w="3214" w:type="dxa"/>
            <w:tcBorders>
              <w:top w:val="single" w:sz="4" w:space="0" w:color="auto"/>
              <w:left w:val="single" w:sz="4" w:space="0" w:color="auto"/>
              <w:bottom w:val="single" w:sz="4" w:space="0" w:color="auto"/>
              <w:right w:val="single" w:sz="4" w:space="0" w:color="auto"/>
            </w:tcBorders>
            <w:hideMark/>
          </w:tcPr>
          <w:p w14:paraId="7A450720" w14:textId="77777777" w:rsidR="00356226" w:rsidRPr="00A373DE" w:rsidRDefault="00356226">
            <w:pPr>
              <w:rPr>
                <w:rFonts w:ascii="Open Sans" w:hAnsi="Open Sans"/>
                <w:sz w:val="20"/>
              </w:rPr>
            </w:pPr>
            <w:r w:rsidRPr="00A373DE">
              <w:rPr>
                <w:rFonts w:ascii="Open Sans" w:hAnsi="Open Sans"/>
                <w:sz w:val="20"/>
              </w:rPr>
              <w:t>18.23</w:t>
            </w:r>
          </w:p>
        </w:tc>
        <w:tc>
          <w:tcPr>
            <w:tcW w:w="3207" w:type="dxa"/>
            <w:tcBorders>
              <w:top w:val="single" w:sz="4" w:space="0" w:color="auto"/>
              <w:left w:val="single" w:sz="4" w:space="0" w:color="auto"/>
              <w:bottom w:val="single" w:sz="4" w:space="0" w:color="auto"/>
              <w:right w:val="single" w:sz="4" w:space="0" w:color="auto"/>
            </w:tcBorders>
            <w:hideMark/>
          </w:tcPr>
          <w:p w14:paraId="452F3D47" w14:textId="77777777" w:rsidR="00356226" w:rsidRPr="00A373DE" w:rsidRDefault="00356226">
            <w:pPr>
              <w:rPr>
                <w:rFonts w:ascii="Open Sans" w:hAnsi="Open Sans"/>
                <w:sz w:val="20"/>
              </w:rPr>
            </w:pPr>
            <w:r w:rsidRPr="00A373DE">
              <w:rPr>
                <w:rFonts w:ascii="Open Sans" w:hAnsi="Open Sans"/>
                <w:sz w:val="20"/>
              </w:rPr>
              <w:t>14.95</w:t>
            </w:r>
          </w:p>
        </w:tc>
      </w:tr>
      <w:tr w:rsidR="00356226" w14:paraId="231596EA"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2380F05B" w14:textId="77777777" w:rsidR="00356226" w:rsidRPr="00A373DE" w:rsidRDefault="00356226">
            <w:pPr>
              <w:rPr>
                <w:rFonts w:ascii="Open Sans" w:hAnsi="Open Sans"/>
                <w:sz w:val="20"/>
              </w:rPr>
            </w:pPr>
            <w:r w:rsidRPr="00A373DE">
              <w:rPr>
                <w:rFonts w:ascii="Open Sans" w:hAnsi="Open Sans"/>
                <w:sz w:val="20"/>
              </w:rPr>
              <w:t>March 15, 2013</w:t>
            </w:r>
          </w:p>
        </w:tc>
        <w:tc>
          <w:tcPr>
            <w:tcW w:w="3214" w:type="dxa"/>
            <w:tcBorders>
              <w:top w:val="single" w:sz="4" w:space="0" w:color="auto"/>
              <w:left w:val="single" w:sz="4" w:space="0" w:color="auto"/>
              <w:bottom w:val="single" w:sz="4" w:space="0" w:color="auto"/>
              <w:right w:val="single" w:sz="4" w:space="0" w:color="auto"/>
            </w:tcBorders>
            <w:hideMark/>
          </w:tcPr>
          <w:p w14:paraId="24918C61" w14:textId="77777777" w:rsidR="00356226" w:rsidRPr="00A373DE" w:rsidRDefault="00356226">
            <w:pPr>
              <w:rPr>
                <w:rFonts w:ascii="Open Sans" w:hAnsi="Open Sans"/>
                <w:sz w:val="20"/>
              </w:rPr>
            </w:pPr>
            <w:r w:rsidRPr="00A373DE">
              <w:rPr>
                <w:rFonts w:ascii="Open Sans" w:hAnsi="Open Sans"/>
                <w:sz w:val="20"/>
              </w:rPr>
              <w:t>19.13</w:t>
            </w:r>
          </w:p>
        </w:tc>
        <w:tc>
          <w:tcPr>
            <w:tcW w:w="3207" w:type="dxa"/>
            <w:tcBorders>
              <w:top w:val="single" w:sz="4" w:space="0" w:color="auto"/>
              <w:left w:val="single" w:sz="4" w:space="0" w:color="auto"/>
              <w:bottom w:val="single" w:sz="4" w:space="0" w:color="auto"/>
              <w:right w:val="single" w:sz="4" w:space="0" w:color="auto"/>
            </w:tcBorders>
            <w:hideMark/>
          </w:tcPr>
          <w:p w14:paraId="7EC33D5A" w14:textId="77777777" w:rsidR="00356226" w:rsidRPr="00A373DE" w:rsidRDefault="00356226">
            <w:pPr>
              <w:rPr>
                <w:rFonts w:ascii="Open Sans" w:hAnsi="Open Sans"/>
                <w:sz w:val="20"/>
              </w:rPr>
            </w:pPr>
            <w:r w:rsidRPr="00A373DE">
              <w:rPr>
                <w:rFonts w:ascii="Open Sans" w:hAnsi="Open Sans"/>
                <w:sz w:val="20"/>
              </w:rPr>
              <w:t>14.98</w:t>
            </w:r>
          </w:p>
        </w:tc>
      </w:tr>
      <w:tr w:rsidR="00356226" w14:paraId="102457F4" w14:textId="77777777" w:rsidTr="00356226">
        <w:tc>
          <w:tcPr>
            <w:tcW w:w="3217" w:type="dxa"/>
            <w:tcBorders>
              <w:top w:val="single" w:sz="4" w:space="0" w:color="auto"/>
              <w:left w:val="single" w:sz="4" w:space="0" w:color="auto"/>
              <w:bottom w:val="single" w:sz="4" w:space="0" w:color="auto"/>
              <w:right w:val="single" w:sz="4" w:space="0" w:color="auto"/>
            </w:tcBorders>
            <w:hideMark/>
          </w:tcPr>
          <w:p w14:paraId="0E4B542C" w14:textId="77777777" w:rsidR="00356226" w:rsidRPr="00A373DE" w:rsidRDefault="00356226">
            <w:pPr>
              <w:rPr>
                <w:rFonts w:ascii="Open Sans" w:hAnsi="Open Sans"/>
                <w:sz w:val="20"/>
              </w:rPr>
            </w:pPr>
            <w:r w:rsidRPr="00A373DE">
              <w:rPr>
                <w:rFonts w:ascii="Open Sans" w:hAnsi="Open Sans"/>
                <w:sz w:val="20"/>
              </w:rPr>
              <w:t>May 1, 2013</w:t>
            </w:r>
          </w:p>
        </w:tc>
        <w:tc>
          <w:tcPr>
            <w:tcW w:w="3214" w:type="dxa"/>
            <w:tcBorders>
              <w:top w:val="single" w:sz="4" w:space="0" w:color="auto"/>
              <w:left w:val="single" w:sz="4" w:space="0" w:color="auto"/>
              <w:bottom w:val="single" w:sz="4" w:space="0" w:color="auto"/>
              <w:right w:val="single" w:sz="4" w:space="0" w:color="auto"/>
            </w:tcBorders>
            <w:hideMark/>
          </w:tcPr>
          <w:p w14:paraId="7AE8C232" w14:textId="77777777" w:rsidR="00356226" w:rsidRPr="00A373DE" w:rsidRDefault="00356226">
            <w:pPr>
              <w:rPr>
                <w:rFonts w:ascii="Open Sans" w:hAnsi="Open Sans"/>
                <w:sz w:val="20"/>
              </w:rPr>
            </w:pPr>
            <w:r w:rsidRPr="00A373DE">
              <w:rPr>
                <w:rFonts w:ascii="Open Sans" w:hAnsi="Open Sans"/>
                <w:sz w:val="20"/>
              </w:rPr>
              <w:t>24.50</w:t>
            </w:r>
          </w:p>
        </w:tc>
        <w:tc>
          <w:tcPr>
            <w:tcW w:w="3207" w:type="dxa"/>
            <w:tcBorders>
              <w:top w:val="single" w:sz="4" w:space="0" w:color="auto"/>
              <w:left w:val="single" w:sz="4" w:space="0" w:color="auto"/>
              <w:bottom w:val="single" w:sz="4" w:space="0" w:color="auto"/>
              <w:right w:val="single" w:sz="4" w:space="0" w:color="auto"/>
            </w:tcBorders>
            <w:hideMark/>
          </w:tcPr>
          <w:p w14:paraId="4E6EEA6E" w14:textId="77777777" w:rsidR="00356226" w:rsidRPr="00A373DE" w:rsidRDefault="00356226">
            <w:pPr>
              <w:rPr>
                <w:rFonts w:ascii="Open Sans" w:hAnsi="Open Sans"/>
                <w:sz w:val="20"/>
              </w:rPr>
            </w:pPr>
            <w:r w:rsidRPr="00A373DE">
              <w:rPr>
                <w:rFonts w:ascii="Open Sans" w:hAnsi="Open Sans"/>
                <w:sz w:val="20"/>
              </w:rPr>
              <w:t>24.50</w:t>
            </w:r>
          </w:p>
        </w:tc>
      </w:tr>
    </w:tbl>
    <w:p w14:paraId="4F561F9E" w14:textId="6953552A" w:rsidR="00356226" w:rsidRDefault="00356226" w:rsidP="00356226">
      <w:pPr>
        <w:spacing w:before="120" w:after="120" w:line="360" w:lineRule="auto"/>
        <w:jc w:val="both"/>
        <w:rPr>
          <w:rFonts w:ascii="Open Sans" w:hAnsi="Open Sans" w:cs="Open Sans"/>
          <w:sz w:val="20"/>
          <w:szCs w:val="20"/>
        </w:rPr>
      </w:pPr>
      <w:r w:rsidRPr="00356226">
        <w:rPr>
          <w:rFonts w:ascii="Open Sans" w:hAnsi="Open Sans" w:cs="Open Sans"/>
          <w:sz w:val="20"/>
          <w:szCs w:val="20"/>
        </w:rPr>
        <w:lastRenderedPageBreak/>
        <w:t>The IPO final pricing on May 16, 2013 was 8.2 million shares at $31 per share.  On the first day of trading the stock price rose to $50 per share.  By February 2014 the stock price had risen to over $100 and Tableau completed a secondary offering for $345 million.</w:t>
      </w:r>
    </w:p>
    <w:p w14:paraId="08326042" w14:textId="25B96C5B" w:rsidR="00BA7107" w:rsidRPr="002F6B23" w:rsidRDefault="00954123" w:rsidP="00BA7107">
      <w:pPr>
        <w:pStyle w:val="Heading1"/>
        <w:rPr>
          <w:rFonts w:ascii="Open Sans" w:hAnsi="Open Sans" w:cs="Open Sans"/>
          <w:smallCaps/>
          <w:color w:val="33006F"/>
        </w:rPr>
      </w:pPr>
      <w:r>
        <w:rPr>
          <w:rFonts w:ascii="Open Sans" w:hAnsi="Open Sans" w:cs="Open Sans"/>
          <w:smallCaps/>
          <w:color w:val="33006F"/>
        </w:rPr>
        <w:t>The IPO disclosure environment</w:t>
      </w:r>
    </w:p>
    <w:p w14:paraId="6C8C8D1A" w14:textId="77777777" w:rsidR="00954123" w:rsidRDefault="00954123" w:rsidP="00C82B3D">
      <w:pPr>
        <w:spacing w:before="120" w:after="120" w:line="360" w:lineRule="auto"/>
        <w:jc w:val="both"/>
        <w:rPr>
          <w:rFonts w:ascii="Open Sans" w:hAnsi="Open Sans" w:cs="Open Sans"/>
          <w:sz w:val="20"/>
          <w:szCs w:val="20"/>
        </w:rPr>
      </w:pPr>
      <w:r>
        <w:rPr>
          <w:rFonts w:ascii="Open Sans" w:hAnsi="Open Sans" w:cs="Open Sans"/>
          <w:sz w:val="20"/>
          <w:szCs w:val="20"/>
        </w:rPr>
        <w:t xml:space="preserve">In addition to understanding the business, a key part of auditing the client who wishes to undertake an IPO is to understand the financial reporting requirements that the company faces. </w:t>
      </w:r>
    </w:p>
    <w:p w14:paraId="229B24FC" w14:textId="070615FC" w:rsidR="00954123" w:rsidRPr="00954123" w:rsidRDefault="00954123" w:rsidP="00954123">
      <w:pPr>
        <w:spacing w:before="120" w:after="120" w:line="360" w:lineRule="auto"/>
        <w:ind w:left="720" w:right="648"/>
        <w:jc w:val="both"/>
        <w:rPr>
          <w:rFonts w:ascii="Calibri" w:eastAsia="Calibri" w:hAnsi="Calibri" w:cs="Times New Roman"/>
          <w:sz w:val="20"/>
          <w:szCs w:val="20"/>
        </w:rPr>
      </w:pPr>
      <w:r>
        <w:rPr>
          <w:rFonts w:ascii="Calibri" w:eastAsia="Calibri" w:hAnsi="Calibri" w:cs="Times New Roman"/>
          <w:sz w:val="20"/>
          <w:szCs w:val="20"/>
        </w:rPr>
        <w:t>“</w:t>
      </w:r>
      <w:r w:rsidRPr="00954123">
        <w:rPr>
          <w:rFonts w:ascii="Calibri" w:eastAsia="Calibri" w:hAnsi="Calibri" w:cs="Times New Roman"/>
          <w:sz w:val="20"/>
          <w:szCs w:val="20"/>
        </w:rPr>
        <w:t>Note: The auditor should look to the requirements of the Securities and Exchange Commission for the company under audit with respect to the accounting principles applicable to that company.</w:t>
      </w:r>
      <w:r>
        <w:rPr>
          <w:rFonts w:ascii="Calibri" w:eastAsia="Calibri" w:hAnsi="Calibri" w:cs="Times New Roman"/>
          <w:sz w:val="20"/>
          <w:szCs w:val="20"/>
        </w:rPr>
        <w:t>”</w:t>
      </w:r>
    </w:p>
    <w:p w14:paraId="750D4E50" w14:textId="109F84C6" w:rsidR="00C779A2" w:rsidRDefault="002A23D0" w:rsidP="00C82B3D">
      <w:pPr>
        <w:spacing w:before="120" w:after="120" w:line="360" w:lineRule="auto"/>
        <w:jc w:val="both"/>
        <w:rPr>
          <w:rFonts w:ascii="Open Sans" w:hAnsi="Open Sans" w:cs="Open Sans"/>
          <w:sz w:val="20"/>
          <w:szCs w:val="20"/>
        </w:rPr>
      </w:pPr>
      <w:r>
        <w:rPr>
          <w:rFonts w:ascii="Open Sans" w:hAnsi="Open Sans" w:cs="Open Sans"/>
          <w:sz w:val="20"/>
          <w:szCs w:val="20"/>
        </w:rPr>
        <w:t xml:space="preserve">The IPO presents </w:t>
      </w:r>
      <w:r w:rsidR="00C779A2">
        <w:rPr>
          <w:rFonts w:ascii="Open Sans" w:hAnsi="Open Sans" w:cs="Open Sans"/>
          <w:sz w:val="20"/>
          <w:szCs w:val="20"/>
        </w:rPr>
        <w:t xml:space="preserve">new risks due to the fundamental differences in accounting. </w:t>
      </w:r>
      <w:r w:rsidR="00954123">
        <w:rPr>
          <w:rFonts w:ascii="Open Sans" w:hAnsi="Open Sans" w:cs="Open Sans"/>
          <w:sz w:val="20"/>
          <w:szCs w:val="20"/>
        </w:rPr>
        <w:t>business</w:t>
      </w:r>
    </w:p>
    <w:p w14:paraId="71BF99C4" w14:textId="27DC57D4" w:rsidR="00313936" w:rsidRPr="00313936" w:rsidRDefault="00E56061" w:rsidP="00313936">
      <w:pPr>
        <w:spacing w:before="120" w:after="120" w:line="360" w:lineRule="auto"/>
        <w:jc w:val="both"/>
        <w:rPr>
          <w:rFonts w:ascii="Open Sans" w:hAnsi="Open Sans" w:cs="Open Sans"/>
          <w:sz w:val="20"/>
          <w:szCs w:val="20"/>
        </w:rPr>
      </w:pPr>
      <w:r w:rsidRPr="00E56061">
        <w:rPr>
          <w:rFonts w:ascii="Open Sans" w:eastAsiaTheme="majorEastAsia" w:hAnsi="Open Sans" w:cs="Open Sans"/>
          <w:b/>
          <w:bCs/>
          <w:smallCaps/>
          <w:color w:val="33006F"/>
          <w:szCs w:val="28"/>
        </w:rPr>
        <w:t xml:space="preserve">A spotlight on Groupon: </w:t>
      </w:r>
      <w:r w:rsidR="00313936" w:rsidRPr="00313936">
        <w:rPr>
          <w:rFonts w:ascii="Open Sans" w:hAnsi="Open Sans" w:cs="Open Sans"/>
          <w:sz w:val="20"/>
          <w:szCs w:val="20"/>
        </w:rPr>
        <w:t>Prior to its IPO, Groupon, Inc. described itself as a local e-commerce marketplace that connects merchants to consumers by offering goods and services at a discount. Groupon is based in Chicago, Illinois and commence</w:t>
      </w:r>
      <w:r w:rsidR="00313936">
        <w:rPr>
          <w:rFonts w:ascii="Open Sans" w:hAnsi="Open Sans" w:cs="Open Sans"/>
          <w:sz w:val="20"/>
          <w:szCs w:val="20"/>
        </w:rPr>
        <w:t xml:space="preserve">d operations in November 2008. </w:t>
      </w:r>
      <w:r w:rsidR="00313936" w:rsidRPr="00313936">
        <w:rPr>
          <w:rFonts w:ascii="Open Sans" w:hAnsi="Open Sans" w:cs="Open Sans"/>
          <w:sz w:val="20"/>
          <w:szCs w:val="20"/>
        </w:rPr>
        <w:t xml:space="preserve">At that time, Groupon said that it created a new way for local merchants to attract customers, while providing consumers with savings and helping them discover what to do, eat, see and buy in </w:t>
      </w:r>
      <w:r w:rsidR="00313936">
        <w:rPr>
          <w:rFonts w:ascii="Open Sans" w:hAnsi="Open Sans" w:cs="Open Sans"/>
          <w:sz w:val="20"/>
          <w:szCs w:val="20"/>
        </w:rPr>
        <w:t xml:space="preserve">the places they live and work. </w:t>
      </w:r>
      <w:r w:rsidR="00313936" w:rsidRPr="00313936">
        <w:rPr>
          <w:rFonts w:ascii="Open Sans" w:hAnsi="Open Sans" w:cs="Open Sans"/>
          <w:sz w:val="20"/>
          <w:szCs w:val="20"/>
        </w:rPr>
        <w:t xml:space="preserve">Each day, the Company emails its subscribers with discounted offers for goods and services that are targeted by location and personal preferences. Consumers also access deals directly through the Company's </w:t>
      </w:r>
      <w:r w:rsidR="00313936">
        <w:rPr>
          <w:rFonts w:ascii="Open Sans" w:hAnsi="Open Sans" w:cs="Open Sans"/>
          <w:sz w:val="20"/>
          <w:szCs w:val="20"/>
        </w:rPr>
        <w:t>website and mobile application.</w:t>
      </w:r>
    </w:p>
    <w:p w14:paraId="0FA37FD9" w14:textId="7F4144FD" w:rsidR="00C82B3D" w:rsidRDefault="00313936" w:rsidP="00313936">
      <w:pPr>
        <w:spacing w:before="120" w:after="120" w:line="360" w:lineRule="auto"/>
        <w:jc w:val="both"/>
        <w:rPr>
          <w:rFonts w:ascii="Open Sans" w:hAnsi="Open Sans" w:cs="Open Sans"/>
          <w:sz w:val="20"/>
          <w:szCs w:val="20"/>
        </w:rPr>
      </w:pPr>
      <w:r w:rsidRPr="00313936">
        <w:rPr>
          <w:rFonts w:ascii="Open Sans" w:hAnsi="Open Sans" w:cs="Open Sans"/>
          <w:sz w:val="20"/>
          <w:szCs w:val="20"/>
        </w:rPr>
        <w:t xml:space="preserve">On July 28, 2011, a front-page article in the </w:t>
      </w:r>
      <w:r w:rsidRPr="00313936">
        <w:rPr>
          <w:rFonts w:ascii="Open Sans" w:hAnsi="Open Sans" w:cs="Open Sans"/>
          <w:i/>
          <w:sz w:val="20"/>
          <w:szCs w:val="20"/>
        </w:rPr>
        <w:t>Wall Street Journal</w:t>
      </w:r>
      <w:r w:rsidRPr="00313936">
        <w:rPr>
          <w:rFonts w:ascii="Open Sans" w:hAnsi="Open Sans" w:cs="Open Sans"/>
          <w:sz w:val="20"/>
          <w:szCs w:val="20"/>
        </w:rPr>
        <w:t xml:space="preserve"> reported that: “Groupon Inc. has attracted scrutiny from regulators over a newfangled accounting metric it is using to market itself to investors ahead of its initial public offering.”  The article went on to say that: “Groupon, whose IPO was expected to value the company at $20 billion, has highlighted in regulatory filings something it calls ‘adjusted consolidated segment operating income,’ or adjusted CSOI.  Investors and analysts said that draws attention away from marketing costs, which are causing the</w:t>
      </w:r>
      <w:r>
        <w:rPr>
          <w:rFonts w:ascii="Open Sans" w:hAnsi="Open Sans" w:cs="Open Sans"/>
          <w:sz w:val="20"/>
          <w:szCs w:val="20"/>
        </w:rPr>
        <w:t xml:space="preserve"> company to hemorrhage money.” </w:t>
      </w:r>
      <w:r w:rsidRPr="00313936">
        <w:rPr>
          <w:rFonts w:ascii="Open Sans" w:hAnsi="Open Sans" w:cs="Open Sans"/>
          <w:sz w:val="20"/>
          <w:szCs w:val="20"/>
        </w:rPr>
        <w:t>On August 11, 2011, the Wall Street Journal reported that, in response to pressure from the SEC, Groupon agreed to remove from the IPO documents its “unconventional accounting measurement.”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3"/>
      </w:tblGrid>
      <w:tr w:rsidR="00C779A2" w14:paraId="20BFFA1C" w14:textId="77777777" w:rsidTr="0019347E">
        <w:trPr>
          <w:trHeight w:val="4137"/>
        </w:trPr>
        <w:tc>
          <w:tcPr>
            <w:tcW w:w="5670" w:type="dxa"/>
            <w:tcBorders>
              <w:right w:val="single" w:sz="12" w:space="0" w:color="auto"/>
            </w:tcBorders>
          </w:tcPr>
          <w:p w14:paraId="6B769613" w14:textId="3A25EA29" w:rsidR="00C779A2" w:rsidRDefault="00C779A2" w:rsidP="008173F3">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lastRenderedPageBreak/>
              <w:t>What’s the problem?</w:t>
            </w:r>
            <w:r w:rsidRPr="00744929">
              <w:rPr>
                <w:rFonts w:ascii="Open Sans" w:hAnsi="Open Sans" w:cs="Open Sans"/>
                <w:sz w:val="20"/>
                <w:szCs w:val="20"/>
              </w:rPr>
              <w:t xml:space="preserve"> </w:t>
            </w:r>
            <w:r w:rsidR="00E56061">
              <w:rPr>
                <w:rFonts w:ascii="Open Sans" w:hAnsi="Open Sans" w:cs="Open Sans"/>
                <w:sz w:val="20"/>
                <w:szCs w:val="20"/>
              </w:rPr>
              <w:t>P</w:t>
            </w:r>
            <w:r w:rsidR="00153F15">
              <w:rPr>
                <w:rFonts w:ascii="Open Sans" w:hAnsi="Open Sans" w:cs="Open Sans"/>
                <w:sz w:val="20"/>
                <w:szCs w:val="20"/>
              </w:rPr>
              <w:t xml:space="preserve">rivate companies </w:t>
            </w:r>
            <w:r w:rsidR="00E56061">
              <w:rPr>
                <w:rFonts w:ascii="Open Sans" w:hAnsi="Open Sans" w:cs="Open Sans"/>
                <w:sz w:val="20"/>
                <w:szCs w:val="20"/>
              </w:rPr>
              <w:t xml:space="preserve">are generally </w:t>
            </w:r>
            <w:r w:rsidR="00153F15">
              <w:rPr>
                <w:rFonts w:ascii="Open Sans" w:hAnsi="Open Sans" w:cs="Open Sans"/>
                <w:sz w:val="20"/>
                <w:szCs w:val="20"/>
              </w:rPr>
              <w:t>not required to provide public financial statements</w:t>
            </w:r>
            <w:r w:rsidR="00E56061">
              <w:rPr>
                <w:rFonts w:ascii="Open Sans" w:hAnsi="Open Sans" w:cs="Open Sans"/>
                <w:sz w:val="20"/>
                <w:szCs w:val="20"/>
              </w:rPr>
              <w:t xml:space="preserve"> and instead can selectively disclose audited or unaudited information. This makes the S-1 document a primary source of financial information for public investors. As such, the Corporate Finance division of the SEC reviews all IPO filings</w:t>
            </w:r>
            <w:r w:rsidR="0019347E">
              <w:rPr>
                <w:rFonts w:ascii="Open Sans" w:hAnsi="Open Sans" w:cs="Open Sans"/>
                <w:sz w:val="20"/>
                <w:szCs w:val="20"/>
              </w:rPr>
              <w:t>.</w:t>
            </w:r>
            <w:r w:rsidR="00E56061">
              <w:rPr>
                <w:rFonts w:ascii="Open Sans" w:hAnsi="Open Sans" w:cs="Open Sans"/>
                <w:sz w:val="20"/>
                <w:szCs w:val="20"/>
              </w:rPr>
              <w:t xml:space="preserve"> and send comment letters to the IPO filer requesting clarification or changes to specific disclosure issues in the S-1 document. Changes are common, and will typically be disclosed in the form of an amended S-1 document, called an S-1/A.</w:t>
            </w:r>
            <w:r w:rsidR="00E56061">
              <w:rPr>
                <w:rStyle w:val="EndnoteReference"/>
                <w:rFonts w:ascii="Open Sans" w:hAnsi="Open Sans" w:cs="Open Sans"/>
                <w:sz w:val="20"/>
                <w:szCs w:val="20"/>
              </w:rPr>
              <w:endnoteReference w:id="2"/>
            </w:r>
            <w:r w:rsidR="00E56061">
              <w:rPr>
                <w:rFonts w:ascii="Open Sans" w:hAnsi="Open Sans" w:cs="Open Sans"/>
                <w:sz w:val="20"/>
                <w:szCs w:val="20"/>
              </w:rPr>
              <w:t xml:space="preserve"> </w:t>
            </w:r>
          </w:p>
        </w:tc>
        <w:tc>
          <w:tcPr>
            <w:tcW w:w="3963" w:type="dxa"/>
            <w:tcBorders>
              <w:top w:val="single" w:sz="12" w:space="0" w:color="auto"/>
              <w:left w:val="single" w:sz="12" w:space="0" w:color="auto"/>
              <w:bottom w:val="single" w:sz="12" w:space="0" w:color="auto"/>
              <w:right w:val="single" w:sz="12" w:space="0" w:color="auto"/>
            </w:tcBorders>
          </w:tcPr>
          <w:p w14:paraId="3F685635" w14:textId="39929AC7" w:rsidR="00C779A2" w:rsidRDefault="00C779A2" w:rsidP="00E56061">
            <w:pPr>
              <w:spacing w:before="120" w:after="120" w:line="240" w:lineRule="auto"/>
              <w:jc w:val="both"/>
              <w:rPr>
                <w:rFonts w:ascii="Open Sans" w:hAnsi="Open Sans" w:cs="Open Sans"/>
                <w:sz w:val="20"/>
                <w:szCs w:val="20"/>
              </w:rPr>
            </w:pPr>
            <w:r w:rsidRPr="007B5561">
              <w:rPr>
                <w:rFonts w:ascii="Open Sans" w:hAnsi="Open Sans" w:cs="Open Sans"/>
                <w:noProof/>
                <w:color w:val="37246A" w:themeColor="text2"/>
                <w:sz w:val="18"/>
                <w:szCs w:val="20"/>
              </w:rPr>
              <w:drawing>
                <wp:anchor distT="0" distB="0" distL="114300" distR="114300" simplePos="0" relativeHeight="251663360" behindDoc="1" locked="0" layoutInCell="1" allowOverlap="1" wp14:anchorId="7FEAC941" wp14:editId="6D37AE95">
                  <wp:simplePos x="0" y="0"/>
                  <wp:positionH relativeFrom="column">
                    <wp:posOffset>-3810</wp:posOffset>
                  </wp:positionH>
                  <wp:positionV relativeFrom="paragraph">
                    <wp:posOffset>79375</wp:posOffset>
                  </wp:positionV>
                  <wp:extent cx="603504" cy="603504"/>
                  <wp:effectExtent l="0" t="0" r="0" b="0"/>
                  <wp:wrapSquare wrapText="bothSides"/>
                  <wp:docPr id="10" name="Graphic 10" descr="Head with G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provider=MicrosoftIcon&amp;fileName=HeadWithGears.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03504" cy="603504"/>
                          </a:xfrm>
                          <a:prstGeom prst="rect">
                            <a:avLst/>
                          </a:prstGeom>
                        </pic:spPr>
                      </pic:pic>
                    </a:graphicData>
                  </a:graphic>
                  <wp14:sizeRelH relativeFrom="margin">
                    <wp14:pctWidth>0</wp14:pctWidth>
                  </wp14:sizeRelH>
                  <wp14:sizeRelV relativeFrom="margin">
                    <wp14:pctHeight>0</wp14:pctHeight>
                  </wp14:sizeRelV>
                </wp:anchor>
              </w:drawing>
            </w:r>
            <w:r>
              <w:rPr>
                <w:rFonts w:ascii="Open Sans" w:hAnsi="Open Sans" w:cs="Open Sans"/>
                <w:color w:val="37246A" w:themeColor="text2"/>
                <w:sz w:val="18"/>
                <w:szCs w:val="20"/>
              </w:rPr>
              <w:t xml:space="preserve">In May of </w:t>
            </w:r>
            <w:r w:rsidR="00153F15">
              <w:rPr>
                <w:rFonts w:ascii="Open Sans" w:hAnsi="Open Sans" w:cs="Open Sans"/>
                <w:color w:val="37246A" w:themeColor="text2"/>
                <w:sz w:val="18"/>
                <w:szCs w:val="20"/>
              </w:rPr>
              <w:t>2014</w:t>
            </w:r>
            <w:r>
              <w:rPr>
                <w:rFonts w:ascii="Open Sans" w:hAnsi="Open Sans" w:cs="Open Sans"/>
                <w:color w:val="37246A" w:themeColor="text2"/>
                <w:sz w:val="18"/>
                <w:szCs w:val="20"/>
              </w:rPr>
              <w:t>, Jason Childs, at the time the CFO of Groupon</w:t>
            </w:r>
            <w:r w:rsidR="00153F15">
              <w:rPr>
                <w:rFonts w:ascii="Open Sans" w:hAnsi="Open Sans" w:cs="Open Sans"/>
                <w:color w:val="37246A" w:themeColor="text2"/>
                <w:sz w:val="18"/>
                <w:szCs w:val="20"/>
              </w:rPr>
              <w:t xml:space="preserve">, was invited to the UW’s Financial Reporting Conference as the lunchtime speaker. He discussed the difficulties of working at a company growing so quickly but lacking many of the resources that more seasoned public companies of a similar size had in place. </w:t>
            </w:r>
            <w:r w:rsidR="0019347E">
              <w:rPr>
                <w:rFonts w:ascii="Open Sans" w:hAnsi="Open Sans" w:cs="Open Sans"/>
                <w:color w:val="37246A" w:themeColor="text2"/>
                <w:sz w:val="18"/>
                <w:szCs w:val="20"/>
              </w:rPr>
              <w:t>He noted most of his team were accounts payable. His comments suggest that it was difficult to find sufficient key employees prior to going public. Do you think that this is an indicator that Groupon was rushing to go public? Was it prepared to go public? How important to the success of an IPO is a strong finance team?</w:t>
            </w:r>
          </w:p>
        </w:tc>
      </w:tr>
    </w:tbl>
    <w:p w14:paraId="14F64EA0" w14:textId="15B53A0A" w:rsidR="00C779A2" w:rsidRDefault="00E56061" w:rsidP="00C82B3D">
      <w:pPr>
        <w:spacing w:before="120" w:after="120" w:line="360" w:lineRule="auto"/>
        <w:jc w:val="both"/>
        <w:rPr>
          <w:rFonts w:ascii="Open Sans" w:hAnsi="Open Sans" w:cs="Open Sans"/>
          <w:sz w:val="20"/>
          <w:szCs w:val="20"/>
        </w:rPr>
      </w:pPr>
      <w:r>
        <w:rPr>
          <w:rFonts w:ascii="Open Sans" w:hAnsi="Open Sans" w:cs="Open Sans"/>
          <w:sz w:val="20"/>
          <w:szCs w:val="20"/>
        </w:rPr>
        <w:t>In the first year after becoming a public company, Groupon had lost more than 85% of its market value; had filed an amended 10-K; and had reported significant material weakness in t</w:t>
      </w:r>
      <w:r w:rsidR="008173F3">
        <w:rPr>
          <w:rFonts w:ascii="Open Sans" w:hAnsi="Open Sans" w:cs="Open Sans"/>
          <w:sz w:val="20"/>
          <w:szCs w:val="20"/>
        </w:rPr>
        <w:t xml:space="preserve">heir internal control processes; and fired their CEO. </w:t>
      </w:r>
      <w:r w:rsidR="0019347E">
        <w:rPr>
          <w:rFonts w:ascii="Open Sans" w:hAnsi="Open Sans" w:cs="Open Sans"/>
          <w:sz w:val="20"/>
          <w:szCs w:val="20"/>
        </w:rPr>
        <w:t>Not the best year.</w:t>
      </w:r>
    </w:p>
    <w:p w14:paraId="6EB84EB4" w14:textId="21BE05F7" w:rsidR="00BA7107" w:rsidRPr="002F6B23" w:rsidRDefault="00954123" w:rsidP="00BA7107">
      <w:pPr>
        <w:pStyle w:val="Heading1"/>
        <w:rPr>
          <w:rFonts w:ascii="Open Sans" w:hAnsi="Open Sans" w:cs="Open Sans"/>
          <w:smallCaps/>
          <w:color w:val="33006F"/>
        </w:rPr>
      </w:pPr>
      <w:r>
        <w:rPr>
          <w:rFonts w:ascii="Open Sans" w:hAnsi="Open Sans" w:cs="Open Sans"/>
          <w:smallCaps/>
          <w:color w:val="33006F"/>
        </w:rPr>
        <w:t>Internal Controls</w:t>
      </w:r>
    </w:p>
    <w:p w14:paraId="5E288C1D" w14:textId="42E226A0" w:rsidR="00F2584C" w:rsidRDefault="00D84216" w:rsidP="00F2584C">
      <w:pPr>
        <w:spacing w:before="120" w:after="120" w:line="360" w:lineRule="auto"/>
        <w:jc w:val="both"/>
        <w:rPr>
          <w:rFonts w:ascii="Open Sans" w:hAnsi="Open Sans" w:cs="Open Sans"/>
          <w:sz w:val="20"/>
          <w:szCs w:val="20"/>
        </w:rPr>
      </w:pPr>
      <w:r>
        <w:rPr>
          <w:rFonts w:ascii="Open Sans" w:hAnsi="Open Sans" w:cs="Open Sans"/>
          <w:sz w:val="20"/>
          <w:szCs w:val="20"/>
        </w:rPr>
        <w:t xml:space="preserve">Internal controls </w:t>
      </w:r>
      <w:r w:rsidR="00F2584C">
        <w:rPr>
          <w:rFonts w:ascii="Open Sans" w:hAnsi="Open Sans" w:cs="Open Sans"/>
          <w:sz w:val="20"/>
          <w:szCs w:val="20"/>
        </w:rPr>
        <w:t xml:space="preserve">can be considered in terms of controls over financial reporting, operations, compliance and nonfinancial reporting objectives. We will focus on internal controls over financial reporting (ICFR). </w:t>
      </w:r>
      <w:r w:rsidR="00F2584C" w:rsidRPr="00F2584C">
        <w:rPr>
          <w:rFonts w:ascii="Open Sans" w:hAnsi="Open Sans" w:cs="Open Sans"/>
          <w:sz w:val="20"/>
          <w:szCs w:val="20"/>
        </w:rPr>
        <w:t>Firms have been required to maintain “cost-effective” ICFR since the 1970s, but “cost-effective” is ambiguous and many firms decided it was too costly.</w:t>
      </w:r>
      <w:r w:rsidR="00F2584C">
        <w:rPr>
          <w:rFonts w:ascii="Open Sans" w:hAnsi="Open Sans" w:cs="Open Sans"/>
          <w:sz w:val="20"/>
          <w:szCs w:val="20"/>
        </w:rPr>
        <w:t xml:space="preserve"> </w:t>
      </w:r>
    </w:p>
    <w:tbl>
      <w:tblPr>
        <w:tblStyle w:val="TableGrid"/>
        <w:tblpPr w:leftFromText="180" w:rightFromText="180" w:vertAnchor="text" w:horzAnchor="margin"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3513"/>
      </w:tblGrid>
      <w:tr w:rsidR="00651BE4" w14:paraId="6EEA1DD3" w14:textId="77777777" w:rsidTr="001E415E">
        <w:trPr>
          <w:trHeight w:val="2400"/>
        </w:trPr>
        <w:tc>
          <w:tcPr>
            <w:tcW w:w="6120" w:type="dxa"/>
            <w:tcBorders>
              <w:right w:val="single" w:sz="12" w:space="0" w:color="auto"/>
            </w:tcBorders>
          </w:tcPr>
          <w:p w14:paraId="147E59C1" w14:textId="5DF055D1" w:rsidR="00651BE4" w:rsidRDefault="00651BE4" w:rsidP="00AB4FB5">
            <w:pPr>
              <w:spacing w:before="120" w:line="360" w:lineRule="auto"/>
              <w:jc w:val="both"/>
              <w:rPr>
                <w:rFonts w:ascii="Open Sans" w:hAnsi="Open Sans" w:cs="Open Sans"/>
                <w:sz w:val="20"/>
                <w:szCs w:val="20"/>
              </w:rPr>
            </w:pPr>
            <w:r>
              <w:rPr>
                <w:rFonts w:ascii="Open Sans" w:eastAsiaTheme="majorEastAsia" w:hAnsi="Open Sans" w:cs="Open Sans"/>
                <w:b/>
                <w:bCs/>
                <w:smallCaps/>
                <w:color w:val="33006F"/>
                <w:szCs w:val="28"/>
              </w:rPr>
              <w:t>What’s the problem?</w:t>
            </w:r>
            <w:r w:rsidRPr="00744929">
              <w:rPr>
                <w:rFonts w:ascii="Open Sans" w:hAnsi="Open Sans" w:cs="Open Sans"/>
                <w:sz w:val="20"/>
                <w:szCs w:val="20"/>
              </w:rPr>
              <w:t xml:space="preserve"> </w:t>
            </w:r>
            <w:r>
              <w:rPr>
                <w:rFonts w:ascii="Open Sans" w:hAnsi="Open Sans" w:cs="Open Sans"/>
                <w:sz w:val="20"/>
                <w:szCs w:val="20"/>
              </w:rPr>
              <w:t xml:space="preserve">Ineffective internal controls </w:t>
            </w:r>
            <w:r w:rsidR="001E415E">
              <w:rPr>
                <w:rFonts w:ascii="Open Sans" w:hAnsi="Open Sans" w:cs="Open Sans"/>
                <w:sz w:val="20"/>
                <w:szCs w:val="20"/>
              </w:rPr>
              <w:t>result</w:t>
            </w:r>
            <w:r>
              <w:rPr>
                <w:rFonts w:ascii="Open Sans" w:hAnsi="Open Sans" w:cs="Open Sans"/>
                <w:sz w:val="20"/>
                <w:szCs w:val="20"/>
              </w:rPr>
              <w:t xml:space="preserve"> in less reliable financial reporting, decreasing the usefulness of a</w:t>
            </w:r>
            <w:r w:rsidR="001E415E">
              <w:rPr>
                <w:rFonts w:ascii="Open Sans" w:hAnsi="Open Sans" w:cs="Open Sans"/>
                <w:sz w:val="20"/>
                <w:szCs w:val="20"/>
              </w:rPr>
              <w:t xml:space="preserve">ccounting information, especially accrual estimates, </w:t>
            </w:r>
            <w:r>
              <w:rPr>
                <w:rFonts w:ascii="Open Sans" w:hAnsi="Open Sans" w:cs="Open Sans"/>
                <w:sz w:val="20"/>
                <w:szCs w:val="20"/>
              </w:rPr>
              <w:t>to investors</w:t>
            </w:r>
            <w:r w:rsidR="001E415E">
              <w:rPr>
                <w:rFonts w:ascii="Open Sans" w:hAnsi="Open Sans" w:cs="Open Sans"/>
                <w:sz w:val="20"/>
                <w:szCs w:val="20"/>
              </w:rPr>
              <w:t>.</w:t>
            </w:r>
            <w:r w:rsidR="00E24F49">
              <w:rPr>
                <w:rStyle w:val="EndnoteReference"/>
                <w:rFonts w:ascii="Open Sans" w:hAnsi="Open Sans" w:cs="Open Sans"/>
                <w:sz w:val="20"/>
                <w:szCs w:val="20"/>
              </w:rPr>
              <w:endnoteReference w:id="3"/>
            </w:r>
            <w:r w:rsidR="001E415E">
              <w:rPr>
                <w:rFonts w:ascii="Open Sans" w:hAnsi="Open Sans" w:cs="Open Sans"/>
                <w:sz w:val="20"/>
                <w:szCs w:val="20"/>
              </w:rPr>
              <w:t xml:space="preserve"> In addition, as UW-Foster Professor Sarah McVay and her co-authors highlight, internal control quality impacts the usefulness of </w:t>
            </w:r>
            <w:r w:rsidR="001E52E9">
              <w:rPr>
                <w:rFonts w:ascii="Open Sans" w:hAnsi="Open Sans" w:cs="Open Sans"/>
                <w:sz w:val="20"/>
                <w:szCs w:val="20"/>
              </w:rPr>
              <w:t>internal</w:t>
            </w:r>
            <w:r w:rsidR="001E415E">
              <w:rPr>
                <w:rFonts w:ascii="Open Sans" w:hAnsi="Open Sans" w:cs="Open Sans"/>
                <w:sz w:val="20"/>
                <w:szCs w:val="20"/>
              </w:rPr>
              <w:t xml:space="preserve"> management</w:t>
            </w:r>
            <w:r w:rsidR="001E52E9">
              <w:rPr>
                <w:rFonts w:ascii="Open Sans" w:hAnsi="Open Sans" w:cs="Open Sans"/>
                <w:sz w:val="20"/>
                <w:szCs w:val="20"/>
              </w:rPr>
              <w:t xml:space="preserve"> reports</w:t>
            </w:r>
            <w:r w:rsidR="001E415E">
              <w:rPr>
                <w:rFonts w:ascii="Open Sans" w:hAnsi="Open Sans" w:cs="Open Sans"/>
                <w:sz w:val="20"/>
                <w:szCs w:val="20"/>
              </w:rPr>
              <w:t xml:space="preserve">. </w:t>
            </w:r>
          </w:p>
        </w:tc>
        <w:tc>
          <w:tcPr>
            <w:tcW w:w="3513" w:type="dxa"/>
            <w:tcBorders>
              <w:top w:val="single" w:sz="12" w:space="0" w:color="auto"/>
              <w:left w:val="single" w:sz="12" w:space="0" w:color="auto"/>
              <w:bottom w:val="single" w:sz="12" w:space="0" w:color="auto"/>
              <w:right w:val="single" w:sz="12" w:space="0" w:color="auto"/>
            </w:tcBorders>
          </w:tcPr>
          <w:p w14:paraId="4E4602E6" w14:textId="130AD5DC" w:rsidR="00651BE4" w:rsidRDefault="00651BE4" w:rsidP="00651BE4">
            <w:pPr>
              <w:spacing w:before="120" w:after="120" w:line="240" w:lineRule="auto"/>
              <w:jc w:val="both"/>
              <w:rPr>
                <w:rFonts w:ascii="Open Sans" w:hAnsi="Open Sans" w:cs="Open Sans"/>
                <w:sz w:val="20"/>
                <w:szCs w:val="20"/>
              </w:rPr>
            </w:pPr>
            <w:r>
              <w:rPr>
                <w:rFonts w:ascii="Open Sans" w:hAnsi="Open Sans" w:cs="Open Sans"/>
                <w:noProof/>
                <w:color w:val="37246A" w:themeColor="text2"/>
                <w:sz w:val="18"/>
                <w:szCs w:val="20"/>
              </w:rPr>
              <w:drawing>
                <wp:anchor distT="0" distB="0" distL="114300" distR="114300" simplePos="0" relativeHeight="251670528" behindDoc="0" locked="0" layoutInCell="1" allowOverlap="1" wp14:anchorId="20098714" wp14:editId="696D50FB">
                  <wp:simplePos x="0" y="0"/>
                  <wp:positionH relativeFrom="column">
                    <wp:posOffset>28575</wp:posOffset>
                  </wp:positionH>
                  <wp:positionV relativeFrom="paragraph">
                    <wp:posOffset>46990</wp:posOffset>
                  </wp:positionV>
                  <wp:extent cx="457200" cy="457200"/>
                  <wp:effectExtent l="0" t="0" r="0" b="0"/>
                  <wp:wrapSquare wrapText="bothSides"/>
                  <wp:docPr id="13" name="Graphic 13"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provider=MicrosoftIcon&amp;fileName=Network.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57200" cy="457200"/>
                          </a:xfrm>
                          <a:prstGeom prst="rect">
                            <a:avLst/>
                          </a:prstGeom>
                        </pic:spPr>
                      </pic:pic>
                    </a:graphicData>
                  </a:graphic>
                </wp:anchor>
              </w:drawing>
            </w:r>
            <w:r>
              <w:rPr>
                <w:rFonts w:ascii="Open Sans" w:hAnsi="Open Sans" w:cs="Open Sans"/>
                <w:color w:val="37246A" w:themeColor="text2"/>
                <w:sz w:val="18"/>
                <w:szCs w:val="20"/>
              </w:rPr>
              <w:t xml:space="preserve">Academic evidence suggests that firms </w:t>
            </w:r>
            <w:r w:rsidRPr="00651BE4">
              <w:rPr>
                <w:rFonts w:ascii="Open Sans" w:hAnsi="Open Sans" w:cs="Open Sans"/>
                <w:color w:val="37246A" w:themeColor="text2"/>
                <w:sz w:val="18"/>
                <w:szCs w:val="20"/>
              </w:rPr>
              <w:t xml:space="preserve">with more complex operations, </w:t>
            </w:r>
            <w:r w:rsidRPr="001E415E">
              <w:rPr>
                <w:rFonts w:ascii="Open Sans" w:hAnsi="Open Sans" w:cs="Open Sans"/>
                <w:b/>
                <w:color w:val="37246A" w:themeColor="text2"/>
                <w:sz w:val="18"/>
                <w:szCs w:val="20"/>
              </w:rPr>
              <w:t>recent changes in organization structure</w:t>
            </w:r>
            <w:r w:rsidRPr="00651BE4">
              <w:rPr>
                <w:rFonts w:ascii="Open Sans" w:hAnsi="Open Sans" w:cs="Open Sans"/>
                <w:color w:val="37246A" w:themeColor="text2"/>
                <w:sz w:val="18"/>
                <w:szCs w:val="20"/>
              </w:rPr>
              <w:t xml:space="preserve">, greater accounting risk exposure, and </w:t>
            </w:r>
            <w:r w:rsidRPr="001E415E">
              <w:rPr>
                <w:rFonts w:ascii="Open Sans" w:hAnsi="Open Sans" w:cs="Open Sans"/>
                <w:b/>
                <w:color w:val="37246A" w:themeColor="text2"/>
                <w:sz w:val="18"/>
                <w:szCs w:val="20"/>
              </w:rPr>
              <w:t>less investment in internal control systems</w:t>
            </w:r>
            <w:r w:rsidRPr="00651BE4">
              <w:rPr>
                <w:rFonts w:ascii="Open Sans" w:hAnsi="Open Sans" w:cs="Open Sans"/>
                <w:color w:val="37246A" w:themeColor="text2"/>
                <w:sz w:val="18"/>
                <w:szCs w:val="20"/>
              </w:rPr>
              <w:t xml:space="preserve"> are more likely to disclose </w:t>
            </w:r>
            <w:r w:rsidR="001E415E">
              <w:rPr>
                <w:rFonts w:ascii="Open Sans" w:hAnsi="Open Sans" w:cs="Open Sans"/>
                <w:color w:val="37246A" w:themeColor="text2"/>
                <w:sz w:val="18"/>
                <w:szCs w:val="20"/>
              </w:rPr>
              <w:t xml:space="preserve">internal control weaknesses. What does this imply for IPO firms? </w:t>
            </w:r>
          </w:p>
        </w:tc>
      </w:tr>
    </w:tbl>
    <w:p w14:paraId="22B12968" w14:textId="778AA924" w:rsidR="001E415E" w:rsidRDefault="001E415E" w:rsidP="00651BE4">
      <w:pPr>
        <w:spacing w:before="120" w:after="120" w:line="360" w:lineRule="auto"/>
        <w:jc w:val="both"/>
        <w:rPr>
          <w:rFonts w:ascii="Open Sans" w:hAnsi="Open Sans" w:cs="Open Sans"/>
          <w:sz w:val="20"/>
          <w:szCs w:val="20"/>
        </w:rPr>
      </w:pPr>
      <w:r>
        <w:rPr>
          <w:rFonts w:ascii="Open Sans" w:hAnsi="Open Sans" w:cs="Open Sans"/>
          <w:sz w:val="20"/>
          <w:szCs w:val="20"/>
        </w:rPr>
        <w:t>Specifically, the evidence suggests that internal control weaknesses lower the accuracy of earnings forecasts, especially when the internal control weakness relate to revenues or cost of sales</w:t>
      </w:r>
      <w:r w:rsidR="00AB4FB5">
        <w:rPr>
          <w:rFonts w:ascii="Open Sans" w:hAnsi="Open Sans" w:cs="Open Sans"/>
          <w:sz w:val="20"/>
          <w:szCs w:val="20"/>
        </w:rPr>
        <w:t xml:space="preserve"> </w:t>
      </w:r>
      <w:r w:rsidR="00AB4FB5">
        <w:rPr>
          <w:rFonts w:ascii="Open Sans" w:hAnsi="Open Sans" w:cs="Open Sans"/>
          <w:sz w:val="20"/>
          <w:szCs w:val="20"/>
        </w:rPr>
        <w:fldChar w:fldCharType="begin"/>
      </w:r>
      <w:r w:rsidR="00AB4FB5">
        <w:rPr>
          <w:rFonts w:ascii="Open Sans" w:hAnsi="Open Sans" w:cs="Open Sans"/>
          <w:sz w:val="20"/>
          <w:szCs w:val="20"/>
        </w:rPr>
        <w:instrText xml:space="preserve"> ADDIN EN.CITE &lt;EndNote&gt;&lt;Cite&gt;&lt;Author&gt;Feng&lt;/Author&gt;&lt;Year&gt;2009&lt;/Year&gt;&lt;RecNum&gt;800&lt;/RecNum&gt;&lt;Prefix&gt;see &lt;/Prefix&gt;&lt;DisplayText&gt;(see Feng et al. 2009)&lt;/DisplayText&gt;&lt;record&gt;&lt;rec-number&gt;800&lt;/rec-number&gt;&lt;foreign-keys&gt;&lt;key app="EN" db-id="5wddtwtdltavvheer5vvrda5pftspd2zre9e" timestamp="1506815589"&gt;800&lt;/key&gt;&lt;/foreign-keys&gt;&lt;ref-type name="Journal Article"&gt;17&lt;/ref-type&gt;&lt;contributors&gt;&lt;authors&gt;&lt;author&gt;Feng, Mei&lt;/author&gt;&lt;author&gt;Li, Chan&lt;/author&gt;&lt;author&gt;McVay, Sarah&lt;/author&gt;&lt;/authors&gt;&lt;/contributors&gt;&lt;titles&gt;&lt;title&gt;Internal control and management guidance&lt;/title&gt;&lt;secondary-title&gt;Journal of Accounting and Economics&lt;/secondary-title&gt;&lt;/titles&gt;&lt;periodical&gt;&lt;full-title&gt;Journal of accounting and economics&lt;/full-title&gt;&lt;/periodical&gt;&lt;pages&gt;190-209&lt;/pages&gt;&lt;volume&gt;48&lt;/volume&gt;&lt;number&gt;2&lt;/number&gt;&lt;keywords&gt;&lt;keyword&gt;Management guidance&lt;/keyword&gt;&lt;keyword&gt;Management forecast accuracy&lt;/keyword&gt;&lt;keyword&gt;Internal control over financial reporting&lt;/keyword&gt;&lt;/keywords&gt;&lt;dates&gt;&lt;year&gt;2009&lt;/year&gt;&lt;pub-dates&gt;&lt;date&gt;2009/12/01/&lt;/date&gt;&lt;/pub-dates&gt;&lt;/dates&gt;&lt;isbn&gt;0165-4101&lt;/isbn&gt;&lt;urls&gt;&lt;related-urls&gt;&lt;url&gt;http://www.sciencedirect.com/science/article/pii/S0165410109000500&lt;/url&gt;&lt;/related-urls&gt;&lt;/urls&gt;&lt;electronic-resource-num&gt;https://doi.org/10.1016/j.jacceco.2009.09.004&lt;/electronic-resource-num&gt;&lt;/record&gt;&lt;/Cite&gt;&lt;/EndNote&gt;</w:instrText>
      </w:r>
      <w:r w:rsidR="00AB4FB5">
        <w:rPr>
          <w:rFonts w:ascii="Open Sans" w:hAnsi="Open Sans" w:cs="Open Sans"/>
          <w:sz w:val="20"/>
          <w:szCs w:val="20"/>
        </w:rPr>
        <w:fldChar w:fldCharType="separate"/>
      </w:r>
      <w:r w:rsidR="00AB4FB5">
        <w:rPr>
          <w:rFonts w:ascii="Open Sans" w:hAnsi="Open Sans" w:cs="Open Sans"/>
          <w:noProof/>
          <w:sz w:val="20"/>
          <w:szCs w:val="20"/>
        </w:rPr>
        <w:t>(see Feng et al. 2009)</w:t>
      </w:r>
      <w:r w:rsidR="00AB4FB5">
        <w:rPr>
          <w:rFonts w:ascii="Open Sans" w:hAnsi="Open Sans" w:cs="Open Sans"/>
          <w:sz w:val="20"/>
          <w:szCs w:val="20"/>
        </w:rPr>
        <w:fldChar w:fldCharType="end"/>
      </w:r>
      <w:r>
        <w:rPr>
          <w:rFonts w:ascii="Open Sans" w:hAnsi="Open Sans" w:cs="Open Sans"/>
          <w:sz w:val="20"/>
          <w:szCs w:val="20"/>
        </w:rPr>
        <w:t>.</w:t>
      </w:r>
      <w:r w:rsidR="00AB4FB5">
        <w:rPr>
          <w:rFonts w:ascii="Open Sans" w:hAnsi="Open Sans" w:cs="Open Sans"/>
          <w:sz w:val="20"/>
          <w:szCs w:val="20"/>
        </w:rPr>
        <w:t xml:space="preserve"> </w:t>
      </w:r>
      <w:r w:rsidR="001E52E9">
        <w:rPr>
          <w:rFonts w:ascii="Open Sans" w:hAnsi="Open Sans" w:cs="Open Sans"/>
          <w:sz w:val="20"/>
          <w:szCs w:val="20"/>
        </w:rPr>
        <w:t>F</w:t>
      </w:r>
      <w:r w:rsidR="00AB4FB5">
        <w:rPr>
          <w:rFonts w:ascii="Open Sans" w:hAnsi="Open Sans" w:cs="Open Sans"/>
          <w:sz w:val="20"/>
          <w:szCs w:val="20"/>
        </w:rPr>
        <w:t>orecasts often draw heavily from internal budgets and projection</w:t>
      </w:r>
      <w:r w:rsidR="001E52E9">
        <w:rPr>
          <w:rFonts w:ascii="Open Sans" w:hAnsi="Open Sans" w:cs="Open Sans"/>
          <w:sz w:val="20"/>
          <w:szCs w:val="20"/>
        </w:rPr>
        <w:t xml:space="preserve">s, so these same concerns </w:t>
      </w:r>
      <w:r w:rsidR="001E52E9">
        <w:rPr>
          <w:rFonts w:ascii="Open Sans" w:hAnsi="Open Sans" w:cs="Open Sans"/>
          <w:sz w:val="20"/>
          <w:szCs w:val="20"/>
        </w:rPr>
        <w:lastRenderedPageBreak/>
        <w:t xml:space="preserve">stemming from internal control weaknesses, have also been shown to decrease </w:t>
      </w:r>
      <w:r w:rsidR="00AB4FB5">
        <w:rPr>
          <w:rFonts w:ascii="Open Sans" w:hAnsi="Open Sans" w:cs="Open Sans"/>
          <w:sz w:val="20"/>
          <w:szCs w:val="20"/>
        </w:rPr>
        <w:t>operational efficiency</w:t>
      </w:r>
      <w:r w:rsidR="004E1417">
        <w:rPr>
          <w:rFonts w:ascii="Open Sans" w:hAnsi="Open Sans" w:cs="Open Sans"/>
          <w:sz w:val="20"/>
          <w:szCs w:val="20"/>
        </w:rPr>
        <w:t xml:space="preserve">. For example, inventory management is impacted resulting in slower inventory turnover and more frequent inventory impairments </w:t>
      </w:r>
      <w:r w:rsidR="004E1417">
        <w:rPr>
          <w:rFonts w:ascii="Open Sans" w:hAnsi="Open Sans" w:cs="Open Sans"/>
          <w:sz w:val="20"/>
          <w:szCs w:val="20"/>
        </w:rPr>
        <w:fldChar w:fldCharType="begin"/>
      </w:r>
      <w:r w:rsidR="004E1417">
        <w:rPr>
          <w:rFonts w:ascii="Open Sans" w:hAnsi="Open Sans" w:cs="Open Sans"/>
          <w:sz w:val="20"/>
          <w:szCs w:val="20"/>
        </w:rPr>
        <w:instrText xml:space="preserve"> ADDIN EN.CITE &lt;EndNote&gt;&lt;Cite&gt;&lt;Author&gt;Feng&lt;/Author&gt;&lt;Year&gt;2015&lt;/Year&gt;&lt;RecNum&gt;804&lt;/RecNum&gt;&lt;Prefix&gt;see &lt;/Prefix&gt;&lt;DisplayText&gt;(see Feng et al. 2015)&lt;/DisplayText&gt;&lt;record&gt;&lt;rec-number&gt;804&lt;/rec-number&gt;&lt;foreign-keys&gt;&lt;key app="EN" db-id="5wddtwtdltavvheer5vvrda5pftspd2zre9e" timestamp="1506885850"&gt;804&lt;/key&gt;&lt;/foreign-keys&gt;&lt;ref-type name="Journal Article"&gt;17&lt;/ref-type&gt;&lt;contributors&gt;&lt;authors&gt;&lt;author&gt;Mei Feng&lt;/author&gt;&lt;author&gt;Chan Li&lt;/author&gt;&lt;author&gt;Sarah E. McVay&lt;/author&gt;&lt;author&gt;Hollis Skaife&lt;/author&gt;&lt;/authors&gt;&lt;/contributors&gt;&lt;titles&gt;&lt;title&gt;Does Ineffective Internal Control over Financial Reporting affect a Firm&amp;apos;s Operations? Evidence from Firms&amp;apos; Inventory Management&lt;/title&gt;&lt;secondary-title&gt;The Accounting Review&lt;/secondary-title&gt;&lt;/titles&gt;&lt;periodical&gt;&lt;full-title&gt;The Accounting Review&lt;/full-title&gt;&lt;/periodical&gt;&lt;pages&gt;529-557&lt;/pages&gt;&lt;volume&gt;90&lt;/volume&gt;&lt;number&gt;2&lt;/number&gt;&lt;keywords&gt;&lt;keyword&gt;internal control over financial reporting,inventory management,firm operations&lt;/keyword&gt;&lt;/keywords&gt;&lt;dates&gt;&lt;year&gt;2015&lt;/year&gt;&lt;/dates&gt;&lt;urls&gt;&lt;related-urls&gt;&lt;url&gt;http://www.aaajournals.org/doi/abs/10.2308/accr-50909&lt;/url&gt;&lt;/related-urls&gt;&lt;/urls&gt;&lt;electronic-resource-num&gt;10.2308/accr-50909&lt;/electronic-resource-num&gt;&lt;/record&gt;&lt;/Cite&gt;&lt;/EndNote&gt;</w:instrText>
      </w:r>
      <w:r w:rsidR="004E1417">
        <w:rPr>
          <w:rFonts w:ascii="Open Sans" w:hAnsi="Open Sans" w:cs="Open Sans"/>
          <w:sz w:val="20"/>
          <w:szCs w:val="20"/>
        </w:rPr>
        <w:fldChar w:fldCharType="separate"/>
      </w:r>
      <w:r w:rsidR="004E1417">
        <w:rPr>
          <w:rFonts w:ascii="Open Sans" w:hAnsi="Open Sans" w:cs="Open Sans"/>
          <w:noProof/>
          <w:sz w:val="20"/>
          <w:szCs w:val="20"/>
        </w:rPr>
        <w:t>(see Feng et al. 2015)</w:t>
      </w:r>
      <w:r w:rsidR="004E1417">
        <w:rPr>
          <w:rFonts w:ascii="Open Sans" w:hAnsi="Open Sans" w:cs="Open Sans"/>
          <w:sz w:val="20"/>
          <w:szCs w:val="20"/>
        </w:rPr>
        <w:fldChar w:fldCharType="end"/>
      </w:r>
      <w:r w:rsidR="004E1417">
        <w:rPr>
          <w:rFonts w:ascii="Open Sans" w:hAnsi="Open Sans" w:cs="Open Sans"/>
          <w:sz w:val="20"/>
          <w:szCs w:val="20"/>
        </w:rPr>
        <w:t>.</w:t>
      </w:r>
    </w:p>
    <w:p w14:paraId="2161963B" w14:textId="07EFC896" w:rsidR="00651BE4" w:rsidRPr="00651BE4" w:rsidRDefault="00AA331E" w:rsidP="00651BE4">
      <w:pPr>
        <w:spacing w:before="120" w:after="120" w:line="360" w:lineRule="auto"/>
        <w:jc w:val="both"/>
        <w:rPr>
          <w:rFonts w:ascii="Open Sans" w:hAnsi="Open Sans" w:cs="Open Sans"/>
          <w:sz w:val="20"/>
          <w:szCs w:val="20"/>
        </w:rPr>
      </w:pPr>
      <w:r w:rsidRPr="00651BE4">
        <w:rPr>
          <w:rFonts w:ascii="Open Sans" w:eastAsiaTheme="majorEastAsia" w:hAnsi="Open Sans" w:cs="Open Sans"/>
          <w:b/>
          <w:bCs/>
          <w:smallCaps/>
          <w:color w:val="33006F"/>
          <w:szCs w:val="28"/>
        </w:rPr>
        <w:t>What did SOX do?</w:t>
      </w:r>
      <w:r>
        <w:rPr>
          <w:rFonts w:ascii="Open Sans" w:hAnsi="Open Sans" w:cs="Open Sans"/>
          <w:sz w:val="20"/>
          <w:szCs w:val="20"/>
        </w:rPr>
        <w:t xml:space="preserve"> There are three important sections of SOX that </w:t>
      </w:r>
      <w:r w:rsidR="00651BE4">
        <w:rPr>
          <w:rFonts w:ascii="Open Sans" w:hAnsi="Open Sans" w:cs="Open Sans"/>
          <w:sz w:val="20"/>
          <w:szCs w:val="20"/>
        </w:rPr>
        <w:t xml:space="preserve">relate to ICFR. </w:t>
      </w:r>
      <w:r w:rsidRPr="00AA331E">
        <w:rPr>
          <w:rFonts w:ascii="Open Sans" w:hAnsi="Open Sans" w:cs="Open Sans"/>
          <w:sz w:val="20"/>
          <w:szCs w:val="20"/>
        </w:rPr>
        <w:t>Section 302</w:t>
      </w:r>
      <w:r w:rsidR="00651BE4">
        <w:rPr>
          <w:rFonts w:ascii="Open Sans" w:hAnsi="Open Sans" w:cs="Open Sans"/>
          <w:sz w:val="20"/>
          <w:szCs w:val="20"/>
        </w:rPr>
        <w:t xml:space="preserve"> requires the d</w:t>
      </w:r>
      <w:r w:rsidRPr="00AA331E">
        <w:rPr>
          <w:rFonts w:ascii="Open Sans" w:hAnsi="Open Sans" w:cs="Open Sans"/>
          <w:sz w:val="20"/>
          <w:szCs w:val="20"/>
        </w:rPr>
        <w:t>isclosure</w:t>
      </w:r>
      <w:r w:rsidR="00651BE4">
        <w:rPr>
          <w:rFonts w:ascii="Open Sans" w:hAnsi="Open Sans" w:cs="Open Sans"/>
          <w:sz w:val="20"/>
          <w:szCs w:val="20"/>
        </w:rPr>
        <w:t xml:space="preserve"> of material weaknesses, </w:t>
      </w:r>
      <w:r w:rsidRPr="00AA331E">
        <w:rPr>
          <w:rFonts w:ascii="Open Sans" w:hAnsi="Open Sans" w:cs="Open Sans"/>
          <w:sz w:val="20"/>
          <w:szCs w:val="20"/>
        </w:rPr>
        <w:t>Section 404</w:t>
      </w:r>
      <w:r w:rsidR="00651BE4">
        <w:rPr>
          <w:rFonts w:ascii="Open Sans" w:hAnsi="Open Sans" w:cs="Open Sans"/>
          <w:sz w:val="20"/>
          <w:szCs w:val="20"/>
        </w:rPr>
        <w:t xml:space="preserve"> requires the d</w:t>
      </w:r>
      <w:r w:rsidRPr="00AA331E">
        <w:rPr>
          <w:rFonts w:ascii="Open Sans" w:hAnsi="Open Sans" w:cs="Open Sans"/>
          <w:sz w:val="20"/>
          <w:szCs w:val="20"/>
        </w:rPr>
        <w:t>ocument</w:t>
      </w:r>
      <w:r w:rsidR="00651BE4">
        <w:rPr>
          <w:rFonts w:ascii="Open Sans" w:hAnsi="Open Sans" w:cs="Open Sans"/>
          <w:sz w:val="20"/>
          <w:szCs w:val="20"/>
        </w:rPr>
        <w:t>ation</w:t>
      </w:r>
      <w:r w:rsidRPr="00AA331E">
        <w:rPr>
          <w:rFonts w:ascii="Open Sans" w:hAnsi="Open Sans" w:cs="Open Sans"/>
          <w:sz w:val="20"/>
          <w:szCs w:val="20"/>
        </w:rPr>
        <w:t xml:space="preserve"> and test</w:t>
      </w:r>
      <w:r w:rsidR="00651BE4">
        <w:rPr>
          <w:rFonts w:ascii="Open Sans" w:hAnsi="Open Sans" w:cs="Open Sans"/>
          <w:sz w:val="20"/>
          <w:szCs w:val="20"/>
        </w:rPr>
        <w:t>ing of ICFR</w:t>
      </w:r>
      <w:r w:rsidRPr="00AA331E">
        <w:rPr>
          <w:rFonts w:ascii="Open Sans" w:hAnsi="Open Sans" w:cs="Open Sans"/>
          <w:sz w:val="20"/>
          <w:szCs w:val="20"/>
        </w:rPr>
        <w:t xml:space="preserve"> (404a), </w:t>
      </w:r>
      <w:r w:rsidR="00651BE4">
        <w:rPr>
          <w:rFonts w:ascii="Open Sans" w:hAnsi="Open Sans" w:cs="Open Sans"/>
          <w:sz w:val="20"/>
          <w:szCs w:val="20"/>
        </w:rPr>
        <w:t xml:space="preserve">and the </w:t>
      </w:r>
      <w:r w:rsidRPr="00AA331E">
        <w:rPr>
          <w:rFonts w:ascii="Open Sans" w:hAnsi="Open Sans" w:cs="Open Sans"/>
          <w:sz w:val="20"/>
          <w:szCs w:val="20"/>
        </w:rPr>
        <w:t xml:space="preserve">auditor opinion </w:t>
      </w:r>
      <w:r w:rsidR="00651BE4">
        <w:rPr>
          <w:rFonts w:ascii="Open Sans" w:hAnsi="Open Sans" w:cs="Open Sans"/>
          <w:sz w:val="20"/>
          <w:szCs w:val="20"/>
        </w:rPr>
        <w:t xml:space="preserve">on ICFR </w:t>
      </w:r>
      <w:r w:rsidRPr="00AA331E">
        <w:rPr>
          <w:rFonts w:ascii="Open Sans" w:hAnsi="Open Sans" w:cs="Open Sans"/>
          <w:sz w:val="20"/>
          <w:szCs w:val="20"/>
        </w:rPr>
        <w:t>(404b).</w:t>
      </w:r>
      <w:r w:rsidR="004E1417">
        <w:rPr>
          <w:rStyle w:val="EndnoteReference"/>
          <w:rFonts w:ascii="Open Sans" w:hAnsi="Open Sans" w:cs="Open Sans"/>
          <w:sz w:val="20"/>
          <w:szCs w:val="20"/>
        </w:rPr>
        <w:endnoteReference w:id="4"/>
      </w:r>
      <w:r w:rsidR="00651BE4">
        <w:rPr>
          <w:rFonts w:ascii="Open Sans" w:hAnsi="Open Sans" w:cs="Open Sans"/>
          <w:sz w:val="20"/>
          <w:szCs w:val="20"/>
        </w:rPr>
        <w:t xml:space="preserve"> Like other accounting and auditing tasks, the identification of a material weakness in internal controls requires judgement. For internal controls, a weakness could be considered as material when </w:t>
      </w:r>
      <w:r w:rsidR="004E1417">
        <w:rPr>
          <w:rFonts w:ascii="Open Sans" w:hAnsi="Open Sans" w:cs="Open Sans"/>
          <w:sz w:val="20"/>
          <w:szCs w:val="20"/>
        </w:rPr>
        <w:t xml:space="preserve">it could result in a material </w:t>
      </w:r>
      <w:r w:rsidR="001F6130">
        <w:rPr>
          <w:rFonts w:ascii="Open Sans" w:hAnsi="Open Sans" w:cs="Open Sans"/>
          <w:sz w:val="20"/>
          <w:szCs w:val="20"/>
        </w:rPr>
        <w:t>misstatement.</w:t>
      </w:r>
      <w:r w:rsidR="004E1417">
        <w:rPr>
          <w:rFonts w:ascii="Open Sans" w:hAnsi="Open Sans" w:cs="Open Sans"/>
          <w:sz w:val="20"/>
          <w:szCs w:val="20"/>
        </w:rPr>
        <w:t xml:space="preserve"> </w:t>
      </w:r>
      <w:r w:rsidR="00651BE4">
        <w:rPr>
          <w:rFonts w:ascii="Open Sans" w:hAnsi="Open Sans" w:cs="Open Sans"/>
          <w:sz w:val="20"/>
          <w:szCs w:val="20"/>
        </w:rPr>
        <w:t>If a weakness exists, but is either immaterial or</w:t>
      </w:r>
      <w:r w:rsidR="001F6130">
        <w:rPr>
          <w:rFonts w:ascii="Open Sans" w:hAnsi="Open Sans" w:cs="Open Sans"/>
          <w:sz w:val="20"/>
          <w:szCs w:val="20"/>
        </w:rPr>
        <w:t xml:space="preserve"> the likelihood of misstatement is remote</w:t>
      </w:r>
      <w:r w:rsidR="00651BE4">
        <w:rPr>
          <w:rFonts w:ascii="Open Sans" w:hAnsi="Open Sans" w:cs="Open Sans"/>
          <w:sz w:val="20"/>
          <w:szCs w:val="20"/>
        </w:rPr>
        <w:t xml:space="preserve">, then there is a </w:t>
      </w:r>
      <w:r w:rsidR="00651BE4" w:rsidRPr="00651BE4">
        <w:rPr>
          <w:rFonts w:ascii="Open Sans" w:hAnsi="Open Sans" w:cs="Open Sans"/>
          <w:b/>
          <w:sz w:val="20"/>
          <w:szCs w:val="20"/>
        </w:rPr>
        <w:t>significant deficiency</w:t>
      </w:r>
      <w:r w:rsidR="00651BE4">
        <w:rPr>
          <w:rFonts w:ascii="Open Sans" w:hAnsi="Open Sans" w:cs="Open Sans"/>
          <w:sz w:val="20"/>
          <w:szCs w:val="20"/>
        </w:rPr>
        <w:t xml:space="preserve"> in the internal controls. </w:t>
      </w:r>
      <w:r w:rsidR="00651BE4" w:rsidRPr="00651BE4">
        <w:rPr>
          <w:rFonts w:ascii="Open Sans" w:hAnsi="Open Sans" w:cs="Open Sans"/>
          <w:sz w:val="20"/>
          <w:szCs w:val="20"/>
        </w:rPr>
        <w:t>Significant deficiencies do not need to be publicly disclosed, but must be disclosed to the audit committee.</w:t>
      </w:r>
      <w:r w:rsidR="00C4429F">
        <w:rPr>
          <w:rFonts w:ascii="Open Sans" w:hAnsi="Open Sans" w:cs="Open Sans"/>
          <w:sz w:val="20"/>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5616"/>
      </w:tblGrid>
      <w:tr w:rsidR="00AB4FB5" w14:paraId="00C71C34" w14:textId="77777777" w:rsidTr="00AB4FB5">
        <w:trPr>
          <w:jc w:val="center"/>
        </w:trPr>
        <w:tc>
          <w:tcPr>
            <w:tcW w:w="8248" w:type="dxa"/>
            <w:gridSpan w:val="2"/>
          </w:tcPr>
          <w:p w14:paraId="23B329A9" w14:textId="2199B356" w:rsidR="00AB4FB5" w:rsidRPr="009C6099" w:rsidRDefault="00AB4FB5" w:rsidP="004E1417">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C4429F">
              <w:rPr>
                <w:rFonts w:asciiTheme="majorHAnsi" w:hAnsiTheme="majorHAnsi"/>
                <w:b/>
                <w:noProof/>
              </w:rPr>
              <w:t>2</w:t>
            </w:r>
            <w:r>
              <w:rPr>
                <w:rFonts w:asciiTheme="majorHAnsi" w:hAnsiTheme="majorHAnsi"/>
                <w:b/>
              </w:rPr>
              <w:fldChar w:fldCharType="end"/>
            </w:r>
          </w:p>
          <w:p w14:paraId="2B51EB92" w14:textId="52026DA6" w:rsidR="00AB4FB5" w:rsidRDefault="00AB4FB5" w:rsidP="004E1417">
            <w:pPr>
              <w:jc w:val="center"/>
            </w:pPr>
            <w:r>
              <w:rPr>
                <w:rFonts w:ascii="Calibri" w:eastAsia="Calibri" w:hAnsi="Calibri" w:cs="Times New Roman"/>
                <w:b/>
              </w:rPr>
              <w:t xml:space="preserve">Material Weaknesses v. Significant Deficiencies </w:t>
            </w:r>
          </w:p>
        </w:tc>
      </w:tr>
      <w:tr w:rsidR="00AB4FB5" w14:paraId="7EA8CE24" w14:textId="77777777" w:rsidTr="00AB4FB5">
        <w:trPr>
          <w:trHeight w:val="2844"/>
          <w:jc w:val="center"/>
        </w:trPr>
        <w:tc>
          <w:tcPr>
            <w:tcW w:w="8248" w:type="dxa"/>
            <w:gridSpan w:val="2"/>
          </w:tcPr>
          <w:p w14:paraId="7191BA66" w14:textId="62563C0E" w:rsidR="00AB4FB5" w:rsidRDefault="00AB4FB5" w:rsidP="004E1417">
            <w:pPr>
              <w:spacing w:before="120" w:after="120" w:line="360" w:lineRule="auto"/>
              <w:jc w:val="center"/>
            </w:pPr>
            <w:r>
              <w:rPr>
                <w:noProof/>
              </w:rPr>
              <w:drawing>
                <wp:inline distT="0" distB="0" distL="0" distR="0" wp14:anchorId="214AD435" wp14:editId="2E91BEBB">
                  <wp:extent cx="5019675" cy="2809888"/>
                  <wp:effectExtent l="0" t="0" r="0" b="9525"/>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025819" cy="2813327"/>
                          </a:xfrm>
                          <a:prstGeom prst="rect">
                            <a:avLst/>
                          </a:prstGeom>
                          <a:noFill/>
                          <a:ln>
                            <a:noFill/>
                          </a:ln>
                          <a:extLst/>
                        </pic:spPr>
                      </pic:pic>
                    </a:graphicData>
                  </a:graphic>
                </wp:inline>
              </w:drawing>
            </w:r>
          </w:p>
        </w:tc>
      </w:tr>
      <w:tr w:rsidR="00AB4FB5" w:rsidRPr="009C6099" w14:paraId="1F5ED371" w14:textId="77777777" w:rsidTr="00AB4FB5">
        <w:trPr>
          <w:trHeight w:val="85"/>
          <w:jc w:val="center"/>
        </w:trPr>
        <w:tc>
          <w:tcPr>
            <w:tcW w:w="2632" w:type="dxa"/>
            <w:tcBorders>
              <w:bottom w:val="single" w:sz="8" w:space="0" w:color="33006F"/>
            </w:tcBorders>
          </w:tcPr>
          <w:p w14:paraId="2CF946D2" w14:textId="77777777" w:rsidR="00AB4FB5" w:rsidRPr="009C6099" w:rsidRDefault="00AB4FB5" w:rsidP="004E1417">
            <w:pPr>
              <w:rPr>
                <w:sz w:val="8"/>
              </w:rPr>
            </w:pPr>
          </w:p>
        </w:tc>
        <w:tc>
          <w:tcPr>
            <w:tcW w:w="5616" w:type="dxa"/>
          </w:tcPr>
          <w:p w14:paraId="721EB6FC" w14:textId="77777777" w:rsidR="00AB4FB5" w:rsidRPr="009C6099" w:rsidRDefault="00AB4FB5" w:rsidP="004E1417">
            <w:pPr>
              <w:rPr>
                <w:sz w:val="8"/>
              </w:rPr>
            </w:pPr>
          </w:p>
        </w:tc>
      </w:tr>
      <w:tr w:rsidR="00AB4FB5" w:rsidRPr="00AE45C3" w14:paraId="6BB58B81" w14:textId="77777777" w:rsidTr="00AB4FB5">
        <w:trPr>
          <w:trHeight w:val="612"/>
          <w:jc w:val="center"/>
        </w:trPr>
        <w:tc>
          <w:tcPr>
            <w:tcW w:w="8248" w:type="dxa"/>
            <w:gridSpan w:val="2"/>
          </w:tcPr>
          <w:p w14:paraId="13E24D20" w14:textId="090ACC0D" w:rsidR="00AB4FB5" w:rsidRPr="00AE45C3" w:rsidRDefault="00AB4FB5" w:rsidP="004E1417">
            <w:pPr>
              <w:spacing w:line="240" w:lineRule="auto"/>
              <w:jc w:val="both"/>
              <w:rPr>
                <w:sz w:val="20"/>
                <w:szCs w:val="20"/>
              </w:rPr>
            </w:pPr>
            <w:r w:rsidRPr="00AE45C3">
              <w:rPr>
                <w:sz w:val="20"/>
                <w:szCs w:val="20"/>
              </w:rPr>
              <w:t xml:space="preserve">Notes: </w:t>
            </w:r>
            <w:r>
              <w:rPr>
                <w:rFonts w:ascii="Calibri" w:eastAsia="Calibri" w:hAnsi="Calibri" w:cs="Times New Roman"/>
                <w:sz w:val="20"/>
              </w:rPr>
              <w:t xml:space="preserve">This figure is adapted </w:t>
            </w:r>
            <w:r w:rsidR="001F6130">
              <w:rPr>
                <w:rFonts w:ascii="Calibri" w:eastAsia="Calibri" w:hAnsi="Calibri" w:cs="Times New Roman"/>
                <w:sz w:val="20"/>
              </w:rPr>
              <w:t xml:space="preserve">from </w:t>
            </w:r>
            <w:r>
              <w:rPr>
                <w:rFonts w:ascii="Calibri" w:eastAsia="Calibri" w:hAnsi="Calibri" w:cs="Times New Roman"/>
                <w:sz w:val="20"/>
              </w:rPr>
              <w:t xml:space="preserve">the joint work of UW-Foster Professors Weili Ge and Sarah McVay </w:t>
            </w:r>
            <w:r>
              <w:rPr>
                <w:rFonts w:ascii="Calibri" w:eastAsia="Calibri" w:hAnsi="Calibri" w:cs="Times New Roman"/>
                <w:sz w:val="20"/>
              </w:rPr>
              <w:fldChar w:fldCharType="begin"/>
            </w:r>
            <w:r>
              <w:rPr>
                <w:rFonts w:ascii="Calibri" w:eastAsia="Calibri" w:hAnsi="Calibri" w:cs="Times New Roman"/>
                <w:sz w:val="20"/>
              </w:rPr>
              <w:instrText xml:space="preserve"> ADDIN EN.CITE &lt;EndNote&gt;&lt;Cite&gt;&lt;Author&gt;Ge&lt;/Author&gt;&lt;Year&gt;2005&lt;/Year&gt;&lt;RecNum&gt;802&lt;/RecNum&gt;&lt;Prefix&gt;see &lt;/Prefix&gt;&lt;DisplayText&gt;(see Ge and McVay 2005)&lt;/DisplayText&gt;&lt;record&gt;&lt;rec-number&gt;802&lt;/rec-number&gt;&lt;foreign-keys&gt;&lt;key app="EN" db-id="5wddtwtdltavvheer5vvrda5pftspd2zre9e" timestamp="1506816120"&gt;802&lt;/key&gt;&lt;/foreign-keys&gt;&lt;ref-type name="Journal Article"&gt;17&lt;/ref-type&gt;&lt;contributors&gt;&lt;authors&gt;&lt;author&gt;Weili Ge&lt;/author&gt;&lt;author&gt;Sarah McVay&lt;/author&gt;&lt;/authors&gt;&lt;/contributors&gt;&lt;titles&gt;&lt;title&gt;The Disclosure of Material Weaknesses in Internal Control after the Sarbanes‐Oxley Act&lt;/title&gt;&lt;secondary-title&gt;Accounting Horizons&lt;/secondary-title&gt;&lt;/titles&gt;&lt;periodical&gt;&lt;full-title&gt;Accounting Horizons&lt;/full-title&gt;&lt;/periodical&gt;&lt;pages&gt;137-158&lt;/pages&gt;&lt;volume&gt;19&lt;/volume&gt;&lt;number&gt;3&lt;/number&gt;&lt;dates&gt;&lt;year&gt;2005&lt;/year&gt;&lt;/dates&gt;&lt;urls&gt;&lt;related-urls&gt;&lt;url&gt;http://www.aaajournals.org/doi/abs/10.2308/acch.2005.19.3.137&lt;/url&gt;&lt;/related-urls&gt;&lt;/urls&gt;&lt;electronic-resource-num&gt;10.2308/acch.2005.19.3.137&lt;/electronic-resource-num&gt;&lt;/record&gt;&lt;/Cite&gt;&lt;/EndNote&gt;</w:instrText>
            </w:r>
            <w:r>
              <w:rPr>
                <w:rFonts w:ascii="Calibri" w:eastAsia="Calibri" w:hAnsi="Calibri" w:cs="Times New Roman"/>
                <w:sz w:val="20"/>
              </w:rPr>
              <w:fldChar w:fldCharType="separate"/>
            </w:r>
            <w:r>
              <w:rPr>
                <w:rFonts w:ascii="Calibri" w:eastAsia="Calibri" w:hAnsi="Calibri" w:cs="Times New Roman"/>
                <w:noProof/>
                <w:sz w:val="20"/>
              </w:rPr>
              <w:t>(see Ge and McVay 2005)</w:t>
            </w:r>
            <w:r>
              <w:rPr>
                <w:rFonts w:ascii="Calibri" w:eastAsia="Calibri" w:hAnsi="Calibri" w:cs="Times New Roman"/>
                <w:sz w:val="20"/>
              </w:rPr>
              <w:fldChar w:fldCharType="end"/>
            </w:r>
            <w:r>
              <w:rPr>
                <w:rFonts w:ascii="Calibri" w:eastAsia="Calibri" w:hAnsi="Calibri" w:cs="Times New Roman"/>
                <w:sz w:val="20"/>
              </w:rPr>
              <w:t>.</w:t>
            </w:r>
          </w:p>
        </w:tc>
      </w:tr>
    </w:tbl>
    <w:p w14:paraId="22750CA9" w14:textId="0116E509" w:rsidR="00AB4FB5" w:rsidRDefault="00C4429F" w:rsidP="00AB4FB5">
      <w:pPr>
        <w:spacing w:before="120" w:after="120" w:line="360" w:lineRule="auto"/>
        <w:jc w:val="both"/>
        <w:rPr>
          <w:rFonts w:ascii="Open Sans" w:hAnsi="Open Sans" w:cs="Open Sans"/>
          <w:sz w:val="20"/>
          <w:szCs w:val="20"/>
        </w:rPr>
      </w:pPr>
      <w:r>
        <w:rPr>
          <w:rFonts w:ascii="Open Sans" w:hAnsi="Open Sans" w:cs="Open Sans"/>
          <w:sz w:val="20"/>
          <w:szCs w:val="20"/>
        </w:rPr>
        <w:t xml:space="preserve">The distinction between material weaknesses and significant deficiencies are summarized in Figure 2. </w:t>
      </w:r>
      <w:r w:rsidR="00AB4FB5">
        <w:rPr>
          <w:rFonts w:ascii="Open Sans" w:eastAsiaTheme="majorEastAsia" w:hAnsi="Open Sans" w:cs="Open Sans"/>
          <w:b/>
          <w:bCs/>
          <w:smallCaps/>
          <w:color w:val="33006F"/>
          <w:szCs w:val="28"/>
        </w:rPr>
        <w:t xml:space="preserve">Why don’t managers invest more in controls and make them more effective? </w:t>
      </w:r>
      <w:r w:rsidR="00AB4FB5">
        <w:rPr>
          <w:rFonts w:ascii="Open Sans" w:hAnsi="Open Sans" w:cs="Open Sans"/>
          <w:sz w:val="20"/>
          <w:szCs w:val="20"/>
        </w:rPr>
        <w:t xml:space="preserve">Despite the apparent importance of having effective internal controls, managers tend not to invest additional resources in </w:t>
      </w:r>
      <w:r w:rsidR="00AB4FB5">
        <w:rPr>
          <w:rFonts w:ascii="Open Sans" w:hAnsi="Open Sans" w:cs="Open Sans"/>
          <w:sz w:val="20"/>
          <w:szCs w:val="20"/>
        </w:rPr>
        <w:lastRenderedPageBreak/>
        <w:t xml:space="preserve">internal controls. A survey of 2,901 managers of various public companies provides some insight. </w:t>
      </w:r>
      <w:r w:rsidR="00E24F49">
        <w:rPr>
          <w:rStyle w:val="EndnoteReference"/>
          <w:rFonts w:ascii="Open Sans" w:hAnsi="Open Sans" w:cs="Open Sans"/>
          <w:sz w:val="20"/>
          <w:szCs w:val="20"/>
        </w:rPr>
        <w:endnoteReference w:id="5"/>
      </w:r>
      <w:r w:rsidR="00B429C5">
        <w:rPr>
          <w:rFonts w:ascii="Open Sans" w:hAnsi="Open Sans" w:cs="Open Sans"/>
          <w:sz w:val="20"/>
          <w:szCs w:val="20"/>
        </w:rPr>
        <w:t xml:space="preserve"> Specifically, managers were asked to assess the </w:t>
      </w:r>
      <w:r w:rsidR="00B429C5" w:rsidRPr="00B429C5">
        <w:rPr>
          <w:rFonts w:ascii="Open Sans" w:hAnsi="Open Sans" w:cs="Open Sans"/>
          <w:sz w:val="20"/>
          <w:szCs w:val="20"/>
        </w:rPr>
        <w:t xml:space="preserve">costs and benefits of compliance with </w:t>
      </w:r>
      <w:r w:rsidR="00B429C5">
        <w:rPr>
          <w:rFonts w:ascii="Open Sans" w:hAnsi="Open Sans" w:cs="Open Sans"/>
          <w:sz w:val="20"/>
          <w:szCs w:val="20"/>
        </w:rPr>
        <w:t xml:space="preserve">SOX </w:t>
      </w:r>
      <w:r w:rsidR="00B429C5" w:rsidRPr="00B429C5">
        <w:rPr>
          <w:rFonts w:ascii="Open Sans" w:hAnsi="Open Sans" w:cs="Open Sans"/>
          <w:sz w:val="20"/>
          <w:szCs w:val="20"/>
        </w:rPr>
        <w:t xml:space="preserve">Section 404. </w:t>
      </w:r>
      <w:r w:rsidR="00B429C5">
        <w:rPr>
          <w:rFonts w:ascii="Open Sans" w:hAnsi="Open Sans" w:cs="Open Sans"/>
          <w:sz w:val="20"/>
          <w:szCs w:val="20"/>
        </w:rPr>
        <w:t xml:space="preserve">The answers revealed that although most </w:t>
      </w:r>
      <w:r w:rsidR="00B429C5" w:rsidRPr="00B429C5">
        <w:rPr>
          <w:rFonts w:ascii="Open Sans" w:hAnsi="Open Sans" w:cs="Open Sans"/>
          <w:sz w:val="20"/>
          <w:szCs w:val="20"/>
        </w:rPr>
        <w:t>recognize compliance benefits</w:t>
      </w:r>
      <w:r w:rsidR="00B429C5">
        <w:rPr>
          <w:rFonts w:ascii="Open Sans" w:hAnsi="Open Sans" w:cs="Open Sans"/>
          <w:sz w:val="20"/>
          <w:szCs w:val="20"/>
        </w:rPr>
        <w:t>,</w:t>
      </w:r>
      <w:r w:rsidR="00B429C5" w:rsidRPr="00B429C5">
        <w:rPr>
          <w:rFonts w:ascii="Open Sans" w:hAnsi="Open Sans" w:cs="Open Sans"/>
          <w:sz w:val="20"/>
          <w:szCs w:val="20"/>
        </w:rPr>
        <w:t xml:space="preserve"> they do not perceive the benefits to outweigh the costs.</w:t>
      </w:r>
      <w:r w:rsidR="00B429C5">
        <w:rPr>
          <w:rFonts w:ascii="Open Sans" w:hAnsi="Open Sans" w:cs="Open Sans"/>
          <w:sz w:val="20"/>
          <w:szCs w:val="20"/>
        </w:rPr>
        <w:t xml:space="preserve"> This perception by managers is even more acute when the companies </w:t>
      </w:r>
      <w:r w:rsidR="00DE4882">
        <w:rPr>
          <w:rFonts w:ascii="Open Sans" w:hAnsi="Open Sans" w:cs="Open Sans"/>
          <w:sz w:val="20"/>
          <w:szCs w:val="20"/>
        </w:rPr>
        <w:t>are</w:t>
      </w:r>
      <w:r w:rsidR="00B429C5">
        <w:rPr>
          <w:rFonts w:ascii="Open Sans" w:hAnsi="Open Sans" w:cs="Open Sans"/>
          <w:sz w:val="20"/>
          <w:szCs w:val="20"/>
        </w:rPr>
        <w:t xml:space="preserve"> small, as smaller </w:t>
      </w:r>
      <w:r w:rsidR="00DE4882">
        <w:rPr>
          <w:rFonts w:ascii="Open Sans" w:hAnsi="Open Sans" w:cs="Open Sans"/>
          <w:sz w:val="20"/>
          <w:szCs w:val="20"/>
        </w:rPr>
        <w:t>companies</w:t>
      </w:r>
      <w:r w:rsidR="00B429C5">
        <w:rPr>
          <w:rFonts w:ascii="Open Sans" w:hAnsi="Open Sans" w:cs="Open Sans"/>
          <w:sz w:val="20"/>
          <w:szCs w:val="20"/>
        </w:rPr>
        <w:t xml:space="preserve"> have </w:t>
      </w:r>
      <w:r w:rsidR="00DE4882">
        <w:rPr>
          <w:rFonts w:ascii="Open Sans" w:hAnsi="Open Sans" w:cs="Open Sans"/>
          <w:sz w:val="20"/>
          <w:szCs w:val="20"/>
        </w:rPr>
        <w:t>fewer</w:t>
      </w:r>
      <w:r w:rsidR="00B429C5">
        <w:rPr>
          <w:rFonts w:ascii="Open Sans" w:hAnsi="Open Sans" w:cs="Open Sans"/>
          <w:sz w:val="20"/>
          <w:szCs w:val="20"/>
        </w:rPr>
        <w:t xml:space="preserve"> resources</w:t>
      </w:r>
      <w:r w:rsidR="00DE4882">
        <w:rPr>
          <w:rFonts w:ascii="Open Sans" w:hAnsi="Open Sans" w:cs="Open Sans"/>
          <w:sz w:val="20"/>
          <w:szCs w:val="20"/>
        </w:rPr>
        <w:t>.</w:t>
      </w:r>
      <w:r w:rsidR="00A92BAA">
        <w:rPr>
          <w:rFonts w:ascii="Open Sans" w:hAnsi="Open Sans" w:cs="Open Sans"/>
          <w:sz w:val="20"/>
          <w:szCs w:val="20"/>
        </w:rPr>
        <w:t xml:space="preserve"> In general, the cost-benefit trade-off will not be linear, Figure 3 summarizes the theoretical cost-benefit trade-off.</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5616"/>
      </w:tblGrid>
      <w:tr w:rsidR="00A92BAA" w14:paraId="2A5F0B07" w14:textId="77777777" w:rsidTr="005803BE">
        <w:trPr>
          <w:jc w:val="center"/>
        </w:trPr>
        <w:tc>
          <w:tcPr>
            <w:tcW w:w="8248" w:type="dxa"/>
            <w:gridSpan w:val="2"/>
          </w:tcPr>
          <w:p w14:paraId="0D0C77B7" w14:textId="4B893E2D" w:rsidR="00A92BAA" w:rsidRPr="009C6099" w:rsidRDefault="00A92BAA" w:rsidP="005803BE">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Pr>
                <w:rFonts w:asciiTheme="majorHAnsi" w:hAnsiTheme="majorHAnsi"/>
                <w:b/>
                <w:noProof/>
              </w:rPr>
              <w:t>3</w:t>
            </w:r>
            <w:r>
              <w:rPr>
                <w:rFonts w:asciiTheme="majorHAnsi" w:hAnsiTheme="majorHAnsi"/>
                <w:b/>
              </w:rPr>
              <w:fldChar w:fldCharType="end"/>
            </w:r>
          </w:p>
          <w:p w14:paraId="32596406" w14:textId="1A162332" w:rsidR="00A92BAA" w:rsidRDefault="00A92BAA" w:rsidP="005803BE">
            <w:pPr>
              <w:jc w:val="center"/>
            </w:pPr>
            <w:r>
              <w:rPr>
                <w:rFonts w:ascii="Calibri" w:eastAsia="Calibri" w:hAnsi="Calibri" w:cs="Times New Roman"/>
                <w:b/>
              </w:rPr>
              <w:t xml:space="preserve">Costs-Benefit Trade-off for Internal Controls </w:t>
            </w:r>
          </w:p>
        </w:tc>
      </w:tr>
      <w:tr w:rsidR="00A92BAA" w14:paraId="23FC52EC" w14:textId="77777777" w:rsidTr="005803BE">
        <w:trPr>
          <w:trHeight w:val="2844"/>
          <w:jc w:val="center"/>
        </w:trPr>
        <w:tc>
          <w:tcPr>
            <w:tcW w:w="8248" w:type="dxa"/>
            <w:gridSpan w:val="2"/>
          </w:tcPr>
          <w:p w14:paraId="1B36E503" w14:textId="0FCB0EC9" w:rsidR="00A92BAA" w:rsidRDefault="00A92BAA" w:rsidP="005803BE">
            <w:pPr>
              <w:spacing w:before="120" w:after="120" w:line="360" w:lineRule="auto"/>
              <w:jc w:val="center"/>
            </w:pPr>
            <w:r>
              <w:rPr>
                <w:noProof/>
              </w:rPr>
              <w:drawing>
                <wp:inline distT="0" distB="0" distL="0" distR="0" wp14:anchorId="17CA91AE" wp14:editId="46A4AB43">
                  <wp:extent cx="4648200" cy="3705225"/>
                  <wp:effectExtent l="0" t="0" r="0" b="9525"/>
                  <wp:docPr id="20" name="Picture 20" descr="cid:image001.png@01D33AAB.C4875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33AAB.C4875B20"/>
                          <pic:cNvPicPr>
                            <a:picLocks noChangeAspect="1" noChangeArrowheads="1"/>
                          </pic:cNvPicPr>
                        </pic:nvPicPr>
                        <pic:blipFill rotWithShape="1">
                          <a:blip r:embed="rId20" r:link="rId21">
                            <a:extLst>
                              <a:ext uri="{28A0092B-C50C-407E-A947-70E740481C1C}">
                                <a14:useLocalDpi xmlns:a14="http://schemas.microsoft.com/office/drawing/2010/main" val="0"/>
                              </a:ext>
                            </a:extLst>
                          </a:blip>
                          <a:srcRect t="11390"/>
                          <a:stretch/>
                        </pic:blipFill>
                        <pic:spPr bwMode="auto">
                          <a:xfrm>
                            <a:off x="0" y="0"/>
                            <a:ext cx="4648200" cy="370522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92BAA" w:rsidRPr="009C6099" w14:paraId="5A8BCCDC" w14:textId="77777777" w:rsidTr="005803BE">
        <w:trPr>
          <w:trHeight w:val="85"/>
          <w:jc w:val="center"/>
        </w:trPr>
        <w:tc>
          <w:tcPr>
            <w:tcW w:w="2632" w:type="dxa"/>
            <w:tcBorders>
              <w:bottom w:val="single" w:sz="8" w:space="0" w:color="33006F"/>
            </w:tcBorders>
          </w:tcPr>
          <w:p w14:paraId="2205EF5E" w14:textId="77777777" w:rsidR="00A92BAA" w:rsidRPr="009C6099" w:rsidRDefault="00A92BAA" w:rsidP="005803BE">
            <w:pPr>
              <w:rPr>
                <w:sz w:val="8"/>
              </w:rPr>
            </w:pPr>
          </w:p>
        </w:tc>
        <w:tc>
          <w:tcPr>
            <w:tcW w:w="5616" w:type="dxa"/>
          </w:tcPr>
          <w:p w14:paraId="58BCB580" w14:textId="77777777" w:rsidR="00A92BAA" w:rsidRPr="009C6099" w:rsidRDefault="00A92BAA" w:rsidP="005803BE">
            <w:pPr>
              <w:rPr>
                <w:sz w:val="8"/>
              </w:rPr>
            </w:pPr>
          </w:p>
        </w:tc>
      </w:tr>
      <w:tr w:rsidR="00A92BAA" w:rsidRPr="00AE45C3" w14:paraId="4B114E0B" w14:textId="77777777" w:rsidTr="005803BE">
        <w:trPr>
          <w:trHeight w:val="612"/>
          <w:jc w:val="center"/>
        </w:trPr>
        <w:tc>
          <w:tcPr>
            <w:tcW w:w="8248" w:type="dxa"/>
            <w:gridSpan w:val="2"/>
          </w:tcPr>
          <w:p w14:paraId="403EFA33" w14:textId="2E69DB5D" w:rsidR="00A92BAA" w:rsidRPr="00AE45C3" w:rsidRDefault="00A92BAA" w:rsidP="005803BE">
            <w:pPr>
              <w:spacing w:line="240" w:lineRule="auto"/>
              <w:jc w:val="both"/>
              <w:rPr>
                <w:sz w:val="20"/>
                <w:szCs w:val="20"/>
              </w:rPr>
            </w:pPr>
            <w:r w:rsidRPr="00AE45C3">
              <w:rPr>
                <w:sz w:val="20"/>
                <w:szCs w:val="20"/>
              </w:rPr>
              <w:t xml:space="preserve">Notes: </w:t>
            </w:r>
            <w:r>
              <w:rPr>
                <w:rFonts w:ascii="Calibri" w:eastAsia="Calibri" w:hAnsi="Calibri" w:cs="Times New Roman"/>
                <w:sz w:val="20"/>
              </w:rPr>
              <w:t xml:space="preserve">This figure is adapted from </w:t>
            </w:r>
            <w:r>
              <w:rPr>
                <w:rFonts w:ascii="Calibri" w:eastAsia="Calibri" w:hAnsi="Calibri" w:cs="Times New Roman"/>
                <w:sz w:val="20"/>
              </w:rPr>
              <w:fldChar w:fldCharType="begin"/>
            </w:r>
            <w:r>
              <w:rPr>
                <w:rFonts w:ascii="Calibri" w:eastAsia="Calibri" w:hAnsi="Calibri" w:cs="Times New Roman"/>
                <w:sz w:val="20"/>
              </w:rPr>
              <w:instrText xml:space="preserve"> ADDIN EN.CITE &lt;EndNote&gt;&lt;Cite AuthorYear="1"&gt;&lt;Author&gt;Knechel&lt;/Author&gt;&lt;Year&gt;2006&lt;/Year&gt;&lt;RecNum&gt;803&lt;/RecNum&gt;&lt;DisplayText&gt;Knechel and Willekens (2006)&lt;/DisplayText&gt;&lt;record&gt;&lt;rec-number&gt;803&lt;/rec-number&gt;&lt;foreign-keys&gt;&lt;key app="EN" db-id="5wddtwtdltavvheer5vvrda5pftspd2zre9e" timestamp="1506885605"&gt;803&lt;/key&gt;&lt;/foreign-keys&gt;&lt;ref-type name="Journal Article"&gt;17&lt;/ref-type&gt;&lt;contributors&gt;&lt;authors&gt;&lt;author&gt;Knechel, W. Robert&lt;/author&gt;&lt;author&gt;Willekens, Marleen&lt;/author&gt;&lt;/authors&gt;&lt;/contributors&gt;&lt;titles&gt;&lt;title&gt;The Role of Risk Management and Governance in Determining Audit Demand&lt;/title&gt;&lt;secondary-title&gt;Journal of Business Finance &amp;amp; Accounting&lt;/secondary-title&gt;&lt;/titles&gt;&lt;periodical&gt;&lt;full-title&gt;Journal of Business Finance &amp;amp; Accounting&lt;/full-title&gt;&lt;/periodical&gt;&lt;pages&gt;1344-1367&lt;/pages&gt;&lt;volume&gt;33&lt;/volume&gt;&lt;number&gt;9-10&lt;/number&gt;&lt;keywords&gt;&lt;keyword&gt;audit demand&lt;/keyword&gt;&lt;keyword&gt;governance&lt;/keyword&gt;&lt;keyword&gt;risk management&lt;/keyword&gt;&lt;keyword&gt;audit fee&lt;/keyword&gt;&lt;/keywords&gt;&lt;dates&gt;&lt;year&gt;2006&lt;/year&gt;&lt;/dates&gt;&lt;publisher&gt;Blackwell Publishing Ltd&lt;/publisher&gt;&lt;isbn&gt;1468-5957&lt;/isbn&gt;&lt;urls&gt;&lt;related-urls&gt;&lt;url&gt;http://dx.doi.org/10.1111/j.1468-5957.2006.01238.x&lt;/url&gt;&lt;/related-urls&gt;&lt;/urls&gt;&lt;electronic-resource-num&gt;10.1111/j.1468-5957.2006.01238.x&lt;/electronic-resource-num&gt;&lt;/record&gt;&lt;/Cite&gt;&lt;/EndNote&gt;</w:instrText>
            </w:r>
            <w:r>
              <w:rPr>
                <w:rFonts w:ascii="Calibri" w:eastAsia="Calibri" w:hAnsi="Calibri" w:cs="Times New Roman"/>
                <w:sz w:val="20"/>
              </w:rPr>
              <w:fldChar w:fldCharType="separate"/>
            </w:r>
            <w:r>
              <w:rPr>
                <w:rFonts w:ascii="Calibri" w:eastAsia="Calibri" w:hAnsi="Calibri" w:cs="Times New Roman"/>
                <w:noProof/>
                <w:sz w:val="20"/>
              </w:rPr>
              <w:t>Knechel and Willekens (2006)</w:t>
            </w:r>
            <w:r>
              <w:rPr>
                <w:rFonts w:ascii="Calibri" w:eastAsia="Calibri" w:hAnsi="Calibri" w:cs="Times New Roman"/>
                <w:sz w:val="20"/>
              </w:rPr>
              <w:fldChar w:fldCharType="end"/>
            </w:r>
            <w:r>
              <w:rPr>
                <w:rFonts w:ascii="Calibri" w:eastAsia="Calibri" w:hAnsi="Calibri" w:cs="Times New Roman"/>
                <w:sz w:val="20"/>
              </w:rPr>
              <w:t>.</w:t>
            </w:r>
          </w:p>
        </w:tc>
      </w:tr>
    </w:tbl>
    <w:p w14:paraId="2EF703DF" w14:textId="77777777" w:rsidR="00A92BAA" w:rsidRDefault="00A92BAA" w:rsidP="00AB4FB5">
      <w:pPr>
        <w:spacing w:before="120" w:after="120" w:line="360" w:lineRule="auto"/>
        <w:jc w:val="both"/>
        <w:rPr>
          <w:rFonts w:ascii="Open Sans" w:hAnsi="Open Sans" w:cs="Open Sans"/>
          <w:sz w:val="20"/>
          <w:szCs w:val="20"/>
        </w:rPr>
      </w:pPr>
    </w:p>
    <w:p w14:paraId="59053AF7" w14:textId="7B5CD977" w:rsidR="00AB4FB5" w:rsidRDefault="00AB4FB5" w:rsidP="00AB4FB5">
      <w:pPr>
        <w:spacing w:before="120" w:after="120" w:line="360" w:lineRule="auto"/>
        <w:jc w:val="both"/>
        <w:rPr>
          <w:rFonts w:ascii="Open Sans" w:hAnsi="Open Sans" w:cs="Open Sans"/>
          <w:sz w:val="20"/>
          <w:szCs w:val="20"/>
        </w:rPr>
      </w:pPr>
      <w:r>
        <w:rPr>
          <w:rFonts w:ascii="Open Sans" w:eastAsiaTheme="majorEastAsia" w:hAnsi="Open Sans" w:cs="Open Sans"/>
          <w:b/>
          <w:bCs/>
          <w:smallCaps/>
          <w:color w:val="33006F"/>
          <w:szCs w:val="28"/>
        </w:rPr>
        <w:t>Where were the auditors of Groupon?</w:t>
      </w:r>
      <w:r w:rsidRPr="00744929">
        <w:rPr>
          <w:rFonts w:ascii="Open Sans" w:hAnsi="Open Sans" w:cs="Open Sans"/>
          <w:sz w:val="20"/>
          <w:szCs w:val="20"/>
        </w:rPr>
        <w:t xml:space="preserve"> </w:t>
      </w:r>
      <w:r>
        <w:rPr>
          <w:rFonts w:ascii="Open Sans" w:hAnsi="Open Sans" w:cs="Open Sans"/>
          <w:sz w:val="20"/>
          <w:szCs w:val="20"/>
        </w:rPr>
        <w:t xml:space="preserve">The auditors of Groupon, E&amp;Y, must have had insight into Groupon’s internal control concerns. The control weaknesses included inadequate controls for reviewing the close process and estimates of key accrual accounts (such as the customer refund reserve). In part, the customer refund reserve was becoming more difficult to measure as Groupon’s business extended </w:t>
      </w:r>
      <w:r>
        <w:rPr>
          <w:rFonts w:ascii="Open Sans" w:hAnsi="Open Sans" w:cs="Open Sans"/>
          <w:sz w:val="20"/>
          <w:szCs w:val="20"/>
        </w:rPr>
        <w:lastRenderedPageBreak/>
        <w:t xml:space="preserve">from their early model of providing groupons to </w:t>
      </w:r>
      <w:r w:rsidR="001F6130">
        <w:rPr>
          <w:rFonts w:ascii="Open Sans" w:hAnsi="Open Sans" w:cs="Open Sans"/>
          <w:sz w:val="20"/>
          <w:szCs w:val="20"/>
        </w:rPr>
        <w:t xml:space="preserve">local </w:t>
      </w:r>
      <w:r>
        <w:rPr>
          <w:rFonts w:ascii="Open Sans" w:hAnsi="Open Sans" w:cs="Open Sans"/>
          <w:sz w:val="20"/>
          <w:szCs w:val="20"/>
        </w:rPr>
        <w:t xml:space="preserve">restaurants </w:t>
      </w:r>
      <w:r w:rsidR="001F6130">
        <w:rPr>
          <w:rFonts w:ascii="Open Sans" w:hAnsi="Open Sans" w:cs="Open Sans"/>
          <w:sz w:val="20"/>
          <w:szCs w:val="20"/>
        </w:rPr>
        <w:t xml:space="preserve">that groupon management knew </w:t>
      </w:r>
      <w:r>
        <w:rPr>
          <w:rFonts w:ascii="Open Sans" w:hAnsi="Open Sans" w:cs="Open Sans"/>
          <w:sz w:val="20"/>
          <w:szCs w:val="20"/>
        </w:rPr>
        <w:t xml:space="preserve">to </w:t>
      </w:r>
      <w:r w:rsidR="001F6130">
        <w:rPr>
          <w:rFonts w:ascii="Open Sans" w:hAnsi="Open Sans" w:cs="Open Sans"/>
          <w:sz w:val="20"/>
          <w:szCs w:val="20"/>
        </w:rPr>
        <w:t xml:space="preserve">many diverse companies, which groupon’s management did not know, and who had a higher chance of failing. </w:t>
      </w:r>
      <w:r>
        <w:rPr>
          <w:rFonts w:ascii="Open Sans" w:hAnsi="Open Sans" w:cs="Open Sans"/>
          <w:sz w:val="20"/>
          <w:szCs w:val="20"/>
        </w:rPr>
        <w:t xml:space="preserve">The higher proportion of </w:t>
      </w:r>
      <w:r w:rsidR="001F6130">
        <w:rPr>
          <w:rFonts w:ascii="Open Sans" w:hAnsi="Open Sans" w:cs="Open Sans"/>
          <w:sz w:val="20"/>
          <w:szCs w:val="20"/>
        </w:rPr>
        <w:t>failure of these new partnerships</w:t>
      </w:r>
      <w:r>
        <w:rPr>
          <w:rFonts w:ascii="Open Sans" w:hAnsi="Open Sans" w:cs="Open Sans"/>
          <w:sz w:val="20"/>
          <w:szCs w:val="20"/>
        </w:rPr>
        <w:t xml:space="preserve"> on these other services, coupled with Groupon’s earlier decision to provide the “Groupon Promise,” to refund groupons</w:t>
      </w:r>
      <w:r w:rsidR="001F6130">
        <w:rPr>
          <w:rFonts w:ascii="Open Sans" w:hAnsi="Open Sans" w:cs="Open Sans"/>
          <w:sz w:val="20"/>
          <w:szCs w:val="20"/>
        </w:rPr>
        <w:t xml:space="preserve"> that cannot be redeemed in store (for example if the company the groupon was made for fails)</w:t>
      </w:r>
      <w:r>
        <w:rPr>
          <w:rFonts w:ascii="Open Sans" w:hAnsi="Open Sans" w:cs="Open Sans"/>
          <w:sz w:val="20"/>
          <w:szCs w:val="20"/>
        </w:rPr>
        <w:t xml:space="preserve">, made this account material in nature. The materiality of the account highlights the importance of an effective process to ensure the timely and </w:t>
      </w:r>
      <w:r w:rsidRPr="00D63EE6">
        <w:rPr>
          <w:rFonts w:ascii="Open Sans" w:hAnsi="Open Sans" w:cs="Open Sans"/>
          <w:sz w:val="20"/>
          <w:szCs w:val="20"/>
        </w:rPr>
        <w:t xml:space="preserve">effective review of </w:t>
      </w:r>
      <w:r>
        <w:rPr>
          <w:rFonts w:ascii="Open Sans" w:hAnsi="Open Sans" w:cs="Open Sans"/>
          <w:sz w:val="20"/>
          <w:szCs w:val="20"/>
        </w:rPr>
        <w:t xml:space="preserve">accrual </w:t>
      </w:r>
      <w:r w:rsidRPr="00D63EE6">
        <w:rPr>
          <w:rFonts w:ascii="Open Sans" w:hAnsi="Open Sans" w:cs="Open Sans"/>
          <w:sz w:val="20"/>
          <w:szCs w:val="20"/>
        </w:rPr>
        <w:t>estimates</w:t>
      </w:r>
      <w:r>
        <w:rPr>
          <w:rFonts w:ascii="Open Sans" w:hAnsi="Open Sans" w:cs="Open Sans"/>
          <w:sz w:val="20"/>
          <w:szCs w:val="20"/>
        </w:rPr>
        <w:t>. As this process was not developed at Groupon, they likely had a material weakness in their internal controls over financial reporting at the time of the IPO, which was later revealed at their first 10-K filing.</w:t>
      </w:r>
    </w:p>
    <w:p w14:paraId="65A96080" w14:textId="38B4054D" w:rsidR="00AA331E" w:rsidRPr="00AA331E" w:rsidRDefault="00AB4FB5" w:rsidP="00AB4FB5">
      <w:pPr>
        <w:spacing w:before="120" w:after="120" w:line="360" w:lineRule="auto"/>
        <w:jc w:val="both"/>
        <w:rPr>
          <w:rFonts w:ascii="Open Sans" w:hAnsi="Open Sans" w:cs="Open Sans"/>
          <w:sz w:val="20"/>
          <w:szCs w:val="20"/>
        </w:rPr>
      </w:pPr>
      <w:r>
        <w:rPr>
          <w:rFonts w:ascii="Open Sans" w:hAnsi="Open Sans" w:cs="Open Sans"/>
          <w:sz w:val="20"/>
          <w:szCs w:val="20"/>
        </w:rPr>
        <w:t>Regulation at the time, however, didn’t require either Groupon or the auditor to publicly disclose significant deficiencies or material weaknesses in internal controls. The reason being that the provisions of SOX, section 302, that require disclosures of any weaknesses in internal control only applied to public companies. Therefore, Groupon and E&amp;Y had no obligation to disclose these concerns.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783"/>
      </w:tblGrid>
      <w:tr w:rsidR="00141981" w14:paraId="71A72D98" w14:textId="77777777" w:rsidTr="00C621F9">
        <w:trPr>
          <w:trHeight w:val="2868"/>
        </w:trPr>
        <w:tc>
          <w:tcPr>
            <w:tcW w:w="5850" w:type="dxa"/>
            <w:tcBorders>
              <w:right w:val="single" w:sz="12" w:space="0" w:color="auto"/>
            </w:tcBorders>
          </w:tcPr>
          <w:p w14:paraId="072D099D" w14:textId="4E46CE0A" w:rsidR="00141981" w:rsidRDefault="00DE4882" w:rsidP="00C621F9">
            <w:pPr>
              <w:spacing w:before="120" w:line="360" w:lineRule="auto"/>
              <w:jc w:val="both"/>
              <w:rPr>
                <w:rFonts w:ascii="Open Sans" w:hAnsi="Open Sans" w:cs="Open Sans"/>
                <w:sz w:val="20"/>
                <w:szCs w:val="20"/>
              </w:rPr>
            </w:pPr>
            <w:r>
              <w:rPr>
                <w:rFonts w:ascii="Open Sans" w:eastAsiaTheme="majorEastAsia" w:hAnsi="Open Sans" w:cs="Open Sans"/>
                <w:b/>
                <w:bCs/>
                <w:smallCaps/>
                <w:color w:val="33006F"/>
                <w:szCs w:val="28"/>
              </w:rPr>
              <w:t xml:space="preserve">Do we have a </w:t>
            </w:r>
            <w:r w:rsidR="00141981">
              <w:rPr>
                <w:rFonts w:ascii="Open Sans" w:eastAsiaTheme="majorEastAsia" w:hAnsi="Open Sans" w:cs="Open Sans"/>
                <w:b/>
                <w:bCs/>
                <w:smallCaps/>
                <w:color w:val="33006F"/>
                <w:szCs w:val="28"/>
              </w:rPr>
              <w:t>problem?</w:t>
            </w:r>
            <w:r w:rsidR="00C621F9">
              <w:rPr>
                <w:rFonts w:ascii="Open Sans" w:eastAsiaTheme="majorEastAsia" w:hAnsi="Open Sans" w:cs="Open Sans"/>
                <w:b/>
                <w:bCs/>
                <w:smallCaps/>
                <w:color w:val="33006F"/>
                <w:szCs w:val="28"/>
              </w:rPr>
              <w:t xml:space="preserve"> </w:t>
            </w:r>
            <w:r w:rsidR="00141981" w:rsidRPr="00744929">
              <w:rPr>
                <w:rFonts w:ascii="Open Sans" w:hAnsi="Open Sans" w:cs="Open Sans"/>
                <w:sz w:val="20"/>
                <w:szCs w:val="20"/>
              </w:rPr>
              <w:t xml:space="preserve"> </w:t>
            </w:r>
            <w:r w:rsidR="00C621F9">
              <w:rPr>
                <w:rFonts w:ascii="Open Sans" w:hAnsi="Open Sans" w:cs="Open Sans"/>
                <w:sz w:val="20"/>
                <w:szCs w:val="20"/>
              </w:rPr>
              <w:t>During this period, f</w:t>
            </w:r>
            <w:r>
              <w:rPr>
                <w:rFonts w:ascii="Open Sans" w:hAnsi="Open Sans" w:cs="Open Sans"/>
                <w:sz w:val="20"/>
                <w:szCs w:val="20"/>
              </w:rPr>
              <w:t>ollowing concerns about the costs of implementing SOX 404 compliance,</w:t>
            </w:r>
            <w:r w:rsidR="00C621F9">
              <w:rPr>
                <w:rFonts w:ascii="Open Sans" w:hAnsi="Open Sans" w:cs="Open Sans"/>
                <w:sz w:val="20"/>
                <w:szCs w:val="20"/>
              </w:rPr>
              <w:t xml:space="preserve"> especially for small firms,</w:t>
            </w:r>
            <w:r w:rsidR="001F6130">
              <w:rPr>
                <w:rFonts w:ascii="Open Sans" w:hAnsi="Open Sans" w:cs="Open Sans"/>
                <w:sz w:val="20"/>
                <w:szCs w:val="20"/>
              </w:rPr>
              <w:t xml:space="preserve"> Congress passed the Jumpstart O</w:t>
            </w:r>
            <w:r>
              <w:rPr>
                <w:rFonts w:ascii="Open Sans" w:hAnsi="Open Sans" w:cs="Open Sans"/>
                <w:sz w:val="20"/>
                <w:szCs w:val="20"/>
              </w:rPr>
              <w:t xml:space="preserve">ur Business Startups, or JOBS Act, </w:t>
            </w:r>
            <w:r w:rsidR="00C621F9" w:rsidRPr="00C621F9">
              <w:rPr>
                <w:rFonts w:ascii="Open Sans" w:hAnsi="Open Sans" w:cs="Open Sans"/>
                <w:sz w:val="20"/>
                <w:szCs w:val="20"/>
              </w:rPr>
              <w:t>which exempts Emerging Growth Companies (ECGs) from Section 404 of the Sarbanes-Oxley Act.</w:t>
            </w:r>
            <w:r w:rsidR="00C621F9">
              <w:rPr>
                <w:rFonts w:ascii="Open Sans" w:hAnsi="Open Sans" w:cs="Open Sans"/>
                <w:sz w:val="20"/>
                <w:szCs w:val="20"/>
              </w:rPr>
              <w:t xml:space="preserve"> ECGs are defined as firms with under $1bn in Sales or a market capitalization under $700mn. </w:t>
            </w:r>
          </w:p>
        </w:tc>
        <w:tc>
          <w:tcPr>
            <w:tcW w:w="3783" w:type="dxa"/>
            <w:tcBorders>
              <w:top w:val="single" w:sz="12" w:space="0" w:color="auto"/>
              <w:left w:val="single" w:sz="12" w:space="0" w:color="auto"/>
              <w:bottom w:val="single" w:sz="12" w:space="0" w:color="auto"/>
              <w:right w:val="single" w:sz="12" w:space="0" w:color="auto"/>
            </w:tcBorders>
          </w:tcPr>
          <w:p w14:paraId="65D68487" w14:textId="6B572ECA" w:rsidR="00141981" w:rsidRDefault="00141981" w:rsidP="00E56061">
            <w:pPr>
              <w:spacing w:before="120" w:after="120" w:line="240" w:lineRule="auto"/>
              <w:jc w:val="both"/>
              <w:rPr>
                <w:rFonts w:ascii="Open Sans" w:hAnsi="Open Sans" w:cs="Open Sans"/>
                <w:sz w:val="20"/>
                <w:szCs w:val="20"/>
              </w:rPr>
            </w:pPr>
            <w:r w:rsidRPr="00141981">
              <w:rPr>
                <w:rFonts w:ascii="Open Sans" w:hAnsi="Open Sans" w:cs="Open Sans"/>
                <w:color w:val="37246A" w:themeColor="text2"/>
                <w:sz w:val="18"/>
                <w:szCs w:val="20"/>
              </w:rPr>
              <w:drawing>
                <wp:anchor distT="0" distB="0" distL="114300" distR="114300" simplePos="0" relativeHeight="251667456" behindDoc="0" locked="0" layoutInCell="1" allowOverlap="1" wp14:anchorId="358D1868" wp14:editId="00EE0EC0">
                  <wp:simplePos x="0" y="0"/>
                  <wp:positionH relativeFrom="column">
                    <wp:posOffset>5715</wp:posOffset>
                  </wp:positionH>
                  <wp:positionV relativeFrom="paragraph">
                    <wp:posOffset>29845</wp:posOffset>
                  </wp:positionV>
                  <wp:extent cx="603250" cy="603250"/>
                  <wp:effectExtent l="0" t="0" r="0" b="6350"/>
                  <wp:wrapSquare wrapText="bothSides"/>
                  <wp:docPr id="9" name="Graphic 9"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rovider=MicrosoftIcon&amp;fileName=Document.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03250" cy="603250"/>
                          </a:xfrm>
                          <a:prstGeom prst="rect">
                            <a:avLst/>
                          </a:prstGeom>
                        </pic:spPr>
                      </pic:pic>
                    </a:graphicData>
                  </a:graphic>
                </wp:anchor>
              </w:drawing>
            </w:r>
            <w:r w:rsidRPr="00141981">
              <w:rPr>
                <w:rFonts w:ascii="Open Sans" w:hAnsi="Open Sans" w:cs="Open Sans"/>
                <w:color w:val="37246A" w:themeColor="text2"/>
                <w:sz w:val="18"/>
                <w:szCs w:val="20"/>
              </w:rPr>
              <w:t>The NYT article</w:t>
            </w:r>
            <w:r>
              <w:rPr>
                <w:rFonts w:ascii="Open Sans" w:hAnsi="Open Sans" w:cs="Open Sans"/>
                <w:color w:val="37246A" w:themeColor="text2"/>
                <w:sz w:val="18"/>
                <w:szCs w:val="20"/>
              </w:rPr>
              <w:t xml:space="preserve"> “At Large and Small Companies, Internal Controls Matter” discusses the importance of the JOBS Act</w:t>
            </w:r>
            <w:r w:rsidR="00C621F9">
              <w:rPr>
                <w:rFonts w:ascii="Open Sans" w:hAnsi="Open Sans" w:cs="Open Sans"/>
                <w:color w:val="37246A" w:themeColor="text2"/>
                <w:sz w:val="18"/>
                <w:szCs w:val="20"/>
              </w:rPr>
              <w:t>.</w:t>
            </w:r>
            <w:r>
              <w:rPr>
                <w:rFonts w:ascii="Open Sans" w:hAnsi="Open Sans" w:cs="Open Sans"/>
                <w:color w:val="37246A" w:themeColor="text2"/>
                <w:sz w:val="18"/>
                <w:szCs w:val="20"/>
              </w:rPr>
              <w:t xml:space="preserve"> As we learn from Groupon – young growing companies are those who are at a high risk of having </w:t>
            </w:r>
            <w:r w:rsidR="001F6130">
              <w:rPr>
                <w:rFonts w:ascii="Open Sans" w:hAnsi="Open Sans" w:cs="Open Sans"/>
                <w:color w:val="37246A" w:themeColor="text2"/>
                <w:sz w:val="18"/>
                <w:szCs w:val="20"/>
              </w:rPr>
              <w:t xml:space="preserve">internal </w:t>
            </w:r>
            <w:r>
              <w:rPr>
                <w:rFonts w:ascii="Open Sans" w:hAnsi="Open Sans" w:cs="Open Sans"/>
                <w:color w:val="37246A" w:themeColor="text2"/>
                <w:sz w:val="18"/>
                <w:szCs w:val="20"/>
              </w:rPr>
              <w:t>control problems. By not having to disclose problems, does the JOBS Act take the focus off effective controls?</w:t>
            </w:r>
          </w:p>
        </w:tc>
      </w:tr>
    </w:tbl>
    <w:p w14:paraId="5B3CF164" w14:textId="700C7749" w:rsidR="00141981" w:rsidRDefault="00C621F9" w:rsidP="003E2B1F">
      <w:pPr>
        <w:spacing w:before="120" w:after="120" w:line="360" w:lineRule="auto"/>
        <w:jc w:val="both"/>
        <w:rPr>
          <w:rFonts w:ascii="Open Sans" w:hAnsi="Open Sans" w:cs="Open Sans"/>
          <w:sz w:val="20"/>
          <w:szCs w:val="20"/>
        </w:rPr>
      </w:pPr>
      <w:r>
        <w:rPr>
          <w:rFonts w:ascii="Open Sans" w:hAnsi="Open Sans" w:cs="Open Sans"/>
          <w:sz w:val="20"/>
          <w:szCs w:val="20"/>
        </w:rPr>
        <w:t>ECGs are also expected to be exempt from future regulation such as the expected disclosure of the auditors’ discussion of Critical Audit Matters (or CAMs). Many IPOs fall under the definition of an ECG when they go public, and are exempt from 404 for up to five years. When the client is exempt, however, the auditor will still undertake control testing as part of the integrated audit, and so it is possible that many control problems could be remediated before b</w:t>
      </w:r>
      <w:r w:rsidR="001F6130">
        <w:rPr>
          <w:rFonts w:ascii="Open Sans" w:hAnsi="Open Sans" w:cs="Open Sans"/>
          <w:sz w:val="20"/>
          <w:szCs w:val="20"/>
        </w:rPr>
        <w:t>eing required to be disclosed.</w:t>
      </w:r>
    </w:p>
    <w:p w14:paraId="39116D4F" w14:textId="2E0D7D1D" w:rsidR="00BA7107" w:rsidRPr="002F6B23" w:rsidRDefault="008173F3" w:rsidP="00BA7107">
      <w:pPr>
        <w:pStyle w:val="Heading1"/>
        <w:rPr>
          <w:rFonts w:ascii="Open Sans" w:hAnsi="Open Sans" w:cs="Open Sans"/>
          <w:smallCaps/>
          <w:color w:val="33006F"/>
        </w:rPr>
      </w:pPr>
      <w:r>
        <w:rPr>
          <w:rFonts w:ascii="Open Sans" w:hAnsi="Open Sans" w:cs="Open Sans"/>
          <w:smallCaps/>
          <w:color w:val="33006F"/>
        </w:rPr>
        <w:t>Quantifying Misstatement Risk</w:t>
      </w:r>
    </w:p>
    <w:p w14:paraId="0B250288" w14:textId="23ABA70C" w:rsidR="00FF2E04" w:rsidRDefault="00DF46DB" w:rsidP="00BA3629">
      <w:pPr>
        <w:spacing w:before="120" w:after="120" w:line="360" w:lineRule="auto"/>
        <w:jc w:val="both"/>
        <w:rPr>
          <w:rFonts w:ascii="Calibri" w:eastAsia="Calibri" w:hAnsi="Calibri" w:cs="Times New Roman"/>
        </w:rPr>
      </w:pPr>
      <w:r>
        <w:rPr>
          <w:rFonts w:ascii="Open Sans" w:hAnsi="Open Sans" w:cs="Open Sans"/>
          <w:sz w:val="20"/>
          <w:szCs w:val="20"/>
        </w:rPr>
        <w:t xml:space="preserve">Data analytics can provide us with additional insight into the </w:t>
      </w:r>
      <w:r w:rsidR="00FF2E04">
        <w:rPr>
          <w:rFonts w:ascii="Open Sans" w:hAnsi="Open Sans" w:cs="Open Sans"/>
          <w:sz w:val="20"/>
          <w:szCs w:val="20"/>
        </w:rPr>
        <w:t xml:space="preserve">risk of a material misstatement, by thinking data-first. </w:t>
      </w:r>
      <w:r w:rsidR="00FF2E04">
        <w:t xml:space="preserve">Research of accounting quality provides evidence of a link between observable firm-characteristics </w:t>
      </w:r>
      <w:r w:rsidR="00FF2E04">
        <w:lastRenderedPageBreak/>
        <w:t xml:space="preserve">and the likelihood of a future material misstatement. </w:t>
      </w:r>
      <w:r w:rsidR="00FF2E04" w:rsidRPr="003025AE">
        <w:rPr>
          <w:rFonts w:ascii="Calibri" w:eastAsia="Calibri" w:hAnsi="Calibri" w:cs="Times New Roman"/>
        </w:rPr>
        <w:t>There are several different approaches that can be used to gain insight into the probability of material misstatements in a firm’s accounting.</w:t>
      </w:r>
      <w:r w:rsidR="00FF2E04">
        <w:rPr>
          <w:rFonts w:ascii="Calibri" w:eastAsia="Calibri" w:hAnsi="Calibri" w:cs="Times New Roman"/>
        </w:rPr>
        <w:t xml:space="preserve"> We will focus on a misstatement risk metric developed by UW-Foster Accounting Professor Weili Ge and her coauthors. A metric they labeled the </w:t>
      </w:r>
      <w:r w:rsidR="00FF2E04" w:rsidRPr="003025AE">
        <w:rPr>
          <w:rFonts w:ascii="Calibri" w:eastAsia="Calibri" w:hAnsi="Calibri" w:cs="Times New Roman"/>
          <w:b/>
          <w:i/>
          <w:color w:val="33006F"/>
        </w:rPr>
        <w:t>F-score</w:t>
      </w:r>
      <w:r w:rsidR="00FF2E04" w:rsidRPr="003025AE">
        <w:rPr>
          <w:rFonts w:ascii="Calibri" w:eastAsia="Calibri" w:hAnsi="Calibri" w:cs="Times New Roman"/>
        </w:rPr>
        <w:t xml:space="preserve"> </w:t>
      </w:r>
      <w:r w:rsidR="00FF2E04">
        <w:rPr>
          <w:rFonts w:ascii="Calibri" w:eastAsia="Calibri" w:hAnsi="Calibri" w:cs="Times New Roman"/>
        </w:rPr>
        <w:t xml:space="preserve">which </w:t>
      </w:r>
      <w:r w:rsidR="00FF2E04" w:rsidRPr="003025AE">
        <w:rPr>
          <w:rFonts w:ascii="Calibri" w:eastAsia="Calibri" w:hAnsi="Calibri" w:cs="Times New Roman"/>
        </w:rPr>
        <w:t>is a logistic-regression based tool for identifying the likelihood that a company’s accounting estimates are materially misstated</w:t>
      </w:r>
      <w:r w:rsidR="00FF2E04">
        <w:rPr>
          <w:rFonts w:ascii="Calibri" w:eastAsia="Calibri" w:hAnsi="Calibri" w:cs="Times New Roman"/>
        </w:rPr>
        <w:t xml:space="preserve"> based on publicly observable firm characteristics </w:t>
      </w:r>
      <w:r w:rsidR="00FF2E04" w:rsidRPr="003025AE">
        <w:rPr>
          <w:rFonts w:ascii="Calibri" w:eastAsia="Calibri" w:hAnsi="Calibri" w:cs="Times New Roman"/>
        </w:rPr>
        <w:fldChar w:fldCharType="begin"/>
      </w:r>
      <w:r w:rsidR="00FF2E04" w:rsidRPr="003025AE">
        <w:rPr>
          <w:rFonts w:ascii="Calibri" w:eastAsia="Calibri" w:hAnsi="Calibri" w:cs="Times New Roman"/>
        </w:rPr>
        <w:instrText xml:space="preserve"> ADDIN EN.CITE &lt;EndNote&gt;&lt;Cite&gt;&lt;Author&gt;Dechow&lt;/Author&gt;&lt;Year&gt;2011&lt;/Year&gt;&lt;RecNum&gt;360&lt;/RecNum&gt;&lt;Prefix&gt;see &lt;/Prefix&gt;&lt;DisplayText&gt;(see Dechow et al. 2011)&lt;/DisplayText&gt;&lt;record&gt;&lt;rec-number&gt;360&lt;/rec-number&gt;&lt;foreign-keys&gt;&lt;key app="EN" db-id="5wddtwtdltavvheer5vvrda5pftspd2zre9e" timestamp="1482444967"&gt;360&lt;/key&gt;&lt;/foreign-keys&gt;&lt;ref-type name="Journal Article"&gt;17&lt;/ref-type&gt;&lt;contributors&gt;&lt;authors&gt;&lt;author&gt;Dechow, Patricia M.&lt;/author&gt;&lt;author&gt;Ge, Weili&lt;/author&gt;&lt;author&gt;Larson, Chad R.&lt;/author&gt;&lt;author&gt;Sloan, Richard G.&lt;/author&gt;&lt;/authors&gt;&lt;/contributors&gt;&lt;titles&gt;&lt;title&gt;Predicting Material Accounting Misstatements&lt;/title&gt;&lt;secondary-title&gt;Contemporary Accounting Research&lt;/secondary-title&gt;&lt;/titles&gt;&lt;periodical&gt;&lt;full-title&gt;Contemporary accounting research&lt;/full-title&gt;&lt;/periodical&gt;&lt;pages&gt;17-82&lt;/pages&gt;&lt;volume&gt;28&lt;/volume&gt;&lt;number&gt;1&lt;/number&gt;&lt;dates&gt;&lt;year&gt;2011&lt;/year&gt;&lt;/dates&gt;&lt;publisher&gt;Blackwell Publishing Ltd&lt;/publisher&gt;&lt;isbn&gt;1911-3846&lt;/isbn&gt;&lt;urls&gt;&lt;related-urls&gt;&lt;url&gt;http://dx.doi.org/10.1111/j.1911-3846.2010.01041.x&lt;/url&gt;&lt;/related-urls&gt;&lt;/urls&gt;&lt;electronic-resource-num&gt;10.1111/j.1911-3846.2010.01041.x&lt;/electronic-resource-num&gt;&lt;/record&gt;&lt;/Cite&gt;&lt;/EndNote&gt;</w:instrText>
      </w:r>
      <w:r w:rsidR="00FF2E04" w:rsidRPr="003025AE">
        <w:rPr>
          <w:rFonts w:ascii="Calibri" w:eastAsia="Calibri" w:hAnsi="Calibri" w:cs="Times New Roman"/>
        </w:rPr>
        <w:fldChar w:fldCharType="separate"/>
      </w:r>
      <w:r w:rsidR="00FF2E04" w:rsidRPr="003025AE">
        <w:rPr>
          <w:rFonts w:ascii="Calibri" w:eastAsia="Calibri" w:hAnsi="Calibri" w:cs="Times New Roman"/>
          <w:noProof/>
        </w:rPr>
        <w:t>(see Dechow et al. 2011)</w:t>
      </w:r>
      <w:r w:rsidR="00FF2E04" w:rsidRPr="003025AE">
        <w:rPr>
          <w:rFonts w:ascii="Calibri" w:eastAsia="Calibri" w:hAnsi="Calibri" w:cs="Times New Roman"/>
        </w:rPr>
        <w:fldChar w:fldCharType="end"/>
      </w:r>
      <w:r w:rsidR="00FF2E04" w:rsidRPr="003025AE">
        <w:rPr>
          <w:rFonts w:ascii="Calibri" w:eastAsia="Calibri" w:hAnsi="Calibri" w:cs="Times New Roman"/>
        </w:rPr>
        <w:t>.</w:t>
      </w:r>
      <w:r w:rsidR="00FF2E04">
        <w:rPr>
          <w:rFonts w:ascii="Calibri" w:eastAsia="Calibri" w:hAnsi="Calibri" w:cs="Times New Roman"/>
        </w:rPr>
        <w:t xml:space="preserve"> </w:t>
      </w:r>
    </w:p>
    <w:p w14:paraId="7BE5E93E" w14:textId="77777777" w:rsidR="00293B76" w:rsidRDefault="00FF2E04" w:rsidP="00FF2E04">
      <w:pPr>
        <w:spacing w:before="120" w:after="120" w:line="360" w:lineRule="auto"/>
        <w:jc w:val="both"/>
        <w:rPr>
          <w:rFonts w:ascii="Calibri" w:eastAsia="Calibri" w:hAnsi="Calibri" w:cs="Times New Roman"/>
        </w:rPr>
      </w:pPr>
      <w:r w:rsidRPr="00293B76">
        <w:rPr>
          <w:rFonts w:ascii="Open Sans" w:eastAsiaTheme="majorEastAsia" w:hAnsi="Open Sans" w:cs="Open Sans"/>
          <w:b/>
          <w:bCs/>
          <w:smallCaps/>
          <w:color w:val="33006F"/>
          <w:szCs w:val="28"/>
        </w:rPr>
        <w:t>The F-scor</w:t>
      </w:r>
      <w:r w:rsidR="00293B76">
        <w:rPr>
          <w:rFonts w:ascii="Open Sans" w:eastAsiaTheme="majorEastAsia" w:hAnsi="Open Sans" w:cs="Open Sans"/>
          <w:b/>
          <w:bCs/>
          <w:smallCaps/>
          <w:color w:val="33006F"/>
          <w:szCs w:val="28"/>
        </w:rPr>
        <w:t>e</w:t>
      </w:r>
      <w:r>
        <w:rPr>
          <w:rFonts w:ascii="Calibri" w:eastAsia="Calibri" w:hAnsi="Calibri" w:cs="Times New Roman"/>
        </w:rPr>
        <w:t xml:space="preserve"> </w:t>
      </w:r>
      <w:r w:rsidRPr="003025AE">
        <w:rPr>
          <w:rFonts w:ascii="Calibri" w:eastAsia="Calibri" w:hAnsi="Calibri" w:cs="Times New Roman"/>
        </w:rPr>
        <w:t>take</w:t>
      </w:r>
      <w:r>
        <w:rPr>
          <w:rFonts w:ascii="Calibri" w:eastAsia="Calibri" w:hAnsi="Calibri" w:cs="Times New Roman"/>
        </w:rPr>
        <w:t>s</w:t>
      </w:r>
      <w:r w:rsidRPr="003025AE">
        <w:rPr>
          <w:rFonts w:ascii="Calibri" w:eastAsia="Calibri" w:hAnsi="Calibri" w:cs="Times New Roman"/>
        </w:rPr>
        <w:t xml:space="preserve"> structured data that is sourced from publicly available filings and other sources and estimate the association between historical material misstatements and many predictor variables.</w:t>
      </w:r>
      <w:r>
        <w:rPr>
          <w:rFonts w:ascii="Calibri" w:eastAsia="Calibri" w:hAnsi="Calibri" w:cs="Times New Roman"/>
        </w:rPr>
        <w:t xml:space="preserve"> Keep in mind that earnings distortions are generally carried out by increasing accrual profits, widening the gap between earnings and cash-flows. The F-score builds on this understanding of the flexibility in the accounting system by incorporating measures of </w:t>
      </w:r>
      <w:r w:rsidRPr="00FF2E04">
        <w:rPr>
          <w:rFonts w:ascii="Calibri" w:eastAsia="Calibri" w:hAnsi="Calibri" w:cs="Times New Roman"/>
          <w:b/>
        </w:rPr>
        <w:t>accrual quality</w:t>
      </w:r>
      <w:r>
        <w:rPr>
          <w:rFonts w:ascii="Calibri" w:eastAsia="Calibri" w:hAnsi="Calibri" w:cs="Times New Roman"/>
        </w:rPr>
        <w:t xml:space="preserve">. </w:t>
      </w:r>
      <w:r w:rsidRPr="00733A89">
        <w:rPr>
          <w:rFonts w:ascii="Calibri" w:eastAsia="Calibri" w:hAnsi="Calibri" w:cs="Times New Roman"/>
        </w:rPr>
        <w:t xml:space="preserve">The F-Score </w:t>
      </w:r>
      <w:r>
        <w:rPr>
          <w:rFonts w:ascii="Calibri" w:eastAsia="Calibri" w:hAnsi="Calibri" w:cs="Times New Roman"/>
        </w:rPr>
        <w:t xml:space="preserve">also builds in prior </w:t>
      </w:r>
      <w:r w:rsidRPr="00733A89">
        <w:rPr>
          <w:rFonts w:ascii="Calibri" w:eastAsia="Calibri" w:hAnsi="Calibri" w:cs="Times New Roman"/>
        </w:rPr>
        <w:t xml:space="preserve">financial </w:t>
      </w:r>
      <w:r>
        <w:rPr>
          <w:rFonts w:ascii="Calibri" w:eastAsia="Calibri" w:hAnsi="Calibri" w:cs="Times New Roman"/>
        </w:rPr>
        <w:t xml:space="preserve">and </w:t>
      </w:r>
      <w:r w:rsidRPr="00733A89">
        <w:rPr>
          <w:rFonts w:ascii="Calibri" w:eastAsia="Calibri" w:hAnsi="Calibri" w:cs="Times New Roman"/>
        </w:rPr>
        <w:t xml:space="preserve">nonfinancial </w:t>
      </w:r>
      <w:r>
        <w:rPr>
          <w:rFonts w:ascii="Calibri" w:eastAsia="Calibri" w:hAnsi="Calibri" w:cs="Times New Roman"/>
        </w:rPr>
        <w:t xml:space="preserve">performance measures to identify the likelihood of a </w:t>
      </w:r>
      <w:r w:rsidRPr="00733A89">
        <w:rPr>
          <w:rFonts w:ascii="Calibri" w:eastAsia="Calibri" w:hAnsi="Calibri" w:cs="Times New Roman"/>
        </w:rPr>
        <w:t>misstatement.</w:t>
      </w:r>
      <w:r w:rsidRPr="003025AE">
        <w:rPr>
          <w:rFonts w:ascii="Calibri" w:eastAsia="Calibri" w:hAnsi="Calibri" w:cs="Times New Roman"/>
        </w:rPr>
        <w:t xml:space="preserve"> </w:t>
      </w:r>
    </w:p>
    <w:p w14:paraId="3F9724EF" w14:textId="77777777" w:rsidR="00293B76" w:rsidRDefault="00293B76" w:rsidP="00FF2E04">
      <w:pPr>
        <w:spacing w:before="120" w:after="120" w:line="360" w:lineRule="auto"/>
        <w:jc w:val="both"/>
        <w:rPr>
          <w:rFonts w:ascii="Calibri" w:eastAsia="Calibri" w:hAnsi="Calibri" w:cs="Times New Roman"/>
        </w:rPr>
      </w:pPr>
      <w:r w:rsidRPr="00293B76">
        <w:rPr>
          <w:rFonts w:ascii="Open Sans" w:eastAsiaTheme="majorEastAsia" w:hAnsi="Open Sans" w:cs="Open Sans"/>
          <w:b/>
          <w:bCs/>
          <w:smallCaps/>
          <w:color w:val="33006F"/>
          <w:szCs w:val="28"/>
        </w:rPr>
        <w:t xml:space="preserve">Can we use it to predict misstatement risk? </w:t>
      </w:r>
      <w:r>
        <w:rPr>
          <w:rFonts w:ascii="Calibri" w:eastAsia="Calibri" w:hAnsi="Calibri" w:cs="Times New Roman"/>
        </w:rPr>
        <w:t xml:space="preserve">The F-Score can be used to predict the misstatement risk associated with a single company following a two-step process: (1) historical parameters are estimated using data on features expected to be associated with material misstatements and historical misstatements. This is estimated using a logistic regression as the outcome is binary (either the firms misstates or it doesn’t); (2) the parameters estimated on the predictor variables, i.e., firm characteristics, being used to predict misstatement can be applied to the data of the firm you are interested in (say an IPO firm) by multiplying the parameters with the observable characteristics. Both steps can be done quickly and efficiently within excel or any other statistical software. </w:t>
      </w:r>
    </w:p>
    <w:p w14:paraId="4DB2EC98" w14:textId="57D5C944" w:rsidR="00FF2E04" w:rsidRDefault="00FF2E04" w:rsidP="00FF2E04">
      <w:pPr>
        <w:spacing w:before="120" w:after="120" w:line="360" w:lineRule="auto"/>
        <w:jc w:val="both"/>
        <w:rPr>
          <w:rFonts w:ascii="Calibri" w:eastAsia="Calibri" w:hAnsi="Calibri" w:cs="Times New Roman"/>
        </w:rPr>
      </w:pPr>
      <w:r>
        <w:rPr>
          <w:rFonts w:ascii="Calibri" w:eastAsia="Calibri" w:hAnsi="Calibri" w:cs="Times New Roman"/>
        </w:rPr>
        <w:t>The F-score produces a simple diagnostic, w</w:t>
      </w:r>
      <w:r w:rsidRPr="003025AE">
        <w:rPr>
          <w:rFonts w:ascii="Calibri" w:eastAsia="Calibri" w:hAnsi="Calibri" w:cs="Times New Roman"/>
        </w:rPr>
        <w:t xml:space="preserve">hen the F-score is above </w:t>
      </w:r>
      <w:r>
        <w:rPr>
          <w:rFonts w:ascii="Calibri" w:eastAsia="Calibri" w:hAnsi="Calibri" w:cs="Times New Roman"/>
        </w:rPr>
        <w:t>1</w:t>
      </w:r>
      <w:r w:rsidRPr="003025AE">
        <w:rPr>
          <w:rFonts w:ascii="Calibri" w:eastAsia="Calibri" w:hAnsi="Calibri" w:cs="Times New Roman"/>
        </w:rPr>
        <w:t>, the likelihood of a material misstatement is high.</w:t>
      </w:r>
      <w:r>
        <w:rPr>
          <w:rFonts w:ascii="Calibri" w:eastAsia="Calibri" w:hAnsi="Calibri" w:cs="Times New Roman"/>
        </w:rPr>
        <w:t xml:space="preserve"> </w:t>
      </w:r>
      <w:r w:rsidR="00293B76">
        <w:rPr>
          <w:rFonts w:ascii="Calibri" w:eastAsia="Calibri" w:hAnsi="Calibri" w:cs="Times New Roman"/>
        </w:rPr>
        <w:t>Attention</w:t>
      </w:r>
      <w:r>
        <w:rPr>
          <w:rFonts w:ascii="Calibri" w:eastAsia="Calibri" w:hAnsi="Calibri" w:cs="Times New Roman"/>
        </w:rPr>
        <w:t xml:space="preserve"> could be placed on companies that the F-score suggests have higher levels of misstatement risk. In addition, the risk of misstatement is increasing with the magnitude of the F-score, which allows us to use the F-score to rank firms </w:t>
      </w:r>
      <w:r w:rsidR="00293B76">
        <w:rPr>
          <w:rFonts w:ascii="Calibri" w:eastAsia="Calibri" w:hAnsi="Calibri" w:cs="Times New Roman"/>
        </w:rPr>
        <w:t>based on</w:t>
      </w:r>
      <w:r>
        <w:rPr>
          <w:rFonts w:ascii="Calibri" w:eastAsia="Calibri" w:hAnsi="Calibri" w:cs="Times New Roman"/>
        </w:rPr>
        <w:t xml:space="preserve"> their misstatement risk.</w:t>
      </w:r>
    </w:p>
    <w:p w14:paraId="6F7FFE2D" w14:textId="2D7DA875" w:rsidR="00293B76" w:rsidRDefault="00293B76" w:rsidP="00FF2E04">
      <w:pPr>
        <w:spacing w:before="120" w:after="120" w:line="360" w:lineRule="auto"/>
        <w:jc w:val="both"/>
      </w:pPr>
      <w:r w:rsidRPr="00293B76">
        <w:rPr>
          <w:rFonts w:ascii="Open Sans" w:eastAsiaTheme="majorEastAsia" w:hAnsi="Open Sans" w:cs="Open Sans"/>
          <w:b/>
          <w:bCs/>
          <w:smallCaps/>
          <w:color w:val="33006F"/>
          <w:szCs w:val="28"/>
        </w:rPr>
        <w:t>Can we modify the F-Score?</w:t>
      </w:r>
      <w:r>
        <w:rPr>
          <w:rFonts w:ascii="Calibri" w:eastAsia="Calibri" w:hAnsi="Calibri" w:cs="Times New Roman"/>
        </w:rPr>
        <w:t xml:space="preserve"> There are several ways in which the F-Score could be modified. The two most common are to</w:t>
      </w:r>
      <w:r w:rsidR="0019347E">
        <w:rPr>
          <w:rFonts w:ascii="Calibri" w:eastAsia="Calibri" w:hAnsi="Calibri" w:cs="Times New Roman"/>
        </w:rPr>
        <w:t>: (1)</w:t>
      </w:r>
      <w:r>
        <w:rPr>
          <w:rFonts w:ascii="Calibri" w:eastAsia="Calibri" w:hAnsi="Calibri" w:cs="Times New Roman"/>
        </w:rPr>
        <w:t xml:space="preserve"> consider whether the economic drivers of material misstatements vary either due to the passage of time</w:t>
      </w:r>
      <w:r w:rsidR="0019347E">
        <w:rPr>
          <w:rFonts w:ascii="Calibri" w:eastAsia="Calibri" w:hAnsi="Calibri" w:cs="Times New Roman"/>
        </w:rPr>
        <w:t xml:space="preserve"> (perhaps following important regulation aimed at preventing </w:t>
      </w:r>
      <w:r w:rsidR="003F45E7">
        <w:rPr>
          <w:rFonts w:ascii="Calibri" w:eastAsia="Calibri" w:hAnsi="Calibri" w:cs="Times New Roman"/>
        </w:rPr>
        <w:t>misstatements</w:t>
      </w:r>
      <w:r w:rsidR="0019347E">
        <w:rPr>
          <w:rFonts w:ascii="Calibri" w:eastAsia="Calibri" w:hAnsi="Calibri" w:cs="Times New Roman"/>
        </w:rPr>
        <w:t>)</w:t>
      </w:r>
      <w:r>
        <w:rPr>
          <w:rFonts w:ascii="Calibri" w:eastAsia="Calibri" w:hAnsi="Calibri" w:cs="Times New Roman"/>
        </w:rPr>
        <w:t xml:space="preserve"> or differ for different groups of firms (such as </w:t>
      </w:r>
      <w:r w:rsidR="0019347E">
        <w:rPr>
          <w:rFonts w:ascii="Calibri" w:eastAsia="Calibri" w:hAnsi="Calibri" w:cs="Times New Roman"/>
        </w:rPr>
        <w:t xml:space="preserve">IPOs); (2) include additional economic drivers of misstatement risk by including additional firm characteristics in the first stage (i.e., the logistic regression with historical data). </w:t>
      </w:r>
    </w:p>
    <w:p w14:paraId="6770F527" w14:textId="77777777" w:rsidR="00AE4AA3" w:rsidRPr="00732C96" w:rsidRDefault="00AE4AA3" w:rsidP="00AE4AA3">
      <w:pPr>
        <w:pStyle w:val="Heading1"/>
        <w:rPr>
          <w:smallCaps/>
          <w:color w:val="33006F"/>
        </w:rPr>
      </w:pPr>
      <w:bookmarkStart w:id="4" w:name="_Toc477954627"/>
      <w:bookmarkStart w:id="5" w:name="_Toc494529326"/>
      <w:r>
        <w:rPr>
          <w:smallCaps/>
          <w:color w:val="33006F"/>
        </w:rPr>
        <w:lastRenderedPageBreak/>
        <w:t>Reference</w:t>
      </w:r>
      <w:r w:rsidRPr="00732C96">
        <w:rPr>
          <w:smallCaps/>
          <w:color w:val="33006F"/>
        </w:rPr>
        <w:t>s</w:t>
      </w:r>
      <w:bookmarkEnd w:id="4"/>
      <w:bookmarkEnd w:id="5"/>
    </w:p>
    <w:p w14:paraId="6BBEDC97" w14:textId="77777777" w:rsidR="00A92BAA" w:rsidRPr="00A92BAA" w:rsidRDefault="001A6E2C" w:rsidP="00A92BAA">
      <w:pPr>
        <w:pStyle w:val="EndNoteBibliography"/>
        <w:ind w:left="720" w:hanging="720"/>
      </w:pPr>
      <w:r w:rsidRPr="007979E7">
        <w:rPr>
          <w:highlight w:val="yellow"/>
        </w:rPr>
        <w:fldChar w:fldCharType="begin"/>
      </w:r>
      <w:r w:rsidRPr="007979E7">
        <w:rPr>
          <w:highlight w:val="yellow"/>
        </w:rPr>
        <w:instrText xml:space="preserve"> ADDIN EN.REFLIST </w:instrText>
      </w:r>
      <w:r w:rsidRPr="007979E7">
        <w:rPr>
          <w:highlight w:val="yellow"/>
        </w:rPr>
        <w:fldChar w:fldCharType="end"/>
      </w:r>
      <w:r w:rsidR="00A92BAA" w:rsidRPr="00A92BAA">
        <w:t xml:space="preserve">Alexander, C. R., S. W. Bauguess, G. Bernile, Y.-H. A. Lee, and J. Marietta-Westberg. 2013. Economic effects of SOX Section 404 compliance: A corporate insider perspective. </w:t>
      </w:r>
      <w:r w:rsidR="00A92BAA" w:rsidRPr="00A92BAA">
        <w:rPr>
          <w:i/>
        </w:rPr>
        <w:t>Journal of Accounting and Economics</w:t>
      </w:r>
      <w:r w:rsidR="00A92BAA" w:rsidRPr="00A92BAA">
        <w:t xml:space="preserve"> 56 (2):267-290.</w:t>
      </w:r>
    </w:p>
    <w:p w14:paraId="3F79BC9A" w14:textId="77777777" w:rsidR="00A92BAA" w:rsidRPr="00A92BAA" w:rsidRDefault="00A92BAA" w:rsidP="00A92BAA">
      <w:pPr>
        <w:pStyle w:val="EndNoteBibliography"/>
        <w:ind w:left="720" w:hanging="720"/>
      </w:pPr>
      <w:r w:rsidRPr="00A92BAA">
        <w:t xml:space="preserve">Dechow, P. M., W. Ge, C. R. Larson, and R. G. Sloan. 2011. Predicting Material Accounting Misstatements. </w:t>
      </w:r>
      <w:r w:rsidRPr="00A92BAA">
        <w:rPr>
          <w:i/>
        </w:rPr>
        <w:t>Contemporary Accounting Research</w:t>
      </w:r>
      <w:r w:rsidRPr="00A92BAA">
        <w:t xml:space="preserve"> 28 (1):17-82.</w:t>
      </w:r>
    </w:p>
    <w:p w14:paraId="45ACF25E" w14:textId="77777777" w:rsidR="00A92BAA" w:rsidRPr="00A92BAA" w:rsidRDefault="00A92BAA" w:rsidP="00A92BAA">
      <w:pPr>
        <w:pStyle w:val="EndNoteBibliography"/>
        <w:ind w:left="720" w:hanging="720"/>
      </w:pPr>
      <w:r w:rsidRPr="00A92BAA">
        <w:t xml:space="preserve">Feng, M., C. Li, and S. McVay. 2009. Internal control and management guidance. </w:t>
      </w:r>
      <w:r w:rsidRPr="00A92BAA">
        <w:rPr>
          <w:i/>
        </w:rPr>
        <w:t>Journal of Accounting and Economics</w:t>
      </w:r>
      <w:r w:rsidRPr="00A92BAA">
        <w:t xml:space="preserve"> 48 (2):190-209.</w:t>
      </w:r>
    </w:p>
    <w:p w14:paraId="1B25E8A3" w14:textId="77777777" w:rsidR="00A92BAA" w:rsidRPr="00A92BAA" w:rsidRDefault="00A92BAA" w:rsidP="00A92BAA">
      <w:pPr>
        <w:pStyle w:val="EndNoteBibliography"/>
        <w:ind w:left="720" w:hanging="720"/>
      </w:pPr>
      <w:r w:rsidRPr="00A92BAA">
        <w:t xml:space="preserve">Feng, M., C. Li, S. E. McVay, and H. Skaife. 2015. Does Ineffective Internal Control over Financial Reporting affect a Firm's Operations? Evidence from Firms' Inventory Management. </w:t>
      </w:r>
      <w:r w:rsidRPr="00A92BAA">
        <w:rPr>
          <w:i/>
        </w:rPr>
        <w:t>The Accounting Review</w:t>
      </w:r>
      <w:r w:rsidRPr="00A92BAA">
        <w:t xml:space="preserve"> 90 (2):529-557.</w:t>
      </w:r>
    </w:p>
    <w:p w14:paraId="01F2BF6F" w14:textId="77777777" w:rsidR="00A92BAA" w:rsidRPr="00A92BAA" w:rsidRDefault="00A92BAA" w:rsidP="00A92BAA">
      <w:pPr>
        <w:pStyle w:val="EndNoteBibliography"/>
        <w:ind w:left="720" w:hanging="720"/>
      </w:pPr>
      <w:r w:rsidRPr="00A92BAA">
        <w:t xml:space="preserve">Ge, W., and S. McVay. 2005. The Disclosure of Material Weaknesses in Internal Control after the Sarbanes‐Oxley Act. </w:t>
      </w:r>
      <w:r w:rsidRPr="00A92BAA">
        <w:rPr>
          <w:i/>
        </w:rPr>
        <w:t>Accounting Horizons</w:t>
      </w:r>
      <w:r w:rsidRPr="00A92BAA">
        <w:t xml:space="preserve"> 19 (3):137-158.</w:t>
      </w:r>
    </w:p>
    <w:p w14:paraId="4791CDAE" w14:textId="77777777" w:rsidR="00A92BAA" w:rsidRPr="00A92BAA" w:rsidRDefault="00A92BAA" w:rsidP="00A92BAA">
      <w:pPr>
        <w:pStyle w:val="EndNoteBibliography"/>
        <w:ind w:left="720" w:hanging="720"/>
      </w:pPr>
      <w:r w:rsidRPr="00A92BAA">
        <w:t xml:space="preserve">Knechel, W. R., and M. Willekens. 2006. The Role of Risk Management and Governance in Determining Audit Demand. </w:t>
      </w:r>
      <w:r w:rsidRPr="00A92BAA">
        <w:rPr>
          <w:i/>
        </w:rPr>
        <w:t>Journal of Business Finance &amp; Accounting</w:t>
      </w:r>
      <w:r w:rsidRPr="00A92BAA">
        <w:t xml:space="preserve"> 33 (9-10):1344-1367.</w:t>
      </w:r>
    </w:p>
    <w:p w14:paraId="7E96BDC4" w14:textId="47F16155" w:rsidR="00E24F49" w:rsidRPr="00E24F49" w:rsidRDefault="00E24F49" w:rsidP="00E24F49">
      <w:pPr>
        <w:pStyle w:val="EndNoteBibliography"/>
        <w:ind w:left="720" w:hanging="720"/>
      </w:pPr>
    </w:p>
    <w:p w14:paraId="485D71E0" w14:textId="26050760" w:rsidR="00C74BEF" w:rsidRDefault="00EB02F2" w:rsidP="00EB02F2">
      <w:pPr>
        <w:pStyle w:val="Heading1"/>
      </w:pPr>
      <w:bookmarkStart w:id="6" w:name="_Toc494529327"/>
      <w:r>
        <w:rPr>
          <w:smallCaps/>
          <w:color w:val="33006F"/>
        </w:rPr>
        <w:t>Endnotes</w:t>
      </w:r>
      <w:bookmarkEnd w:id="6"/>
    </w:p>
    <w:p w14:paraId="43E68C85" w14:textId="77777777" w:rsidR="000B4980" w:rsidRDefault="000B4980">
      <w:pPr>
        <w:spacing w:line="240" w:lineRule="auto"/>
        <w:sectPr w:rsidR="000B4980" w:rsidSect="001E52E9">
          <w:headerReference w:type="default" r:id="rId22"/>
          <w:footerReference w:type="default" r:id="rId23"/>
          <w:headerReference w:type="first" r:id="rId24"/>
          <w:pgSz w:w="12240" w:h="15840" w:code="1"/>
          <w:pgMar w:top="1440" w:right="1440" w:bottom="1440" w:left="1152" w:header="907" w:footer="576" w:gutter="0"/>
          <w:cols w:space="720"/>
          <w:titlePg/>
          <w:docGrid w:linePitch="360"/>
        </w:sectPr>
      </w:pPr>
    </w:p>
    <w:p w14:paraId="0805E654" w14:textId="77777777" w:rsidR="00356226" w:rsidRDefault="00356226" w:rsidP="00356226">
      <w:pPr>
        <w:pStyle w:val="Heading1"/>
        <w:rPr>
          <w:smallCaps/>
          <w:color w:val="33006F"/>
        </w:rPr>
      </w:pPr>
      <w:bookmarkStart w:id="7" w:name="_Toc494529328"/>
      <w:r>
        <w:rPr>
          <w:smallCaps/>
          <w:color w:val="33006F"/>
        </w:rPr>
        <w:lastRenderedPageBreak/>
        <w:t>Appendix</w:t>
      </w:r>
    </w:p>
    <w:p w14:paraId="26497E01" w14:textId="77777777" w:rsidR="00356226" w:rsidRDefault="00356226">
      <w:pPr>
        <w:spacing w:line="240" w:lineRule="auto"/>
        <w:rPr>
          <w:smallCaps/>
          <w:color w:val="33006F"/>
        </w:rPr>
      </w:pPr>
    </w:p>
    <w:p w14:paraId="1CE411E7" w14:textId="77777777" w:rsidR="00356226" w:rsidRPr="00356226" w:rsidRDefault="00356226" w:rsidP="00356226">
      <w:pPr>
        <w:rPr>
          <w:rFonts w:ascii="Open Sans" w:hAnsi="Open Sans" w:cs="Open Sans"/>
          <w:sz w:val="20"/>
          <w:szCs w:val="20"/>
        </w:rPr>
      </w:pPr>
      <w:r w:rsidRPr="00356226">
        <w:rPr>
          <w:rFonts w:ascii="Open Sans" w:hAnsi="Open Sans" w:cs="Open Sans"/>
          <w:sz w:val="20"/>
          <w:szCs w:val="20"/>
        </w:rPr>
        <w:t xml:space="preserve">The IPO involves several parties as part of the offering team. </w:t>
      </w:r>
    </w:p>
    <w:p w14:paraId="748F7ADF" w14:textId="77777777" w:rsidR="00356226" w:rsidRPr="00356226" w:rsidRDefault="00356226" w:rsidP="00356226">
      <w:pPr>
        <w:ind w:left="720"/>
        <w:rPr>
          <w:rFonts w:ascii="Open Sans" w:hAnsi="Open Sans" w:cs="Open Sans"/>
          <w:sz w:val="20"/>
          <w:szCs w:val="20"/>
        </w:rPr>
      </w:pPr>
      <w:r w:rsidRPr="00356226">
        <w:rPr>
          <w:rFonts w:ascii="Open Sans" w:hAnsi="Open Sans" w:cs="Open Sans"/>
          <w:sz w:val="20"/>
          <w:szCs w:val="20"/>
        </w:rPr>
        <w:t>Registrant (R)</w:t>
      </w:r>
    </w:p>
    <w:p w14:paraId="3F69A071" w14:textId="77777777" w:rsidR="00356226" w:rsidRPr="00356226" w:rsidRDefault="00356226" w:rsidP="00356226">
      <w:pPr>
        <w:ind w:left="720"/>
        <w:rPr>
          <w:rFonts w:ascii="Open Sans" w:hAnsi="Open Sans" w:cs="Open Sans"/>
          <w:sz w:val="20"/>
          <w:szCs w:val="20"/>
        </w:rPr>
      </w:pPr>
      <w:r w:rsidRPr="00356226">
        <w:rPr>
          <w:rFonts w:ascii="Open Sans" w:hAnsi="Open Sans" w:cs="Open Sans"/>
          <w:sz w:val="20"/>
          <w:szCs w:val="20"/>
        </w:rPr>
        <w:t>Registrant counsel (RC)</w:t>
      </w:r>
    </w:p>
    <w:p w14:paraId="523CEA63" w14:textId="77777777" w:rsidR="00356226" w:rsidRPr="00356226" w:rsidRDefault="00356226" w:rsidP="00356226">
      <w:pPr>
        <w:ind w:left="720"/>
        <w:rPr>
          <w:rFonts w:ascii="Open Sans" w:hAnsi="Open Sans" w:cs="Open Sans"/>
          <w:sz w:val="20"/>
          <w:szCs w:val="20"/>
        </w:rPr>
      </w:pPr>
      <w:r w:rsidRPr="00356226">
        <w:rPr>
          <w:rFonts w:ascii="Open Sans" w:hAnsi="Open Sans" w:cs="Open Sans"/>
          <w:sz w:val="20"/>
          <w:szCs w:val="20"/>
        </w:rPr>
        <w:t>Underwriter (U)</w:t>
      </w:r>
    </w:p>
    <w:p w14:paraId="05F8C1EB" w14:textId="77777777" w:rsidR="00356226" w:rsidRPr="00356226" w:rsidRDefault="00356226" w:rsidP="00356226">
      <w:pPr>
        <w:ind w:left="720"/>
        <w:rPr>
          <w:rFonts w:ascii="Open Sans" w:hAnsi="Open Sans" w:cs="Open Sans"/>
          <w:sz w:val="20"/>
          <w:szCs w:val="20"/>
        </w:rPr>
      </w:pPr>
      <w:r w:rsidRPr="00356226">
        <w:rPr>
          <w:rFonts w:ascii="Open Sans" w:hAnsi="Open Sans" w:cs="Open Sans"/>
          <w:sz w:val="20"/>
          <w:szCs w:val="20"/>
        </w:rPr>
        <w:t>Underwriter counsel (UC)</w:t>
      </w:r>
    </w:p>
    <w:p w14:paraId="333401B4" w14:textId="77777777" w:rsidR="00356226" w:rsidRPr="00356226" w:rsidRDefault="00356226" w:rsidP="00356226">
      <w:pPr>
        <w:ind w:left="720"/>
        <w:rPr>
          <w:rFonts w:ascii="Open Sans" w:hAnsi="Open Sans" w:cs="Open Sans"/>
          <w:sz w:val="20"/>
          <w:szCs w:val="20"/>
        </w:rPr>
      </w:pPr>
      <w:r w:rsidRPr="00356226">
        <w:rPr>
          <w:rFonts w:ascii="Open Sans" w:hAnsi="Open Sans" w:cs="Open Sans"/>
          <w:sz w:val="20"/>
          <w:szCs w:val="20"/>
        </w:rPr>
        <w:t>Auditors (A)</w:t>
      </w:r>
    </w:p>
    <w:p w14:paraId="6D322C1B" w14:textId="77777777" w:rsidR="00356226" w:rsidRPr="00356226" w:rsidRDefault="00356226" w:rsidP="00356226">
      <w:pPr>
        <w:rPr>
          <w:rFonts w:ascii="Open Sans" w:hAnsi="Open Sans" w:cs="Open Sans"/>
          <w:sz w:val="20"/>
          <w:szCs w:val="20"/>
        </w:rPr>
      </w:pPr>
      <w:r w:rsidRPr="00356226">
        <w:rPr>
          <w:rFonts w:ascii="Open Sans" w:hAnsi="Open Sans" w:cs="Open Sans"/>
          <w:sz w:val="20"/>
          <w:szCs w:val="20"/>
        </w:rPr>
        <w:t>A typical timeframe for the process follows (taken from the planning for an IPO Joe was involved in)</w:t>
      </w:r>
    </w:p>
    <w:p w14:paraId="38D30038"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0 - Execute non-binding letter of intent with underwriters (R, U, RC, UC)</w:t>
      </w:r>
    </w:p>
    <w:p w14:paraId="11BC3A4A"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1 - Hold organizational meeting (all)</w:t>
      </w:r>
    </w:p>
    <w:p w14:paraId="7D14E978"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2 - Begin drafting Registration Statement and Prospectus (R, RC)</w:t>
      </w:r>
    </w:p>
    <w:p w14:paraId="264D9077"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7 - Complete and distribute time schedule and allocation of duties (RC)</w:t>
      </w:r>
    </w:p>
    <w:p w14:paraId="08ABE00E"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10 - Complete and distribute first draft of underwriting section of prospectus and underwriting agreements (UC)</w:t>
      </w:r>
    </w:p>
    <w:p w14:paraId="44BF1CC0"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15 - Prepare form of questionnaire for officers and directors (RC)</w:t>
      </w:r>
    </w:p>
    <w:p w14:paraId="72BEDD45"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21 - Distribute preliminary draft of prospectus (R)</w:t>
      </w:r>
    </w:p>
    <w:p w14:paraId="1F3B9302"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28 - Mail questionnaire to officers and Directors (R)</w:t>
      </w:r>
    </w:p>
    <w:p w14:paraId="4B837FC7"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36 - Submit financial statements for all periods prior to the latest fiscal year (R, A)</w:t>
      </w:r>
    </w:p>
    <w:p w14:paraId="0EC9DD26"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37 - Receive and review questionnaires from officers and directors (RC, UC)</w:t>
      </w:r>
    </w:p>
    <w:p w14:paraId="7135A4D6"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38 - Review draft Registration statement (all)</w:t>
      </w:r>
    </w:p>
    <w:p w14:paraId="3201A220"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42 - Send first draft of Registration statement to the printers (RC)</w:t>
      </w:r>
    </w:p>
    <w:p w14:paraId="03B56D2F"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43 - Submit audited financial statements for latest fiscal year and unaudited financial statements for any interim period required (R, A)</w:t>
      </w:r>
    </w:p>
    <w:p w14:paraId="622A6975"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45 - Send completed financial statement to printer (RC)</w:t>
      </w:r>
    </w:p>
    <w:p w14:paraId="101C8EFD"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52 - Hold all-hands meeting (all)</w:t>
      </w:r>
    </w:p>
    <w:p w14:paraId="32A63F73"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Days 73-74 - Review draft Registration statement at printer (RC)</w:t>
      </w:r>
    </w:p>
    <w:p w14:paraId="2EDCF9D1"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74 - Submit revisions to printer (RC)</w:t>
      </w:r>
    </w:p>
    <w:p w14:paraId="6E689500"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76 - Conduct subsequent events review (R, A)</w:t>
      </w:r>
    </w:p>
    <w:p w14:paraId="3D29052E"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77 - Hold all-hands meeting (all)</w:t>
      </w:r>
    </w:p>
    <w:p w14:paraId="69B88A01"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77 - File Registration Statement with the SEC (electronically) (R, RC)</w:t>
      </w:r>
    </w:p>
    <w:p w14:paraId="67932F76"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78 - Distribute preliminary "red herring" prospectus (U) (often delayed until first amendments are filed)</w:t>
      </w:r>
    </w:p>
    <w:p w14:paraId="1490BFAD"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79 - Begin road show (R, U)</w:t>
      </w:r>
    </w:p>
    <w:p w14:paraId="1016025A"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81 - Make Blue Sky filings (UC)</w:t>
      </w:r>
    </w:p>
    <w:p w14:paraId="3764FA82"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lastRenderedPageBreak/>
        <w:t>Day 84 - File stock exchange-listing applications (R, RC, UC)</w:t>
      </w:r>
    </w:p>
    <w:p w14:paraId="37EB0F77"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92 - Select registrar and transfer agent (R, RC)</w:t>
      </w:r>
    </w:p>
    <w:p w14:paraId="4FBD1196"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94 - File NASD application (UC)</w:t>
      </w:r>
    </w:p>
    <w:p w14:paraId="23587AAA"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106 - Receive comment letter from SEC staff (R, RC)</w:t>
      </w:r>
    </w:p>
    <w:p w14:paraId="14669710"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107 - Discuss SEC comment letter, make changes as necessary (all) and draft response letter (RC)</w:t>
      </w:r>
    </w:p>
    <w:p w14:paraId="3EBE0958"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108 - Send draft of amendment to printer (RC)</w:t>
      </w:r>
    </w:p>
    <w:p w14:paraId="1B794837"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112 - Review and revise proof of amendment (all), return corrected copy to printer (RC)</w:t>
      </w:r>
    </w:p>
    <w:p w14:paraId="16D43841"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114 - Hold due-diligence meeting (all)</w:t>
      </w:r>
    </w:p>
    <w:p w14:paraId="667EDA05"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115 - Conduct subsequent events review (R, A)</w:t>
      </w:r>
    </w:p>
    <w:p w14:paraId="2B7EEBCD"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115 – Pre-clear changes with SEC staff (RC)</w:t>
      </w:r>
    </w:p>
    <w:p w14:paraId="3F28E639"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116 - File amendment with SEC and provide response letter to SEC staff (RC)</w:t>
      </w:r>
    </w:p>
    <w:p w14:paraId="1F14EEE0"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123 - Receive clearance from the SEC staff, and request acceleration of effective date (R, RC)</w:t>
      </w:r>
    </w:p>
    <w:p w14:paraId="011CDCDF"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126 - Meet to set price of securities (R, U)</w:t>
      </w:r>
    </w:p>
    <w:p w14:paraId="4B521427"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127 - Deliver first comfort letter to company and underwriters (A)</w:t>
      </w:r>
    </w:p>
    <w:p w14:paraId="26DBFE67" w14:textId="77777777" w:rsidR="00356226" w:rsidRPr="00356226" w:rsidRDefault="00356226" w:rsidP="00356226">
      <w:pPr>
        <w:ind w:left="1530" w:hanging="810"/>
        <w:rPr>
          <w:rFonts w:ascii="Open Sans" w:hAnsi="Open Sans" w:cs="Open Sans"/>
          <w:sz w:val="20"/>
          <w:szCs w:val="20"/>
        </w:rPr>
      </w:pPr>
      <w:r w:rsidRPr="00356226">
        <w:rPr>
          <w:rFonts w:ascii="Open Sans" w:hAnsi="Open Sans" w:cs="Open Sans"/>
          <w:sz w:val="20"/>
          <w:szCs w:val="20"/>
        </w:rPr>
        <w:t>File pricing amendment with SEC (RC)</w:t>
      </w:r>
    </w:p>
    <w:p w14:paraId="60BB7960" w14:textId="77777777" w:rsidR="00356226" w:rsidRPr="00356226" w:rsidRDefault="00356226" w:rsidP="00356226">
      <w:pPr>
        <w:ind w:left="1530" w:hanging="810"/>
        <w:rPr>
          <w:rFonts w:ascii="Open Sans" w:hAnsi="Open Sans" w:cs="Open Sans"/>
          <w:sz w:val="20"/>
          <w:szCs w:val="20"/>
        </w:rPr>
      </w:pPr>
      <w:r w:rsidRPr="00356226">
        <w:rPr>
          <w:rFonts w:ascii="Open Sans" w:hAnsi="Open Sans" w:cs="Open Sans"/>
          <w:sz w:val="20"/>
          <w:szCs w:val="20"/>
        </w:rPr>
        <w:t>Underwriters sign agreement among underwriters</w:t>
      </w:r>
    </w:p>
    <w:p w14:paraId="132C4E6A" w14:textId="77777777" w:rsidR="00356226" w:rsidRPr="00356226" w:rsidRDefault="00356226" w:rsidP="00356226">
      <w:pPr>
        <w:ind w:left="1530" w:hanging="810"/>
        <w:rPr>
          <w:rFonts w:ascii="Open Sans" w:hAnsi="Open Sans" w:cs="Open Sans"/>
          <w:sz w:val="20"/>
          <w:szCs w:val="20"/>
        </w:rPr>
      </w:pPr>
      <w:r w:rsidRPr="00356226">
        <w:rPr>
          <w:rFonts w:ascii="Open Sans" w:hAnsi="Open Sans" w:cs="Open Sans"/>
          <w:sz w:val="20"/>
          <w:szCs w:val="20"/>
        </w:rPr>
        <w:t>Underwriters and registrant sign underwriting agreement (R, U)</w:t>
      </w:r>
    </w:p>
    <w:p w14:paraId="25C8F99F" w14:textId="77777777" w:rsidR="00356226" w:rsidRPr="00356226" w:rsidRDefault="00356226" w:rsidP="00356226">
      <w:pPr>
        <w:ind w:left="1530" w:hanging="810"/>
        <w:rPr>
          <w:rFonts w:ascii="Open Sans" w:hAnsi="Open Sans" w:cs="Open Sans"/>
          <w:sz w:val="20"/>
          <w:szCs w:val="20"/>
        </w:rPr>
      </w:pPr>
      <w:r w:rsidRPr="00356226">
        <w:rPr>
          <w:rFonts w:ascii="Open Sans" w:hAnsi="Open Sans" w:cs="Open Sans"/>
          <w:sz w:val="20"/>
          <w:szCs w:val="20"/>
        </w:rPr>
        <w:t>Registration Statement becomes effective</w:t>
      </w:r>
    </w:p>
    <w:p w14:paraId="2A1D1CAF" w14:textId="77777777" w:rsidR="00356226" w:rsidRPr="00356226" w:rsidRDefault="00356226" w:rsidP="00356226">
      <w:pPr>
        <w:ind w:left="1530" w:hanging="810"/>
        <w:rPr>
          <w:rFonts w:ascii="Open Sans" w:hAnsi="Open Sans" w:cs="Open Sans"/>
          <w:sz w:val="20"/>
          <w:szCs w:val="20"/>
        </w:rPr>
      </w:pPr>
      <w:r w:rsidRPr="00356226">
        <w:rPr>
          <w:rFonts w:ascii="Open Sans" w:hAnsi="Open Sans" w:cs="Open Sans"/>
          <w:sz w:val="20"/>
          <w:szCs w:val="20"/>
        </w:rPr>
        <w:t>Securities offered to public</w:t>
      </w:r>
    </w:p>
    <w:p w14:paraId="39E229D6" w14:textId="77777777" w:rsidR="00356226" w:rsidRPr="00356226" w:rsidRDefault="00356226" w:rsidP="00356226">
      <w:pPr>
        <w:ind w:left="810" w:hanging="810"/>
        <w:rPr>
          <w:rFonts w:ascii="Open Sans" w:hAnsi="Open Sans" w:cs="Open Sans"/>
          <w:sz w:val="20"/>
          <w:szCs w:val="20"/>
        </w:rPr>
      </w:pPr>
      <w:r w:rsidRPr="00356226">
        <w:rPr>
          <w:rFonts w:ascii="Open Sans" w:hAnsi="Open Sans" w:cs="Open Sans"/>
          <w:sz w:val="20"/>
          <w:szCs w:val="20"/>
        </w:rPr>
        <w:t>Day 134 - Deliver second comfort letter to company and underwriters (A)</w:t>
      </w:r>
    </w:p>
    <w:p w14:paraId="346BBC6D" w14:textId="77777777" w:rsidR="00356226" w:rsidRPr="00356226" w:rsidRDefault="00356226" w:rsidP="00356226">
      <w:pPr>
        <w:ind w:left="1530" w:hanging="810"/>
        <w:rPr>
          <w:rFonts w:ascii="Open Sans" w:hAnsi="Open Sans" w:cs="Open Sans"/>
          <w:sz w:val="20"/>
          <w:szCs w:val="20"/>
        </w:rPr>
      </w:pPr>
      <w:r w:rsidRPr="00356226">
        <w:rPr>
          <w:rFonts w:ascii="Open Sans" w:hAnsi="Open Sans" w:cs="Open Sans"/>
          <w:sz w:val="20"/>
          <w:szCs w:val="20"/>
        </w:rPr>
        <w:t>Conduct closing meeting (R, RC, U, UC)</w:t>
      </w:r>
    </w:p>
    <w:p w14:paraId="43E4F527" w14:textId="21BA3A7A" w:rsidR="00356226" w:rsidRDefault="00356226">
      <w:pPr>
        <w:spacing w:line="240" w:lineRule="auto"/>
        <w:rPr>
          <w:rFonts w:asciiTheme="majorHAnsi" w:eastAsiaTheme="majorEastAsia" w:hAnsiTheme="majorHAnsi" w:cstheme="majorBidi"/>
          <w:b/>
          <w:bCs/>
          <w:smallCaps/>
          <w:color w:val="33006F"/>
          <w:sz w:val="28"/>
          <w:szCs w:val="28"/>
        </w:rPr>
      </w:pPr>
    </w:p>
    <w:p w14:paraId="2A06CACB" w14:textId="77777777" w:rsidR="005803BE" w:rsidRDefault="005803BE">
      <w:pPr>
        <w:spacing w:line="240" w:lineRule="auto"/>
        <w:rPr>
          <w:rFonts w:ascii="Times" w:eastAsia="Times New Roman" w:hAnsi="Times" w:cs="Times New Roman"/>
          <w:b/>
          <w:bCs/>
          <w:sz w:val="20"/>
          <w:szCs w:val="20"/>
        </w:rPr>
      </w:pPr>
      <w:r>
        <w:rPr>
          <w:rFonts w:ascii="Times" w:eastAsia="Times New Roman" w:hAnsi="Times" w:cs="Times New Roman"/>
          <w:b/>
          <w:bCs/>
          <w:sz w:val="20"/>
          <w:szCs w:val="20"/>
        </w:rPr>
        <w:br w:type="page"/>
      </w:r>
    </w:p>
    <w:p w14:paraId="6B9927C1" w14:textId="635AB60C" w:rsidR="005803BE" w:rsidRPr="006F5EB4" w:rsidRDefault="005803BE" w:rsidP="005803BE">
      <w:pPr>
        <w:rPr>
          <w:rFonts w:ascii="Open Sans" w:eastAsiaTheme="majorEastAsia" w:hAnsi="Open Sans" w:cs="Open Sans"/>
          <w:b/>
          <w:bCs/>
          <w:smallCaps/>
          <w:color w:val="33006F"/>
          <w:szCs w:val="28"/>
        </w:rPr>
      </w:pPr>
      <w:r w:rsidRPr="006F5EB4">
        <w:rPr>
          <w:rFonts w:ascii="Open Sans" w:eastAsiaTheme="majorEastAsia" w:hAnsi="Open Sans" w:cs="Open Sans"/>
          <w:b/>
          <w:bCs/>
          <w:smallCaps/>
          <w:color w:val="33006F"/>
          <w:szCs w:val="28"/>
        </w:rPr>
        <w:lastRenderedPageBreak/>
        <w:t>The following additional materials relate to Groupon’s IPO filings and first 10-K filing as a public company.</w:t>
      </w:r>
    </w:p>
    <w:p w14:paraId="0F72B608" w14:textId="2F00C1E0" w:rsidR="006F5EB4" w:rsidRPr="006F5EB4" w:rsidRDefault="006F5EB4" w:rsidP="005803BE">
      <w:pPr>
        <w:spacing w:before="120" w:after="120" w:line="240" w:lineRule="auto"/>
        <w:jc w:val="both"/>
        <w:rPr>
          <w:rFonts w:ascii="Open Sans" w:eastAsia="Times New Roman" w:hAnsi="Open Sans" w:cs="Open Sans"/>
          <w:b/>
          <w:bCs/>
          <w:iCs/>
          <w:sz w:val="20"/>
          <w:szCs w:val="20"/>
        </w:rPr>
      </w:pPr>
      <w:r w:rsidRPr="006F5EB4">
        <w:rPr>
          <w:rFonts w:ascii="Open Sans" w:eastAsia="Times New Roman" w:hAnsi="Open Sans" w:cs="Open Sans"/>
          <w:b/>
          <w:bCs/>
          <w:iCs/>
          <w:sz w:val="20"/>
          <w:szCs w:val="20"/>
        </w:rPr>
        <w:t>Reconciliation</w:t>
      </w:r>
      <w:r>
        <w:rPr>
          <w:rFonts w:ascii="Open Sans" w:eastAsia="Times New Roman" w:hAnsi="Open Sans" w:cs="Open Sans"/>
          <w:b/>
          <w:bCs/>
          <w:iCs/>
          <w:sz w:val="20"/>
          <w:szCs w:val="20"/>
        </w:rPr>
        <w:t xml:space="preserve"> of Adjusted CSOI (a Non-GAAP measure) to GAAP</w:t>
      </w:r>
    </w:p>
    <w:p w14:paraId="0DBFFF86" w14:textId="59C25639" w:rsidR="005803BE" w:rsidRPr="0077502F" w:rsidRDefault="005803BE" w:rsidP="005803BE">
      <w:pPr>
        <w:spacing w:before="120" w:after="120" w:line="240" w:lineRule="auto"/>
        <w:jc w:val="both"/>
        <w:rPr>
          <w:rFonts w:ascii="Times" w:eastAsia="Times New Roman" w:hAnsi="Times" w:cs="Times New Roman"/>
          <w:sz w:val="24"/>
          <w:szCs w:val="24"/>
        </w:rPr>
      </w:pPr>
      <w:r w:rsidRPr="0077502F">
        <w:rPr>
          <w:rFonts w:ascii="Times" w:eastAsia="Times New Roman" w:hAnsi="Times" w:cs="Times New Roman"/>
          <w:b/>
          <w:bCs/>
          <w:i/>
          <w:iCs/>
          <w:sz w:val="20"/>
          <w:szCs w:val="20"/>
        </w:rPr>
        <w:t xml:space="preserve">Adjusted CSOI </w:t>
      </w:r>
      <w:r w:rsidRPr="0077502F">
        <w:rPr>
          <w:rFonts w:ascii="Times" w:eastAsia="Times New Roman" w:hAnsi="Times" w:cs="Times New Roman"/>
          <w:sz w:val="20"/>
          <w:szCs w:val="20"/>
        </w:rPr>
        <w:t xml:space="preserve">The following is a reconciliation of Adjusted CSOI to the most comparable GAAP measure, "(Loss) income from operations," for the years ended December 31, 2008, 2009 and 2010 and the first quarter of 2010 and 2011: </w:t>
      </w:r>
    </w:p>
    <w:tbl>
      <w:tblPr>
        <w:tblW w:w="5000" w:type="pct"/>
        <w:jc w:val="center"/>
        <w:tblCellSpacing w:w="0" w:type="dxa"/>
        <w:tblCellMar>
          <w:left w:w="0" w:type="dxa"/>
          <w:right w:w="0" w:type="dxa"/>
        </w:tblCellMar>
        <w:tblLook w:val="04A0" w:firstRow="1" w:lastRow="0" w:firstColumn="1" w:lastColumn="0" w:noHBand="0" w:noVBand="1"/>
      </w:tblPr>
      <w:tblGrid>
        <w:gridCol w:w="8"/>
        <w:gridCol w:w="2238"/>
        <w:gridCol w:w="734"/>
        <w:gridCol w:w="734"/>
        <w:gridCol w:w="6"/>
        <w:gridCol w:w="346"/>
        <w:gridCol w:w="269"/>
        <w:gridCol w:w="248"/>
        <w:gridCol w:w="277"/>
        <w:gridCol w:w="523"/>
        <w:gridCol w:w="259"/>
        <w:gridCol w:w="259"/>
        <w:gridCol w:w="312"/>
        <w:gridCol w:w="588"/>
        <w:gridCol w:w="359"/>
        <w:gridCol w:w="359"/>
        <w:gridCol w:w="67"/>
        <w:gridCol w:w="136"/>
        <w:gridCol w:w="743"/>
        <w:gridCol w:w="8"/>
        <w:gridCol w:w="8"/>
        <w:gridCol w:w="135"/>
        <w:gridCol w:w="965"/>
        <w:gridCol w:w="67"/>
      </w:tblGrid>
      <w:tr w:rsidR="005803BE" w:rsidRPr="0077502F" w14:paraId="4A46F617" w14:textId="77777777" w:rsidTr="005803BE">
        <w:trPr>
          <w:tblCellSpacing w:w="0" w:type="dxa"/>
          <w:jc w:val="center"/>
        </w:trPr>
        <w:tc>
          <w:tcPr>
            <w:tcW w:w="0" w:type="auto"/>
            <w:gridSpan w:val="4"/>
            <w:vAlign w:val="bottom"/>
            <w:hideMark/>
          </w:tcPr>
          <w:p w14:paraId="19BA66E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1F09D69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11"/>
            <w:tcBorders>
              <w:top w:val="nil"/>
              <w:left w:val="nil"/>
              <w:bottom w:val="single" w:sz="8" w:space="0" w:color="000000"/>
              <w:right w:val="nil"/>
            </w:tcBorders>
            <w:vAlign w:val="bottom"/>
            <w:hideMark/>
          </w:tcPr>
          <w:p w14:paraId="5779A383"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Year Ended December 31, </w:t>
            </w:r>
          </w:p>
        </w:tc>
        <w:tc>
          <w:tcPr>
            <w:tcW w:w="0" w:type="auto"/>
            <w:vAlign w:val="bottom"/>
            <w:hideMark/>
          </w:tcPr>
          <w:p w14:paraId="7082B7D2"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6"/>
            <w:tcBorders>
              <w:top w:val="nil"/>
              <w:left w:val="nil"/>
              <w:bottom w:val="single" w:sz="8" w:space="0" w:color="000000"/>
              <w:right w:val="nil"/>
            </w:tcBorders>
            <w:vAlign w:val="bottom"/>
            <w:hideMark/>
          </w:tcPr>
          <w:p w14:paraId="61D2EE52"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Three Months Ended March 31, </w:t>
            </w:r>
          </w:p>
        </w:tc>
        <w:tc>
          <w:tcPr>
            <w:tcW w:w="0" w:type="auto"/>
            <w:vAlign w:val="bottom"/>
            <w:hideMark/>
          </w:tcPr>
          <w:p w14:paraId="740DA384" w14:textId="77777777" w:rsidR="005803BE" w:rsidRPr="0077502F" w:rsidRDefault="005803BE" w:rsidP="005803BE">
            <w:pPr>
              <w:spacing w:line="240" w:lineRule="auto"/>
              <w:rPr>
                <w:rFonts w:ascii="Times" w:eastAsia="Times New Roman" w:hAnsi="Times" w:cs="Times New Roman"/>
                <w:b/>
                <w:bCs/>
                <w:sz w:val="24"/>
                <w:szCs w:val="24"/>
              </w:rPr>
            </w:pPr>
          </w:p>
        </w:tc>
      </w:tr>
      <w:tr w:rsidR="005803BE" w:rsidRPr="0077502F" w14:paraId="75C395F3" w14:textId="77777777" w:rsidTr="005803BE">
        <w:trPr>
          <w:tblCellSpacing w:w="0" w:type="dxa"/>
          <w:jc w:val="center"/>
        </w:trPr>
        <w:tc>
          <w:tcPr>
            <w:tcW w:w="0" w:type="auto"/>
            <w:gridSpan w:val="4"/>
            <w:vAlign w:val="bottom"/>
            <w:hideMark/>
          </w:tcPr>
          <w:p w14:paraId="1F5BA301"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19891E41"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3C5A62A1"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2008 </w:t>
            </w:r>
          </w:p>
        </w:tc>
        <w:tc>
          <w:tcPr>
            <w:tcW w:w="0" w:type="auto"/>
            <w:vAlign w:val="bottom"/>
            <w:hideMark/>
          </w:tcPr>
          <w:p w14:paraId="72868B1C"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3"/>
            <w:tcBorders>
              <w:top w:val="nil"/>
              <w:left w:val="nil"/>
              <w:bottom w:val="single" w:sz="8" w:space="0" w:color="000000"/>
              <w:right w:val="nil"/>
            </w:tcBorders>
            <w:vAlign w:val="bottom"/>
            <w:hideMark/>
          </w:tcPr>
          <w:p w14:paraId="2E939C19"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2009 </w:t>
            </w:r>
          </w:p>
        </w:tc>
        <w:tc>
          <w:tcPr>
            <w:tcW w:w="0" w:type="auto"/>
            <w:vAlign w:val="bottom"/>
            <w:hideMark/>
          </w:tcPr>
          <w:p w14:paraId="6FD82659"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3"/>
            <w:tcBorders>
              <w:top w:val="nil"/>
              <w:left w:val="nil"/>
              <w:bottom w:val="single" w:sz="8" w:space="0" w:color="000000"/>
              <w:right w:val="nil"/>
            </w:tcBorders>
            <w:vAlign w:val="bottom"/>
            <w:hideMark/>
          </w:tcPr>
          <w:p w14:paraId="5244182C"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2010 </w:t>
            </w:r>
          </w:p>
        </w:tc>
        <w:tc>
          <w:tcPr>
            <w:tcW w:w="0" w:type="auto"/>
            <w:vAlign w:val="bottom"/>
            <w:hideMark/>
          </w:tcPr>
          <w:p w14:paraId="196022EF"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2"/>
            <w:tcBorders>
              <w:top w:val="nil"/>
              <w:left w:val="nil"/>
              <w:bottom w:val="single" w:sz="8" w:space="0" w:color="000000"/>
              <w:right w:val="nil"/>
            </w:tcBorders>
            <w:vAlign w:val="bottom"/>
            <w:hideMark/>
          </w:tcPr>
          <w:p w14:paraId="1828E13A"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2010 </w:t>
            </w:r>
          </w:p>
        </w:tc>
        <w:tc>
          <w:tcPr>
            <w:tcW w:w="0" w:type="auto"/>
            <w:gridSpan w:val="2"/>
            <w:vAlign w:val="bottom"/>
            <w:hideMark/>
          </w:tcPr>
          <w:p w14:paraId="73551C99"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2"/>
            <w:tcBorders>
              <w:top w:val="nil"/>
              <w:left w:val="nil"/>
              <w:bottom w:val="single" w:sz="8" w:space="0" w:color="000000"/>
              <w:right w:val="nil"/>
            </w:tcBorders>
            <w:vAlign w:val="bottom"/>
            <w:hideMark/>
          </w:tcPr>
          <w:p w14:paraId="23371212"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2011 </w:t>
            </w:r>
          </w:p>
        </w:tc>
        <w:tc>
          <w:tcPr>
            <w:tcW w:w="0" w:type="auto"/>
            <w:vAlign w:val="bottom"/>
            <w:hideMark/>
          </w:tcPr>
          <w:p w14:paraId="12BCF304" w14:textId="77777777" w:rsidR="005803BE" w:rsidRPr="0077502F" w:rsidRDefault="005803BE" w:rsidP="005803BE">
            <w:pPr>
              <w:spacing w:line="240" w:lineRule="auto"/>
              <w:rPr>
                <w:rFonts w:ascii="Times" w:eastAsia="Times New Roman" w:hAnsi="Times" w:cs="Times New Roman"/>
                <w:b/>
                <w:bCs/>
                <w:sz w:val="24"/>
                <w:szCs w:val="24"/>
              </w:rPr>
            </w:pPr>
          </w:p>
        </w:tc>
      </w:tr>
      <w:tr w:rsidR="005803BE" w:rsidRPr="0077502F" w14:paraId="122E78E9" w14:textId="77777777" w:rsidTr="005803BE">
        <w:trPr>
          <w:tblCellSpacing w:w="0" w:type="dxa"/>
          <w:jc w:val="center"/>
        </w:trPr>
        <w:tc>
          <w:tcPr>
            <w:tcW w:w="0" w:type="auto"/>
            <w:gridSpan w:val="4"/>
            <w:vAlign w:val="bottom"/>
            <w:hideMark/>
          </w:tcPr>
          <w:p w14:paraId="6B5C7FA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569993DD"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18"/>
            <w:vAlign w:val="bottom"/>
            <w:hideMark/>
          </w:tcPr>
          <w:p w14:paraId="5CCA64AB"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(in thousands)</w:t>
            </w:r>
          </w:p>
        </w:tc>
        <w:tc>
          <w:tcPr>
            <w:tcW w:w="0" w:type="auto"/>
            <w:vAlign w:val="bottom"/>
            <w:hideMark/>
          </w:tcPr>
          <w:p w14:paraId="5B84D6BA" w14:textId="77777777" w:rsidR="005803BE" w:rsidRPr="0077502F" w:rsidRDefault="005803BE" w:rsidP="005803BE">
            <w:pPr>
              <w:spacing w:line="240" w:lineRule="auto"/>
              <w:rPr>
                <w:rFonts w:ascii="Times" w:eastAsia="Times New Roman" w:hAnsi="Times" w:cs="Times New Roman"/>
                <w:b/>
                <w:bCs/>
                <w:sz w:val="24"/>
                <w:szCs w:val="24"/>
              </w:rPr>
            </w:pPr>
          </w:p>
        </w:tc>
      </w:tr>
      <w:tr w:rsidR="005803BE" w:rsidRPr="0077502F" w14:paraId="3BF3E283" w14:textId="77777777" w:rsidTr="005803BE">
        <w:trPr>
          <w:tblCellSpacing w:w="0" w:type="dxa"/>
          <w:jc w:val="center"/>
        </w:trPr>
        <w:tc>
          <w:tcPr>
            <w:tcW w:w="0" w:type="auto"/>
            <w:gridSpan w:val="4"/>
            <w:shd w:val="clear" w:color="auto" w:fill="CCEEFF"/>
            <w:vAlign w:val="bottom"/>
            <w:hideMark/>
          </w:tcPr>
          <w:p w14:paraId="1BE1463B"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(Loss) income from operations</w:t>
            </w:r>
          </w:p>
        </w:tc>
        <w:tc>
          <w:tcPr>
            <w:tcW w:w="0" w:type="auto"/>
            <w:shd w:val="clear" w:color="auto" w:fill="CCEEFF"/>
            <w:vAlign w:val="bottom"/>
            <w:hideMark/>
          </w:tcPr>
          <w:p w14:paraId="2C501921"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17E0DCB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287FDDCD"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(1,632</w:t>
            </w:r>
          </w:p>
        </w:tc>
        <w:tc>
          <w:tcPr>
            <w:tcW w:w="0" w:type="auto"/>
            <w:shd w:val="clear" w:color="auto" w:fill="CCEEFF"/>
            <w:vAlign w:val="bottom"/>
            <w:hideMark/>
          </w:tcPr>
          <w:p w14:paraId="4C6CD757"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068E0498"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1152E27C"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(1,077</w:t>
            </w:r>
          </w:p>
        </w:tc>
        <w:tc>
          <w:tcPr>
            <w:tcW w:w="0" w:type="auto"/>
            <w:shd w:val="clear" w:color="auto" w:fill="CCEEFF"/>
            <w:vAlign w:val="bottom"/>
            <w:hideMark/>
          </w:tcPr>
          <w:p w14:paraId="33C7696B"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0423F475"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7265E40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(420,344</w:t>
            </w:r>
          </w:p>
        </w:tc>
        <w:tc>
          <w:tcPr>
            <w:tcW w:w="0" w:type="auto"/>
            <w:shd w:val="clear" w:color="auto" w:fill="CCEEFF"/>
            <w:vAlign w:val="bottom"/>
            <w:hideMark/>
          </w:tcPr>
          <w:p w14:paraId="49E9AADF"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244D0E0C"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3B209E74"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8,571</w:t>
            </w:r>
          </w:p>
        </w:tc>
        <w:tc>
          <w:tcPr>
            <w:tcW w:w="0" w:type="auto"/>
            <w:gridSpan w:val="2"/>
            <w:shd w:val="clear" w:color="auto" w:fill="CCEEFF"/>
            <w:vAlign w:val="bottom"/>
            <w:hideMark/>
          </w:tcPr>
          <w:p w14:paraId="6D6B958A"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5354C153"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75896018"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(117,148</w:t>
            </w:r>
          </w:p>
        </w:tc>
        <w:tc>
          <w:tcPr>
            <w:tcW w:w="0" w:type="auto"/>
            <w:shd w:val="clear" w:color="auto" w:fill="CCEEFF"/>
            <w:vAlign w:val="bottom"/>
            <w:hideMark/>
          </w:tcPr>
          <w:p w14:paraId="32387BD8"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r>
      <w:tr w:rsidR="005803BE" w:rsidRPr="0077502F" w14:paraId="496F059D" w14:textId="77777777" w:rsidTr="005803BE">
        <w:trPr>
          <w:tblCellSpacing w:w="0" w:type="dxa"/>
          <w:jc w:val="center"/>
        </w:trPr>
        <w:tc>
          <w:tcPr>
            <w:tcW w:w="0" w:type="auto"/>
            <w:shd w:val="clear" w:color="auto" w:fill="FFFFFF"/>
            <w:hideMark/>
          </w:tcPr>
          <w:p w14:paraId="16459BA7" w14:textId="77777777" w:rsidR="005803BE" w:rsidRPr="0077502F" w:rsidRDefault="005803BE" w:rsidP="005803BE">
            <w:pPr>
              <w:spacing w:line="240" w:lineRule="auto"/>
              <w:rPr>
                <w:rFonts w:ascii="Times" w:eastAsia="Times New Roman" w:hAnsi="Times" w:cs="Times New Roman"/>
                <w:sz w:val="24"/>
                <w:szCs w:val="24"/>
              </w:rPr>
            </w:pPr>
          </w:p>
        </w:tc>
        <w:tc>
          <w:tcPr>
            <w:tcW w:w="0" w:type="auto"/>
            <w:gridSpan w:val="3"/>
            <w:shd w:val="clear" w:color="auto" w:fill="FFFFFF"/>
            <w:vAlign w:val="bottom"/>
            <w:hideMark/>
          </w:tcPr>
          <w:p w14:paraId="077103E7"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b/>
                <w:bCs/>
                <w:sz w:val="20"/>
                <w:szCs w:val="20"/>
              </w:rPr>
              <w:t>Adjustments:</w:t>
            </w:r>
          </w:p>
        </w:tc>
        <w:tc>
          <w:tcPr>
            <w:tcW w:w="0" w:type="auto"/>
            <w:shd w:val="clear" w:color="auto" w:fill="FFFFFF"/>
            <w:vAlign w:val="bottom"/>
            <w:hideMark/>
          </w:tcPr>
          <w:p w14:paraId="15AF6B2B"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05AF179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2928632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0D6FC51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13E84CD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51D7720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513F0FD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7B4EE6D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1CFADA7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5E9BD39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1B10D87E"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704E19A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7F3C4C7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474DDDF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11497F9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4BB06712"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58FD34B4" w14:textId="77777777" w:rsidTr="005803BE">
        <w:trPr>
          <w:tblCellSpacing w:w="0" w:type="dxa"/>
          <w:jc w:val="center"/>
        </w:trPr>
        <w:tc>
          <w:tcPr>
            <w:tcW w:w="0" w:type="auto"/>
            <w:shd w:val="clear" w:color="auto" w:fill="CCEEFF"/>
            <w:hideMark/>
          </w:tcPr>
          <w:p w14:paraId="43373D5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CCEEFF"/>
            <w:vAlign w:val="bottom"/>
            <w:hideMark/>
          </w:tcPr>
          <w:p w14:paraId="3938FC43"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Online marketing</w:t>
            </w:r>
          </w:p>
        </w:tc>
        <w:tc>
          <w:tcPr>
            <w:tcW w:w="0" w:type="auto"/>
            <w:shd w:val="clear" w:color="auto" w:fill="CCEEFF"/>
            <w:vAlign w:val="bottom"/>
            <w:hideMark/>
          </w:tcPr>
          <w:p w14:paraId="5A325F05"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597423F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5795DE07"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162</w:t>
            </w:r>
          </w:p>
        </w:tc>
        <w:tc>
          <w:tcPr>
            <w:tcW w:w="0" w:type="auto"/>
            <w:shd w:val="clear" w:color="auto" w:fill="CCEEFF"/>
            <w:vAlign w:val="bottom"/>
            <w:hideMark/>
          </w:tcPr>
          <w:p w14:paraId="2B739E11"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0D83BEC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1239BE05"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4,446</w:t>
            </w:r>
          </w:p>
        </w:tc>
        <w:tc>
          <w:tcPr>
            <w:tcW w:w="0" w:type="auto"/>
            <w:shd w:val="clear" w:color="auto" w:fill="CCEEFF"/>
            <w:vAlign w:val="bottom"/>
            <w:hideMark/>
          </w:tcPr>
          <w:p w14:paraId="4C3B795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0ABE3C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7D4E91A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241,546</w:t>
            </w:r>
          </w:p>
        </w:tc>
        <w:tc>
          <w:tcPr>
            <w:tcW w:w="0" w:type="auto"/>
            <w:shd w:val="clear" w:color="auto" w:fill="CCEEFF"/>
            <w:vAlign w:val="bottom"/>
            <w:hideMark/>
          </w:tcPr>
          <w:p w14:paraId="4A368244"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830596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61E17637"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3,904</w:t>
            </w:r>
          </w:p>
        </w:tc>
        <w:tc>
          <w:tcPr>
            <w:tcW w:w="0" w:type="auto"/>
            <w:gridSpan w:val="2"/>
            <w:shd w:val="clear" w:color="auto" w:fill="CCEEFF"/>
            <w:vAlign w:val="bottom"/>
            <w:hideMark/>
          </w:tcPr>
          <w:p w14:paraId="2180FA9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6C1B42A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6CDA11C2"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179,903</w:t>
            </w:r>
          </w:p>
        </w:tc>
        <w:tc>
          <w:tcPr>
            <w:tcW w:w="0" w:type="auto"/>
            <w:shd w:val="clear" w:color="auto" w:fill="CCEEFF"/>
            <w:vAlign w:val="bottom"/>
            <w:hideMark/>
          </w:tcPr>
          <w:p w14:paraId="04E825C2"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442F7801" w14:textId="77777777" w:rsidTr="005803BE">
        <w:trPr>
          <w:tblCellSpacing w:w="0" w:type="dxa"/>
          <w:jc w:val="center"/>
        </w:trPr>
        <w:tc>
          <w:tcPr>
            <w:tcW w:w="0" w:type="auto"/>
            <w:shd w:val="clear" w:color="auto" w:fill="FFFFFF"/>
            <w:hideMark/>
          </w:tcPr>
          <w:p w14:paraId="04DBC43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FFFFFF"/>
            <w:vAlign w:val="bottom"/>
            <w:hideMark/>
          </w:tcPr>
          <w:p w14:paraId="7E026DBB"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Stock-based compensation</w:t>
            </w:r>
          </w:p>
        </w:tc>
        <w:tc>
          <w:tcPr>
            <w:tcW w:w="0" w:type="auto"/>
            <w:shd w:val="clear" w:color="auto" w:fill="FFFFFF"/>
            <w:vAlign w:val="bottom"/>
            <w:hideMark/>
          </w:tcPr>
          <w:p w14:paraId="3E388849"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19D11AF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0604ED72"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24</w:t>
            </w:r>
          </w:p>
        </w:tc>
        <w:tc>
          <w:tcPr>
            <w:tcW w:w="0" w:type="auto"/>
            <w:shd w:val="clear" w:color="auto" w:fill="FFFFFF"/>
            <w:vAlign w:val="bottom"/>
            <w:hideMark/>
          </w:tcPr>
          <w:p w14:paraId="0615F53A"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136D582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64DAF4A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115</w:t>
            </w:r>
          </w:p>
        </w:tc>
        <w:tc>
          <w:tcPr>
            <w:tcW w:w="0" w:type="auto"/>
            <w:shd w:val="clear" w:color="auto" w:fill="FFFFFF"/>
            <w:vAlign w:val="bottom"/>
            <w:hideMark/>
          </w:tcPr>
          <w:p w14:paraId="3EE9995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22AD830B"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7588F2F1"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36,168</w:t>
            </w:r>
          </w:p>
        </w:tc>
        <w:tc>
          <w:tcPr>
            <w:tcW w:w="0" w:type="auto"/>
            <w:shd w:val="clear" w:color="auto" w:fill="FFFFFF"/>
            <w:vAlign w:val="bottom"/>
            <w:hideMark/>
          </w:tcPr>
          <w:p w14:paraId="21DCFF5D"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363D575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6A4CAC8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116</w:t>
            </w:r>
          </w:p>
        </w:tc>
        <w:tc>
          <w:tcPr>
            <w:tcW w:w="0" w:type="auto"/>
            <w:gridSpan w:val="2"/>
            <w:shd w:val="clear" w:color="auto" w:fill="FFFFFF"/>
            <w:vAlign w:val="bottom"/>
            <w:hideMark/>
          </w:tcPr>
          <w:p w14:paraId="1A837D8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4174612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28BF7088"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18,864</w:t>
            </w:r>
          </w:p>
        </w:tc>
        <w:tc>
          <w:tcPr>
            <w:tcW w:w="0" w:type="auto"/>
            <w:shd w:val="clear" w:color="auto" w:fill="FFFFFF"/>
            <w:vAlign w:val="bottom"/>
            <w:hideMark/>
          </w:tcPr>
          <w:p w14:paraId="534CCBB3"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6A09A327" w14:textId="77777777" w:rsidTr="005803BE">
        <w:trPr>
          <w:tblCellSpacing w:w="0" w:type="dxa"/>
          <w:jc w:val="center"/>
        </w:trPr>
        <w:tc>
          <w:tcPr>
            <w:tcW w:w="0" w:type="auto"/>
            <w:shd w:val="clear" w:color="auto" w:fill="CCEEFF"/>
            <w:hideMark/>
          </w:tcPr>
          <w:p w14:paraId="6C1BA05E"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CCEEFF"/>
            <w:vAlign w:val="bottom"/>
            <w:hideMark/>
          </w:tcPr>
          <w:p w14:paraId="7AE42676"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Acquisition-related</w:t>
            </w:r>
          </w:p>
        </w:tc>
        <w:tc>
          <w:tcPr>
            <w:tcW w:w="0" w:type="auto"/>
            <w:shd w:val="clear" w:color="auto" w:fill="CCEEFF"/>
            <w:vAlign w:val="bottom"/>
            <w:hideMark/>
          </w:tcPr>
          <w:p w14:paraId="1DA487DD"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4BFCDAA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3E5D7A22"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2323440B"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1AF61DB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6EDF7090"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0CEE3828"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9ED031E"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049D4C4D"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203,183</w:t>
            </w:r>
          </w:p>
        </w:tc>
        <w:tc>
          <w:tcPr>
            <w:tcW w:w="0" w:type="auto"/>
            <w:shd w:val="clear" w:color="auto" w:fill="CCEEFF"/>
            <w:vAlign w:val="bottom"/>
            <w:hideMark/>
          </w:tcPr>
          <w:p w14:paraId="2184D481"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7FD92AFB"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4952E262"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0BC3A58B"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6BB2741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381CE289"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472B7A8F"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3E4693AE" w14:textId="77777777" w:rsidTr="005803BE">
        <w:trPr>
          <w:tblCellSpacing w:w="0" w:type="dxa"/>
          <w:jc w:val="center"/>
        </w:trPr>
        <w:tc>
          <w:tcPr>
            <w:tcW w:w="0" w:type="auto"/>
            <w:gridSpan w:val="4"/>
            <w:vAlign w:val="bottom"/>
            <w:hideMark/>
          </w:tcPr>
          <w:p w14:paraId="0EC4FBE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360022C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3E4435E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59D44BB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406A5851"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4ACB004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68D6905D"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0A6D213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single" w:sz="8" w:space="0" w:color="000000"/>
              <w:right w:val="nil"/>
            </w:tcBorders>
            <w:vAlign w:val="bottom"/>
            <w:hideMark/>
          </w:tcPr>
          <w:p w14:paraId="179F33BD"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vAlign w:val="bottom"/>
            <w:hideMark/>
          </w:tcPr>
          <w:p w14:paraId="5190927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single" w:sz="8" w:space="0" w:color="000000"/>
              <w:right w:val="nil"/>
            </w:tcBorders>
            <w:vAlign w:val="bottom"/>
            <w:hideMark/>
          </w:tcPr>
          <w:p w14:paraId="324F603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2A2A9298"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32F04FE0" w14:textId="77777777" w:rsidTr="005803BE">
        <w:trPr>
          <w:tblCellSpacing w:w="0" w:type="dxa"/>
          <w:jc w:val="center"/>
        </w:trPr>
        <w:tc>
          <w:tcPr>
            <w:tcW w:w="0" w:type="auto"/>
            <w:shd w:val="clear" w:color="auto" w:fill="FFFFFF"/>
            <w:hideMark/>
          </w:tcPr>
          <w:p w14:paraId="349C587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hideMark/>
          </w:tcPr>
          <w:p w14:paraId="6CFAE0C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6F8D8BA1"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b/>
                <w:bCs/>
                <w:sz w:val="20"/>
                <w:szCs w:val="20"/>
              </w:rPr>
              <w:t>Total adjustments</w:t>
            </w:r>
          </w:p>
        </w:tc>
        <w:tc>
          <w:tcPr>
            <w:tcW w:w="0" w:type="auto"/>
            <w:shd w:val="clear" w:color="auto" w:fill="FFFFFF"/>
            <w:vAlign w:val="bottom"/>
            <w:hideMark/>
          </w:tcPr>
          <w:p w14:paraId="243283D2"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40F7CB2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7D399C63"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186</w:t>
            </w:r>
          </w:p>
        </w:tc>
        <w:tc>
          <w:tcPr>
            <w:tcW w:w="0" w:type="auto"/>
            <w:shd w:val="clear" w:color="auto" w:fill="FFFFFF"/>
            <w:vAlign w:val="bottom"/>
            <w:hideMark/>
          </w:tcPr>
          <w:p w14:paraId="26318085"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541C403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5AD845E9"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4,561</w:t>
            </w:r>
          </w:p>
        </w:tc>
        <w:tc>
          <w:tcPr>
            <w:tcW w:w="0" w:type="auto"/>
            <w:shd w:val="clear" w:color="auto" w:fill="FFFFFF"/>
            <w:vAlign w:val="bottom"/>
            <w:hideMark/>
          </w:tcPr>
          <w:p w14:paraId="35FEE3DF"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0E78AEE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46DA223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480,897</w:t>
            </w:r>
          </w:p>
        </w:tc>
        <w:tc>
          <w:tcPr>
            <w:tcW w:w="0" w:type="auto"/>
            <w:shd w:val="clear" w:color="auto" w:fill="FFFFFF"/>
            <w:vAlign w:val="bottom"/>
            <w:hideMark/>
          </w:tcPr>
          <w:p w14:paraId="39606DF4"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436703C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6208D6D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4,020</w:t>
            </w:r>
          </w:p>
        </w:tc>
        <w:tc>
          <w:tcPr>
            <w:tcW w:w="0" w:type="auto"/>
            <w:gridSpan w:val="2"/>
            <w:shd w:val="clear" w:color="auto" w:fill="FFFFFF"/>
            <w:vAlign w:val="bottom"/>
            <w:hideMark/>
          </w:tcPr>
          <w:p w14:paraId="0826BF04"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517AA5D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69380097"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198,767</w:t>
            </w:r>
          </w:p>
        </w:tc>
        <w:tc>
          <w:tcPr>
            <w:tcW w:w="0" w:type="auto"/>
            <w:shd w:val="clear" w:color="auto" w:fill="FFFFFF"/>
            <w:vAlign w:val="bottom"/>
            <w:hideMark/>
          </w:tcPr>
          <w:p w14:paraId="247B8D81"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0C150287" w14:textId="77777777" w:rsidTr="005803BE">
        <w:trPr>
          <w:tblCellSpacing w:w="0" w:type="dxa"/>
          <w:jc w:val="center"/>
        </w:trPr>
        <w:tc>
          <w:tcPr>
            <w:tcW w:w="0" w:type="auto"/>
            <w:gridSpan w:val="4"/>
            <w:vAlign w:val="bottom"/>
            <w:hideMark/>
          </w:tcPr>
          <w:p w14:paraId="48351F3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38FA53F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767441A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6506DD4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53650A7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664F979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1676D78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6836B91E"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single" w:sz="8" w:space="0" w:color="000000"/>
              <w:right w:val="nil"/>
            </w:tcBorders>
            <w:vAlign w:val="bottom"/>
            <w:hideMark/>
          </w:tcPr>
          <w:p w14:paraId="1668AFC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vAlign w:val="bottom"/>
            <w:hideMark/>
          </w:tcPr>
          <w:p w14:paraId="492B629E"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single" w:sz="8" w:space="0" w:color="000000"/>
              <w:right w:val="nil"/>
            </w:tcBorders>
            <w:vAlign w:val="bottom"/>
            <w:hideMark/>
          </w:tcPr>
          <w:p w14:paraId="207329A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7D10E458"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3183E585" w14:textId="77777777" w:rsidTr="005803BE">
        <w:trPr>
          <w:tblCellSpacing w:w="0" w:type="dxa"/>
          <w:jc w:val="center"/>
        </w:trPr>
        <w:tc>
          <w:tcPr>
            <w:tcW w:w="0" w:type="auto"/>
            <w:gridSpan w:val="4"/>
            <w:shd w:val="clear" w:color="auto" w:fill="CCEEFF"/>
            <w:vAlign w:val="bottom"/>
            <w:hideMark/>
          </w:tcPr>
          <w:p w14:paraId="1D0EA094"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Adjusted CSOI</w:t>
            </w:r>
          </w:p>
        </w:tc>
        <w:tc>
          <w:tcPr>
            <w:tcW w:w="0" w:type="auto"/>
            <w:shd w:val="clear" w:color="auto" w:fill="CCEEFF"/>
            <w:vAlign w:val="bottom"/>
            <w:hideMark/>
          </w:tcPr>
          <w:p w14:paraId="553315B2"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3D435E4"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1F2438B5"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(1,446</w:t>
            </w:r>
          </w:p>
        </w:tc>
        <w:tc>
          <w:tcPr>
            <w:tcW w:w="0" w:type="auto"/>
            <w:shd w:val="clear" w:color="auto" w:fill="CCEEFF"/>
            <w:vAlign w:val="bottom"/>
            <w:hideMark/>
          </w:tcPr>
          <w:p w14:paraId="4BA0392A"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5CBDF00D"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7DAEFCDC"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3,484</w:t>
            </w:r>
          </w:p>
        </w:tc>
        <w:tc>
          <w:tcPr>
            <w:tcW w:w="0" w:type="auto"/>
            <w:shd w:val="clear" w:color="auto" w:fill="CCEEFF"/>
            <w:vAlign w:val="bottom"/>
            <w:hideMark/>
          </w:tcPr>
          <w:p w14:paraId="3D277178"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D38D1A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77CFAAF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60,553</w:t>
            </w:r>
          </w:p>
        </w:tc>
        <w:tc>
          <w:tcPr>
            <w:tcW w:w="0" w:type="auto"/>
            <w:shd w:val="clear" w:color="auto" w:fill="CCEEFF"/>
            <w:vAlign w:val="bottom"/>
            <w:hideMark/>
          </w:tcPr>
          <w:p w14:paraId="74DEA184"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1BE7326D"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0F86419D"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12,591</w:t>
            </w:r>
          </w:p>
        </w:tc>
        <w:tc>
          <w:tcPr>
            <w:tcW w:w="0" w:type="auto"/>
            <w:gridSpan w:val="2"/>
            <w:shd w:val="clear" w:color="auto" w:fill="CCEEFF"/>
            <w:vAlign w:val="bottom"/>
            <w:hideMark/>
          </w:tcPr>
          <w:p w14:paraId="2C8FD87D"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570EC95"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7830DA4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81,619</w:t>
            </w:r>
          </w:p>
        </w:tc>
        <w:tc>
          <w:tcPr>
            <w:tcW w:w="0" w:type="auto"/>
            <w:shd w:val="clear" w:color="auto" w:fill="CCEEFF"/>
            <w:vAlign w:val="bottom"/>
            <w:hideMark/>
          </w:tcPr>
          <w:p w14:paraId="0533DBCC"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672848D6" w14:textId="77777777" w:rsidTr="005803BE">
        <w:trPr>
          <w:tblCellSpacing w:w="0" w:type="dxa"/>
          <w:jc w:val="center"/>
        </w:trPr>
        <w:tc>
          <w:tcPr>
            <w:tcW w:w="0" w:type="auto"/>
            <w:gridSpan w:val="4"/>
            <w:vAlign w:val="bottom"/>
            <w:hideMark/>
          </w:tcPr>
          <w:p w14:paraId="2C08F2F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6E5CAFE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double" w:sz="6" w:space="0" w:color="000000"/>
              <w:right w:val="nil"/>
            </w:tcBorders>
            <w:vAlign w:val="bottom"/>
            <w:hideMark/>
          </w:tcPr>
          <w:p w14:paraId="74D6605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5F3B58B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double" w:sz="6" w:space="0" w:color="000000"/>
              <w:right w:val="nil"/>
            </w:tcBorders>
            <w:vAlign w:val="bottom"/>
            <w:hideMark/>
          </w:tcPr>
          <w:p w14:paraId="02C6BC8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1D3C017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double" w:sz="6" w:space="0" w:color="000000"/>
              <w:right w:val="nil"/>
            </w:tcBorders>
            <w:vAlign w:val="bottom"/>
            <w:hideMark/>
          </w:tcPr>
          <w:p w14:paraId="22109AA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7208FB0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double" w:sz="6" w:space="0" w:color="000000"/>
              <w:right w:val="nil"/>
            </w:tcBorders>
            <w:vAlign w:val="bottom"/>
            <w:hideMark/>
          </w:tcPr>
          <w:p w14:paraId="5D928AD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vAlign w:val="bottom"/>
            <w:hideMark/>
          </w:tcPr>
          <w:p w14:paraId="59E5318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double" w:sz="6" w:space="0" w:color="000000"/>
              <w:right w:val="nil"/>
            </w:tcBorders>
            <w:vAlign w:val="bottom"/>
            <w:hideMark/>
          </w:tcPr>
          <w:p w14:paraId="48AAA0B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54E4C361"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756E56D3" w14:textId="77777777" w:rsidTr="005803BE">
        <w:trPr>
          <w:trHeight w:val="432"/>
          <w:tblCellSpacing w:w="0" w:type="dxa"/>
          <w:jc w:val="center"/>
        </w:trPr>
        <w:tc>
          <w:tcPr>
            <w:tcW w:w="0" w:type="auto"/>
            <w:gridSpan w:val="4"/>
            <w:shd w:val="clear" w:color="auto" w:fill="FFFFFF"/>
            <w:vAlign w:val="bottom"/>
          </w:tcPr>
          <w:p w14:paraId="0F7F2977"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b/>
                <w:bCs/>
                <w:sz w:val="20"/>
                <w:szCs w:val="20"/>
              </w:rPr>
              <w:t>Adjusted Segment Operating Income:</w:t>
            </w:r>
          </w:p>
        </w:tc>
        <w:tc>
          <w:tcPr>
            <w:tcW w:w="0" w:type="auto"/>
            <w:shd w:val="clear" w:color="auto" w:fill="FFFFFF"/>
            <w:vAlign w:val="bottom"/>
            <w:hideMark/>
          </w:tcPr>
          <w:p w14:paraId="1C66670A"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1F8BB5F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4DCF80B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2C89E61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414CD2A1"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3B392EE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1BC9012D"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093EEA1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4DA7974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316247B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2267278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6A64484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2435844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3420E31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6CB421B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557E9D88"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0D96FBF8" w14:textId="77777777" w:rsidTr="005803BE">
        <w:trPr>
          <w:tblCellSpacing w:w="0" w:type="dxa"/>
          <w:jc w:val="center"/>
        </w:trPr>
        <w:tc>
          <w:tcPr>
            <w:tcW w:w="0" w:type="auto"/>
            <w:gridSpan w:val="4"/>
            <w:shd w:val="clear" w:color="auto" w:fill="CCEEFF"/>
            <w:vAlign w:val="bottom"/>
            <w:hideMark/>
          </w:tcPr>
          <w:p w14:paraId="2505D67D"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North America</w:t>
            </w:r>
          </w:p>
        </w:tc>
        <w:tc>
          <w:tcPr>
            <w:tcW w:w="0" w:type="auto"/>
            <w:shd w:val="clear" w:color="auto" w:fill="CCEEFF"/>
            <w:vAlign w:val="bottom"/>
            <w:hideMark/>
          </w:tcPr>
          <w:p w14:paraId="6C023A5F"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C863ADC"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348CD693"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(1,446</w:t>
            </w:r>
          </w:p>
        </w:tc>
        <w:tc>
          <w:tcPr>
            <w:tcW w:w="0" w:type="auto"/>
            <w:shd w:val="clear" w:color="auto" w:fill="CCEEFF"/>
            <w:vAlign w:val="bottom"/>
            <w:hideMark/>
          </w:tcPr>
          <w:p w14:paraId="1A109847"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09AE8B3A"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081FE2BA"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3,484</w:t>
            </w:r>
          </w:p>
        </w:tc>
        <w:tc>
          <w:tcPr>
            <w:tcW w:w="0" w:type="auto"/>
            <w:shd w:val="clear" w:color="auto" w:fill="CCEEFF"/>
            <w:vAlign w:val="bottom"/>
            <w:hideMark/>
          </w:tcPr>
          <w:p w14:paraId="4A49A4F4"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064A0501"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60AE9B1A"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88,036</w:t>
            </w:r>
          </w:p>
        </w:tc>
        <w:tc>
          <w:tcPr>
            <w:tcW w:w="0" w:type="auto"/>
            <w:shd w:val="clear" w:color="auto" w:fill="CCEEFF"/>
            <w:vAlign w:val="bottom"/>
            <w:hideMark/>
          </w:tcPr>
          <w:p w14:paraId="258126F0"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66BF8DA4"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5DA9BF38"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12,591</w:t>
            </w:r>
          </w:p>
        </w:tc>
        <w:tc>
          <w:tcPr>
            <w:tcW w:w="0" w:type="auto"/>
            <w:gridSpan w:val="2"/>
            <w:shd w:val="clear" w:color="auto" w:fill="CCEEFF"/>
            <w:vAlign w:val="bottom"/>
            <w:hideMark/>
          </w:tcPr>
          <w:p w14:paraId="54199DBC"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75C51FB1"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265DC6CF"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38,610</w:t>
            </w:r>
          </w:p>
        </w:tc>
        <w:tc>
          <w:tcPr>
            <w:tcW w:w="0" w:type="auto"/>
            <w:shd w:val="clear" w:color="auto" w:fill="CCEEFF"/>
            <w:vAlign w:val="bottom"/>
            <w:hideMark/>
          </w:tcPr>
          <w:p w14:paraId="76A0B043"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69251137" w14:textId="77777777" w:rsidTr="005803BE">
        <w:trPr>
          <w:tblCellSpacing w:w="0" w:type="dxa"/>
          <w:jc w:val="center"/>
        </w:trPr>
        <w:tc>
          <w:tcPr>
            <w:tcW w:w="0" w:type="auto"/>
            <w:gridSpan w:val="4"/>
            <w:shd w:val="clear" w:color="auto" w:fill="FFFFFF"/>
            <w:vAlign w:val="bottom"/>
            <w:hideMark/>
          </w:tcPr>
          <w:p w14:paraId="744D15DC"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International</w:t>
            </w:r>
          </w:p>
        </w:tc>
        <w:tc>
          <w:tcPr>
            <w:tcW w:w="0" w:type="auto"/>
            <w:shd w:val="clear" w:color="auto" w:fill="FFFFFF"/>
            <w:vAlign w:val="bottom"/>
            <w:hideMark/>
          </w:tcPr>
          <w:p w14:paraId="4C4C7EAD"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2DA4801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1AD32357"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FFFFFF"/>
            <w:vAlign w:val="bottom"/>
            <w:hideMark/>
          </w:tcPr>
          <w:p w14:paraId="30FF756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5348D8F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2CB8A465"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FFFFFF"/>
            <w:vAlign w:val="bottom"/>
            <w:hideMark/>
          </w:tcPr>
          <w:p w14:paraId="42878BA9"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6505AB7B"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25908CC4"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(27,483</w:t>
            </w:r>
          </w:p>
        </w:tc>
        <w:tc>
          <w:tcPr>
            <w:tcW w:w="0" w:type="auto"/>
            <w:shd w:val="clear" w:color="auto" w:fill="FFFFFF"/>
            <w:vAlign w:val="bottom"/>
            <w:hideMark/>
          </w:tcPr>
          <w:p w14:paraId="3574F114"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FFFFFF"/>
            <w:vAlign w:val="bottom"/>
            <w:hideMark/>
          </w:tcPr>
          <w:p w14:paraId="625156B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6579A5F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FFFFFF"/>
            <w:vAlign w:val="bottom"/>
            <w:hideMark/>
          </w:tcPr>
          <w:p w14:paraId="06E1DB7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21AE1890"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FFFFFF"/>
            <w:vAlign w:val="bottom"/>
            <w:hideMark/>
          </w:tcPr>
          <w:p w14:paraId="2EF11119"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43,009</w:t>
            </w:r>
          </w:p>
        </w:tc>
        <w:tc>
          <w:tcPr>
            <w:tcW w:w="0" w:type="auto"/>
            <w:shd w:val="clear" w:color="auto" w:fill="FFFFFF"/>
            <w:vAlign w:val="bottom"/>
            <w:hideMark/>
          </w:tcPr>
          <w:p w14:paraId="7129BC2D"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1ED15A17" w14:textId="77777777" w:rsidTr="005803BE">
        <w:trPr>
          <w:tblCellSpacing w:w="0" w:type="dxa"/>
          <w:jc w:val="center"/>
        </w:trPr>
        <w:tc>
          <w:tcPr>
            <w:tcW w:w="0" w:type="auto"/>
            <w:gridSpan w:val="4"/>
            <w:vAlign w:val="bottom"/>
            <w:hideMark/>
          </w:tcPr>
          <w:p w14:paraId="4E12696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3361BED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47E37A6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7CDB86A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0CC9883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2A7B6DD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5C318BF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73D4ACF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single" w:sz="8" w:space="0" w:color="000000"/>
              <w:right w:val="nil"/>
            </w:tcBorders>
            <w:vAlign w:val="bottom"/>
            <w:hideMark/>
          </w:tcPr>
          <w:p w14:paraId="40FD9A0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vAlign w:val="bottom"/>
            <w:hideMark/>
          </w:tcPr>
          <w:p w14:paraId="5C0B3E9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single" w:sz="8" w:space="0" w:color="000000"/>
              <w:right w:val="nil"/>
            </w:tcBorders>
            <w:vAlign w:val="bottom"/>
            <w:hideMark/>
          </w:tcPr>
          <w:p w14:paraId="366CC8E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0662FEB0"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02182C7A" w14:textId="77777777" w:rsidTr="005803BE">
        <w:trPr>
          <w:tblCellSpacing w:w="0" w:type="dxa"/>
          <w:jc w:val="center"/>
        </w:trPr>
        <w:tc>
          <w:tcPr>
            <w:tcW w:w="0" w:type="auto"/>
            <w:gridSpan w:val="4"/>
            <w:shd w:val="clear" w:color="auto" w:fill="CCEEFF"/>
            <w:vAlign w:val="bottom"/>
            <w:hideMark/>
          </w:tcPr>
          <w:p w14:paraId="6079E804"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Adjusted CSOI</w:t>
            </w:r>
          </w:p>
        </w:tc>
        <w:tc>
          <w:tcPr>
            <w:tcW w:w="0" w:type="auto"/>
            <w:shd w:val="clear" w:color="auto" w:fill="CCEEFF"/>
            <w:vAlign w:val="bottom"/>
            <w:hideMark/>
          </w:tcPr>
          <w:p w14:paraId="3FC6BC1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462B9C7F"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121F8690"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(1,446</w:t>
            </w:r>
          </w:p>
        </w:tc>
        <w:tc>
          <w:tcPr>
            <w:tcW w:w="0" w:type="auto"/>
            <w:shd w:val="clear" w:color="auto" w:fill="CCEEFF"/>
            <w:vAlign w:val="bottom"/>
            <w:hideMark/>
          </w:tcPr>
          <w:p w14:paraId="5E79EE4B"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06B7A4F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4E414D69"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3,484</w:t>
            </w:r>
          </w:p>
        </w:tc>
        <w:tc>
          <w:tcPr>
            <w:tcW w:w="0" w:type="auto"/>
            <w:shd w:val="clear" w:color="auto" w:fill="CCEEFF"/>
            <w:vAlign w:val="bottom"/>
            <w:hideMark/>
          </w:tcPr>
          <w:p w14:paraId="3A438445"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4B361DB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gridSpan w:val="2"/>
            <w:shd w:val="clear" w:color="auto" w:fill="CCEEFF"/>
            <w:vAlign w:val="bottom"/>
            <w:hideMark/>
          </w:tcPr>
          <w:p w14:paraId="761EB65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60,553</w:t>
            </w:r>
          </w:p>
        </w:tc>
        <w:tc>
          <w:tcPr>
            <w:tcW w:w="0" w:type="auto"/>
            <w:shd w:val="clear" w:color="auto" w:fill="CCEEFF"/>
            <w:vAlign w:val="bottom"/>
            <w:hideMark/>
          </w:tcPr>
          <w:p w14:paraId="13471988"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9AB20B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2513E48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12,591</w:t>
            </w:r>
          </w:p>
        </w:tc>
        <w:tc>
          <w:tcPr>
            <w:tcW w:w="0" w:type="auto"/>
            <w:gridSpan w:val="2"/>
            <w:shd w:val="clear" w:color="auto" w:fill="CCEEFF"/>
            <w:vAlign w:val="bottom"/>
            <w:hideMark/>
          </w:tcPr>
          <w:p w14:paraId="0733D2A9"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6A256446"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3784CB30"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81,619</w:t>
            </w:r>
          </w:p>
        </w:tc>
        <w:tc>
          <w:tcPr>
            <w:tcW w:w="0" w:type="auto"/>
            <w:shd w:val="clear" w:color="auto" w:fill="CCEEFF"/>
            <w:vAlign w:val="bottom"/>
            <w:hideMark/>
          </w:tcPr>
          <w:p w14:paraId="7C73D0A4"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1EAB8629" w14:textId="77777777" w:rsidTr="005803BE">
        <w:trPr>
          <w:trHeight w:val="90"/>
          <w:tblCellSpacing w:w="0" w:type="dxa"/>
          <w:jc w:val="center"/>
        </w:trPr>
        <w:tc>
          <w:tcPr>
            <w:tcW w:w="0" w:type="auto"/>
            <w:gridSpan w:val="4"/>
            <w:vAlign w:val="bottom"/>
            <w:hideMark/>
          </w:tcPr>
          <w:p w14:paraId="746EF26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5F56281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double" w:sz="6" w:space="0" w:color="000000"/>
              <w:right w:val="nil"/>
            </w:tcBorders>
            <w:vAlign w:val="bottom"/>
            <w:hideMark/>
          </w:tcPr>
          <w:p w14:paraId="074D070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31123C2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double" w:sz="6" w:space="0" w:color="000000"/>
              <w:right w:val="nil"/>
            </w:tcBorders>
            <w:vAlign w:val="bottom"/>
            <w:hideMark/>
          </w:tcPr>
          <w:p w14:paraId="239A8401"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79C6DA0D"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double" w:sz="6" w:space="0" w:color="000000"/>
              <w:right w:val="nil"/>
            </w:tcBorders>
            <w:vAlign w:val="bottom"/>
            <w:hideMark/>
          </w:tcPr>
          <w:p w14:paraId="5CA80DB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362251F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double" w:sz="6" w:space="0" w:color="000000"/>
              <w:right w:val="nil"/>
            </w:tcBorders>
            <w:vAlign w:val="bottom"/>
            <w:hideMark/>
          </w:tcPr>
          <w:p w14:paraId="5DAE29B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vAlign w:val="bottom"/>
            <w:hideMark/>
          </w:tcPr>
          <w:p w14:paraId="7D83674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tcBorders>
              <w:top w:val="nil"/>
              <w:left w:val="nil"/>
              <w:bottom w:val="double" w:sz="6" w:space="0" w:color="000000"/>
              <w:right w:val="nil"/>
            </w:tcBorders>
            <w:vAlign w:val="bottom"/>
            <w:hideMark/>
          </w:tcPr>
          <w:p w14:paraId="351D530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410602F0"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64BB262E" w14:textId="77777777" w:rsidTr="005803BE">
        <w:trPr>
          <w:tblCellSpacing w:w="0" w:type="dxa"/>
          <w:jc w:val="center"/>
        </w:trPr>
        <w:tc>
          <w:tcPr>
            <w:tcW w:w="0" w:type="auto"/>
            <w:gridSpan w:val="2"/>
            <w:vAlign w:val="bottom"/>
            <w:hideMark/>
          </w:tcPr>
          <w:p w14:paraId="3546859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6D80FD7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11"/>
            <w:tcBorders>
              <w:top w:val="nil"/>
              <w:left w:val="nil"/>
              <w:bottom w:val="single" w:sz="8" w:space="0" w:color="000000"/>
              <w:right w:val="nil"/>
            </w:tcBorders>
            <w:vAlign w:val="bottom"/>
            <w:hideMark/>
          </w:tcPr>
          <w:p w14:paraId="08890D90"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Year Ended December 31, </w:t>
            </w:r>
          </w:p>
        </w:tc>
        <w:tc>
          <w:tcPr>
            <w:tcW w:w="0" w:type="auto"/>
            <w:vAlign w:val="bottom"/>
            <w:hideMark/>
          </w:tcPr>
          <w:p w14:paraId="0CD9F182"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8"/>
            <w:tcBorders>
              <w:top w:val="nil"/>
              <w:left w:val="nil"/>
              <w:bottom w:val="single" w:sz="8" w:space="0" w:color="000000"/>
              <w:right w:val="nil"/>
            </w:tcBorders>
            <w:vAlign w:val="bottom"/>
            <w:hideMark/>
          </w:tcPr>
          <w:p w14:paraId="2012B170"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Three Months Ended</w:t>
            </w:r>
            <w:r w:rsidRPr="0077502F">
              <w:rPr>
                <w:rFonts w:ascii="Times" w:eastAsia="Times New Roman" w:hAnsi="Times" w:cs="Times New Roman"/>
                <w:b/>
                <w:bCs/>
                <w:sz w:val="15"/>
                <w:szCs w:val="15"/>
              </w:rPr>
              <w:br/>
              <w:t xml:space="preserve">March 31, </w:t>
            </w:r>
          </w:p>
        </w:tc>
        <w:tc>
          <w:tcPr>
            <w:tcW w:w="0" w:type="auto"/>
            <w:vAlign w:val="bottom"/>
            <w:hideMark/>
          </w:tcPr>
          <w:p w14:paraId="082DEBC9" w14:textId="77777777" w:rsidR="005803BE" w:rsidRPr="0077502F" w:rsidRDefault="005803BE" w:rsidP="005803BE">
            <w:pPr>
              <w:spacing w:line="240" w:lineRule="auto"/>
              <w:rPr>
                <w:rFonts w:ascii="Times" w:eastAsia="Times New Roman" w:hAnsi="Times" w:cs="Times New Roman"/>
                <w:b/>
                <w:bCs/>
                <w:sz w:val="24"/>
                <w:szCs w:val="24"/>
              </w:rPr>
            </w:pPr>
          </w:p>
        </w:tc>
      </w:tr>
      <w:tr w:rsidR="005803BE" w:rsidRPr="0077502F" w14:paraId="380E9BE6" w14:textId="77777777" w:rsidTr="005803BE">
        <w:trPr>
          <w:tblCellSpacing w:w="0" w:type="dxa"/>
          <w:jc w:val="center"/>
        </w:trPr>
        <w:tc>
          <w:tcPr>
            <w:tcW w:w="0" w:type="auto"/>
            <w:gridSpan w:val="2"/>
            <w:vAlign w:val="bottom"/>
            <w:hideMark/>
          </w:tcPr>
          <w:p w14:paraId="7AB49A5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vAlign w:val="bottom"/>
            <w:hideMark/>
          </w:tcPr>
          <w:p w14:paraId="7D91B71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tcBorders>
              <w:top w:val="nil"/>
              <w:left w:val="nil"/>
              <w:bottom w:val="single" w:sz="8" w:space="0" w:color="000000"/>
              <w:right w:val="nil"/>
            </w:tcBorders>
            <w:vAlign w:val="bottom"/>
            <w:hideMark/>
          </w:tcPr>
          <w:p w14:paraId="5A2A1C9D"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2008 </w:t>
            </w:r>
          </w:p>
        </w:tc>
        <w:tc>
          <w:tcPr>
            <w:tcW w:w="0" w:type="auto"/>
            <w:vAlign w:val="bottom"/>
            <w:hideMark/>
          </w:tcPr>
          <w:p w14:paraId="1C98877B"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3"/>
            <w:tcBorders>
              <w:top w:val="nil"/>
              <w:left w:val="nil"/>
              <w:bottom w:val="single" w:sz="8" w:space="0" w:color="000000"/>
              <w:right w:val="nil"/>
            </w:tcBorders>
            <w:vAlign w:val="bottom"/>
            <w:hideMark/>
          </w:tcPr>
          <w:p w14:paraId="2292485C"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2009 </w:t>
            </w:r>
          </w:p>
        </w:tc>
        <w:tc>
          <w:tcPr>
            <w:tcW w:w="0" w:type="auto"/>
            <w:vAlign w:val="bottom"/>
            <w:hideMark/>
          </w:tcPr>
          <w:p w14:paraId="60EEC09F"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3"/>
            <w:tcBorders>
              <w:top w:val="nil"/>
              <w:left w:val="nil"/>
              <w:bottom w:val="single" w:sz="8" w:space="0" w:color="000000"/>
              <w:right w:val="nil"/>
            </w:tcBorders>
            <w:vAlign w:val="bottom"/>
            <w:hideMark/>
          </w:tcPr>
          <w:p w14:paraId="42606D60"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2010 </w:t>
            </w:r>
          </w:p>
        </w:tc>
        <w:tc>
          <w:tcPr>
            <w:tcW w:w="0" w:type="auto"/>
            <w:vAlign w:val="bottom"/>
            <w:hideMark/>
          </w:tcPr>
          <w:p w14:paraId="0850DF02"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4"/>
            <w:tcBorders>
              <w:top w:val="nil"/>
              <w:left w:val="nil"/>
              <w:bottom w:val="single" w:sz="8" w:space="0" w:color="000000"/>
              <w:right w:val="nil"/>
            </w:tcBorders>
            <w:vAlign w:val="bottom"/>
            <w:hideMark/>
          </w:tcPr>
          <w:p w14:paraId="21880F1E"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2010 </w:t>
            </w:r>
          </w:p>
        </w:tc>
        <w:tc>
          <w:tcPr>
            <w:tcW w:w="0" w:type="auto"/>
            <w:vAlign w:val="bottom"/>
            <w:hideMark/>
          </w:tcPr>
          <w:p w14:paraId="7BB8BEFF" w14:textId="77777777" w:rsidR="005803BE" w:rsidRPr="0077502F" w:rsidRDefault="005803BE" w:rsidP="005803BE">
            <w:pPr>
              <w:spacing w:line="240" w:lineRule="auto"/>
              <w:rPr>
                <w:rFonts w:ascii="Times" w:eastAsia="Times New Roman" w:hAnsi="Times" w:cs="Times New Roman"/>
                <w:b/>
                <w:bCs/>
                <w:sz w:val="24"/>
                <w:szCs w:val="24"/>
              </w:rPr>
            </w:pPr>
          </w:p>
        </w:tc>
        <w:tc>
          <w:tcPr>
            <w:tcW w:w="0" w:type="auto"/>
            <w:gridSpan w:val="3"/>
            <w:tcBorders>
              <w:top w:val="nil"/>
              <w:left w:val="nil"/>
              <w:bottom w:val="single" w:sz="8" w:space="0" w:color="000000"/>
              <w:right w:val="nil"/>
            </w:tcBorders>
            <w:vAlign w:val="bottom"/>
            <w:hideMark/>
          </w:tcPr>
          <w:p w14:paraId="79843950" w14:textId="77777777" w:rsidR="005803BE" w:rsidRPr="0077502F" w:rsidRDefault="005803BE" w:rsidP="005803BE">
            <w:pPr>
              <w:spacing w:line="240" w:lineRule="auto"/>
              <w:jc w:val="center"/>
              <w:rPr>
                <w:rFonts w:ascii="Times" w:eastAsia="Times New Roman" w:hAnsi="Times" w:cs="Times New Roman"/>
                <w:b/>
                <w:bCs/>
                <w:sz w:val="24"/>
                <w:szCs w:val="24"/>
              </w:rPr>
            </w:pPr>
            <w:r w:rsidRPr="0077502F">
              <w:rPr>
                <w:rFonts w:ascii="Times" w:eastAsia="Times New Roman" w:hAnsi="Times" w:cs="Times New Roman"/>
                <w:b/>
                <w:bCs/>
                <w:sz w:val="15"/>
                <w:szCs w:val="15"/>
              </w:rPr>
              <w:t xml:space="preserve">2011 </w:t>
            </w:r>
          </w:p>
        </w:tc>
        <w:tc>
          <w:tcPr>
            <w:tcW w:w="0" w:type="auto"/>
            <w:vAlign w:val="bottom"/>
            <w:hideMark/>
          </w:tcPr>
          <w:p w14:paraId="6097BBDB" w14:textId="77777777" w:rsidR="005803BE" w:rsidRPr="0077502F" w:rsidRDefault="005803BE" w:rsidP="005803BE">
            <w:pPr>
              <w:spacing w:line="240" w:lineRule="auto"/>
              <w:rPr>
                <w:rFonts w:ascii="Times" w:eastAsia="Times New Roman" w:hAnsi="Times" w:cs="Times New Roman"/>
                <w:b/>
                <w:bCs/>
                <w:sz w:val="24"/>
                <w:szCs w:val="24"/>
              </w:rPr>
            </w:pPr>
          </w:p>
        </w:tc>
      </w:tr>
      <w:tr w:rsidR="005803BE" w:rsidRPr="0077502F" w14:paraId="65CADD93" w14:textId="77777777" w:rsidTr="005803BE">
        <w:trPr>
          <w:tblCellSpacing w:w="0" w:type="dxa"/>
          <w:jc w:val="center"/>
        </w:trPr>
        <w:tc>
          <w:tcPr>
            <w:tcW w:w="0" w:type="auto"/>
            <w:gridSpan w:val="2"/>
            <w:shd w:val="clear" w:color="auto" w:fill="CCEEFF"/>
            <w:vAlign w:val="bottom"/>
            <w:hideMark/>
          </w:tcPr>
          <w:p w14:paraId="237F8A24"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b/>
                <w:bCs/>
                <w:sz w:val="20"/>
                <w:szCs w:val="20"/>
              </w:rPr>
              <w:t>Key Operating Metrics:</w:t>
            </w:r>
          </w:p>
        </w:tc>
        <w:tc>
          <w:tcPr>
            <w:tcW w:w="0" w:type="auto"/>
            <w:shd w:val="clear" w:color="auto" w:fill="CCEEFF"/>
            <w:vAlign w:val="bottom"/>
            <w:hideMark/>
          </w:tcPr>
          <w:p w14:paraId="6EE35AC5"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31E33A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58B0395A"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7B95078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1F4FFF4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5B01D44F"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703AC26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1940ABE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610EB51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0C4567AE"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5DA7468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CCEEFF"/>
            <w:vAlign w:val="bottom"/>
            <w:hideMark/>
          </w:tcPr>
          <w:p w14:paraId="75491AA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10907DAB"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1231CC7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1B7E6FD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5C9546D2" w14:textId="77777777" w:rsidR="005803BE" w:rsidRPr="0077502F" w:rsidRDefault="005803BE" w:rsidP="005803BE">
            <w:pPr>
              <w:spacing w:line="240" w:lineRule="auto"/>
              <w:rPr>
                <w:rFonts w:ascii="Times New Roman" w:eastAsia="Times New Roman" w:hAnsi="Times New Roman" w:cs="Times New Roman"/>
                <w:sz w:val="20"/>
                <w:szCs w:val="20"/>
              </w:rPr>
            </w:pPr>
          </w:p>
        </w:tc>
      </w:tr>
      <w:tr w:rsidR="005803BE" w:rsidRPr="0077502F" w14:paraId="445463BB" w14:textId="77777777" w:rsidTr="005803BE">
        <w:trPr>
          <w:tblCellSpacing w:w="0" w:type="dxa"/>
          <w:jc w:val="center"/>
        </w:trPr>
        <w:tc>
          <w:tcPr>
            <w:tcW w:w="0" w:type="auto"/>
            <w:shd w:val="clear" w:color="auto" w:fill="FFFFFF"/>
            <w:hideMark/>
          </w:tcPr>
          <w:p w14:paraId="32A330D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399552D1"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Subscribers</w:t>
            </w:r>
            <w:r w:rsidRPr="0077502F">
              <w:rPr>
                <w:rFonts w:ascii="Times" w:eastAsia="Times New Roman" w:hAnsi="Times" w:cs="Times New Roman"/>
                <w:sz w:val="20"/>
                <w:szCs w:val="20"/>
                <w:vertAlign w:val="superscript"/>
              </w:rPr>
              <w:t>(1)</w:t>
            </w:r>
          </w:p>
        </w:tc>
        <w:tc>
          <w:tcPr>
            <w:tcW w:w="0" w:type="auto"/>
            <w:shd w:val="clear" w:color="auto" w:fill="FFFFFF"/>
            <w:vAlign w:val="bottom"/>
            <w:hideMark/>
          </w:tcPr>
          <w:p w14:paraId="3096E3EF"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27B310A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1B92C5CA" w14:textId="77777777" w:rsidR="005803BE" w:rsidRPr="0077502F" w:rsidRDefault="005803BE" w:rsidP="005803BE">
            <w:pPr>
              <w:spacing w:line="240" w:lineRule="auto"/>
              <w:jc w:val="center"/>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FFFFFF"/>
            <w:vAlign w:val="bottom"/>
            <w:hideMark/>
          </w:tcPr>
          <w:p w14:paraId="68BA982B"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596C95E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35BF37BA"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1,807,278</w:t>
            </w:r>
          </w:p>
        </w:tc>
        <w:tc>
          <w:tcPr>
            <w:tcW w:w="0" w:type="auto"/>
            <w:shd w:val="clear" w:color="auto" w:fill="FFFFFF"/>
            <w:vAlign w:val="bottom"/>
            <w:hideMark/>
          </w:tcPr>
          <w:p w14:paraId="03C9A3A1"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69970EC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631F10C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50,583,805</w:t>
            </w:r>
          </w:p>
        </w:tc>
        <w:tc>
          <w:tcPr>
            <w:tcW w:w="0" w:type="auto"/>
            <w:shd w:val="clear" w:color="auto" w:fill="FFFFFF"/>
            <w:vAlign w:val="bottom"/>
            <w:hideMark/>
          </w:tcPr>
          <w:p w14:paraId="39D49C3B"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2C7A64C4"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FFFFFF"/>
            <w:vAlign w:val="bottom"/>
            <w:hideMark/>
          </w:tcPr>
          <w:p w14:paraId="6E788B2B"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3,434,610</w:t>
            </w:r>
          </w:p>
        </w:tc>
        <w:tc>
          <w:tcPr>
            <w:tcW w:w="0" w:type="auto"/>
            <w:shd w:val="clear" w:color="auto" w:fill="FFFFFF"/>
            <w:vAlign w:val="bottom"/>
            <w:hideMark/>
          </w:tcPr>
          <w:p w14:paraId="217FD3E7"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3FF1125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1E589F9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83,100,006</w:t>
            </w:r>
          </w:p>
        </w:tc>
        <w:tc>
          <w:tcPr>
            <w:tcW w:w="0" w:type="auto"/>
            <w:shd w:val="clear" w:color="auto" w:fill="FFFFFF"/>
            <w:vAlign w:val="bottom"/>
            <w:hideMark/>
          </w:tcPr>
          <w:p w14:paraId="48F04358"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1BAA62CC" w14:textId="77777777" w:rsidTr="005803BE">
        <w:trPr>
          <w:tblCellSpacing w:w="0" w:type="dxa"/>
          <w:jc w:val="center"/>
        </w:trPr>
        <w:tc>
          <w:tcPr>
            <w:tcW w:w="0" w:type="auto"/>
            <w:shd w:val="clear" w:color="auto" w:fill="CCEEFF"/>
            <w:hideMark/>
          </w:tcPr>
          <w:p w14:paraId="7482D1D3"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59B88423"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Cumulative customers</w:t>
            </w:r>
            <w:r w:rsidRPr="0077502F">
              <w:rPr>
                <w:rFonts w:ascii="Times" w:eastAsia="Times New Roman" w:hAnsi="Times" w:cs="Times New Roman"/>
                <w:sz w:val="20"/>
                <w:szCs w:val="20"/>
                <w:vertAlign w:val="superscript"/>
              </w:rPr>
              <w:t>(2)</w:t>
            </w:r>
          </w:p>
        </w:tc>
        <w:tc>
          <w:tcPr>
            <w:tcW w:w="0" w:type="auto"/>
            <w:shd w:val="clear" w:color="auto" w:fill="CCEEFF"/>
            <w:vAlign w:val="bottom"/>
            <w:hideMark/>
          </w:tcPr>
          <w:p w14:paraId="16B20F8E"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480B701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79D7C9FD" w14:textId="77777777" w:rsidR="005803BE" w:rsidRPr="0077502F" w:rsidRDefault="005803BE" w:rsidP="005803BE">
            <w:pPr>
              <w:spacing w:line="240" w:lineRule="auto"/>
              <w:jc w:val="center"/>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666CF27B"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7C9F5762"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07E850BA"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375,099</w:t>
            </w:r>
          </w:p>
        </w:tc>
        <w:tc>
          <w:tcPr>
            <w:tcW w:w="0" w:type="auto"/>
            <w:shd w:val="clear" w:color="auto" w:fill="CCEEFF"/>
            <w:vAlign w:val="bottom"/>
            <w:hideMark/>
          </w:tcPr>
          <w:p w14:paraId="766DA870"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67E3CBB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290B3593"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9,031,807</w:t>
            </w:r>
          </w:p>
        </w:tc>
        <w:tc>
          <w:tcPr>
            <w:tcW w:w="0" w:type="auto"/>
            <w:shd w:val="clear" w:color="auto" w:fill="CCEEFF"/>
            <w:vAlign w:val="bottom"/>
            <w:hideMark/>
          </w:tcPr>
          <w:p w14:paraId="2E13192D"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DB9A5D8"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CCEEFF"/>
            <w:vAlign w:val="bottom"/>
            <w:hideMark/>
          </w:tcPr>
          <w:p w14:paraId="461C28C9"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874,017</w:t>
            </w:r>
          </w:p>
        </w:tc>
        <w:tc>
          <w:tcPr>
            <w:tcW w:w="0" w:type="auto"/>
            <w:shd w:val="clear" w:color="auto" w:fill="CCEEFF"/>
            <w:vAlign w:val="bottom"/>
            <w:hideMark/>
          </w:tcPr>
          <w:p w14:paraId="41556E47"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057469A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5E0690B9"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15,803,995</w:t>
            </w:r>
          </w:p>
        </w:tc>
        <w:tc>
          <w:tcPr>
            <w:tcW w:w="0" w:type="auto"/>
            <w:shd w:val="clear" w:color="auto" w:fill="CCEEFF"/>
            <w:vAlign w:val="bottom"/>
            <w:hideMark/>
          </w:tcPr>
          <w:p w14:paraId="3CEAED9D"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4F8AF0E0" w14:textId="77777777" w:rsidTr="005803BE">
        <w:trPr>
          <w:tblCellSpacing w:w="0" w:type="dxa"/>
          <w:jc w:val="center"/>
        </w:trPr>
        <w:tc>
          <w:tcPr>
            <w:tcW w:w="0" w:type="auto"/>
            <w:shd w:val="clear" w:color="auto" w:fill="FFFFFF"/>
            <w:hideMark/>
          </w:tcPr>
          <w:p w14:paraId="729CFFE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FFFFFF"/>
            <w:vAlign w:val="bottom"/>
            <w:hideMark/>
          </w:tcPr>
          <w:p w14:paraId="0C11376E"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Featured merchants</w:t>
            </w:r>
            <w:r w:rsidRPr="0077502F">
              <w:rPr>
                <w:rFonts w:ascii="Times" w:eastAsia="Times New Roman" w:hAnsi="Times" w:cs="Times New Roman"/>
                <w:sz w:val="20"/>
                <w:szCs w:val="20"/>
                <w:vertAlign w:val="superscript"/>
              </w:rPr>
              <w:t>(3)</w:t>
            </w:r>
          </w:p>
        </w:tc>
        <w:tc>
          <w:tcPr>
            <w:tcW w:w="0" w:type="auto"/>
            <w:shd w:val="clear" w:color="auto" w:fill="FFFFFF"/>
            <w:vAlign w:val="bottom"/>
            <w:hideMark/>
          </w:tcPr>
          <w:p w14:paraId="0B881E9A"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000AB0CC"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352D3416" w14:textId="77777777" w:rsidR="005803BE" w:rsidRPr="0077502F" w:rsidRDefault="005803BE" w:rsidP="005803BE">
            <w:pPr>
              <w:spacing w:line="240" w:lineRule="auto"/>
              <w:jc w:val="center"/>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FFFFFF"/>
            <w:vAlign w:val="bottom"/>
            <w:hideMark/>
          </w:tcPr>
          <w:p w14:paraId="22340FC1"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424D257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24A35BF0"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2,695</w:t>
            </w:r>
          </w:p>
        </w:tc>
        <w:tc>
          <w:tcPr>
            <w:tcW w:w="0" w:type="auto"/>
            <w:shd w:val="clear" w:color="auto" w:fill="FFFFFF"/>
            <w:vAlign w:val="bottom"/>
            <w:hideMark/>
          </w:tcPr>
          <w:p w14:paraId="2A0ADCE2"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7DC883A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106F3DF7"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66,289</w:t>
            </w:r>
          </w:p>
        </w:tc>
        <w:tc>
          <w:tcPr>
            <w:tcW w:w="0" w:type="auto"/>
            <w:shd w:val="clear" w:color="auto" w:fill="FFFFFF"/>
            <w:vAlign w:val="bottom"/>
            <w:hideMark/>
          </w:tcPr>
          <w:p w14:paraId="16A8EB4C"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69578FC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FFFFFF"/>
            <w:vAlign w:val="bottom"/>
            <w:hideMark/>
          </w:tcPr>
          <w:p w14:paraId="5F33EF4E"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2,903</w:t>
            </w:r>
          </w:p>
        </w:tc>
        <w:tc>
          <w:tcPr>
            <w:tcW w:w="0" w:type="auto"/>
            <w:shd w:val="clear" w:color="auto" w:fill="FFFFFF"/>
            <w:vAlign w:val="bottom"/>
            <w:hideMark/>
          </w:tcPr>
          <w:p w14:paraId="667062A5"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FFFFFF"/>
            <w:vAlign w:val="bottom"/>
            <w:hideMark/>
          </w:tcPr>
          <w:p w14:paraId="00852F95"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FFFFFF"/>
            <w:vAlign w:val="bottom"/>
            <w:hideMark/>
          </w:tcPr>
          <w:p w14:paraId="107F203A"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56,781</w:t>
            </w:r>
          </w:p>
        </w:tc>
        <w:tc>
          <w:tcPr>
            <w:tcW w:w="0" w:type="auto"/>
            <w:shd w:val="clear" w:color="auto" w:fill="FFFFFF"/>
            <w:vAlign w:val="bottom"/>
            <w:hideMark/>
          </w:tcPr>
          <w:p w14:paraId="78041447" w14:textId="77777777" w:rsidR="005803BE" w:rsidRPr="0077502F" w:rsidRDefault="005803BE" w:rsidP="005803BE">
            <w:pPr>
              <w:spacing w:line="240" w:lineRule="auto"/>
              <w:rPr>
                <w:rFonts w:ascii="Times" w:eastAsia="Times New Roman" w:hAnsi="Times" w:cs="Times New Roman"/>
                <w:sz w:val="24"/>
                <w:szCs w:val="24"/>
              </w:rPr>
            </w:pPr>
          </w:p>
        </w:tc>
      </w:tr>
      <w:tr w:rsidR="005803BE" w:rsidRPr="0077502F" w14:paraId="01859927" w14:textId="77777777" w:rsidTr="005803BE">
        <w:trPr>
          <w:tblCellSpacing w:w="0" w:type="dxa"/>
          <w:jc w:val="center"/>
        </w:trPr>
        <w:tc>
          <w:tcPr>
            <w:tcW w:w="0" w:type="auto"/>
            <w:shd w:val="clear" w:color="auto" w:fill="CCEEFF"/>
            <w:hideMark/>
          </w:tcPr>
          <w:p w14:paraId="20479406"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shd w:val="clear" w:color="auto" w:fill="CCEEFF"/>
            <w:vAlign w:val="bottom"/>
            <w:hideMark/>
          </w:tcPr>
          <w:p w14:paraId="75066B11" w14:textId="77777777" w:rsidR="005803BE" w:rsidRPr="0077502F" w:rsidRDefault="005803BE" w:rsidP="005803BE">
            <w:pPr>
              <w:spacing w:before="100" w:beforeAutospacing="1" w:after="100" w:afterAutospacing="1" w:line="240" w:lineRule="auto"/>
              <w:rPr>
                <w:rFonts w:ascii="Times" w:eastAsia="Times New Roman" w:hAnsi="Times" w:cs="Times New Roman"/>
                <w:sz w:val="24"/>
                <w:szCs w:val="24"/>
              </w:rPr>
            </w:pPr>
            <w:r w:rsidRPr="0077502F">
              <w:rPr>
                <w:rFonts w:ascii="Times" w:eastAsia="Times New Roman" w:hAnsi="Times" w:cs="Times New Roman"/>
                <w:sz w:val="20"/>
                <w:szCs w:val="20"/>
              </w:rPr>
              <w:t>Groupons sold</w:t>
            </w:r>
            <w:r w:rsidRPr="0077502F">
              <w:rPr>
                <w:rFonts w:ascii="Times" w:eastAsia="Times New Roman" w:hAnsi="Times" w:cs="Times New Roman"/>
                <w:sz w:val="20"/>
                <w:szCs w:val="20"/>
                <w:vertAlign w:val="superscript"/>
              </w:rPr>
              <w:t>(4)</w:t>
            </w:r>
          </w:p>
        </w:tc>
        <w:tc>
          <w:tcPr>
            <w:tcW w:w="0" w:type="auto"/>
            <w:shd w:val="clear" w:color="auto" w:fill="CCEEFF"/>
            <w:vAlign w:val="bottom"/>
            <w:hideMark/>
          </w:tcPr>
          <w:p w14:paraId="1246508F"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2E8D2849"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784F440B" w14:textId="77777777" w:rsidR="005803BE" w:rsidRPr="0077502F" w:rsidRDefault="005803BE" w:rsidP="005803BE">
            <w:pPr>
              <w:spacing w:line="240" w:lineRule="auto"/>
              <w:jc w:val="center"/>
              <w:rPr>
                <w:rFonts w:ascii="Times" w:eastAsia="Times New Roman" w:hAnsi="Times" w:cs="Times New Roman"/>
                <w:sz w:val="24"/>
                <w:szCs w:val="24"/>
              </w:rPr>
            </w:pPr>
            <w:r w:rsidRPr="0077502F">
              <w:rPr>
                <w:rFonts w:ascii="Times" w:eastAsia="Times New Roman" w:hAnsi="Times" w:cs="Times New Roman"/>
                <w:sz w:val="20"/>
                <w:szCs w:val="20"/>
              </w:rPr>
              <w:t>*</w:t>
            </w:r>
          </w:p>
        </w:tc>
        <w:tc>
          <w:tcPr>
            <w:tcW w:w="0" w:type="auto"/>
            <w:shd w:val="clear" w:color="auto" w:fill="CCEEFF"/>
            <w:vAlign w:val="bottom"/>
            <w:hideMark/>
          </w:tcPr>
          <w:p w14:paraId="13F25DCC"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54052211"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63F8C08A"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1,248,792</w:t>
            </w:r>
          </w:p>
        </w:tc>
        <w:tc>
          <w:tcPr>
            <w:tcW w:w="0" w:type="auto"/>
            <w:shd w:val="clear" w:color="auto" w:fill="CCEEFF"/>
            <w:vAlign w:val="bottom"/>
            <w:hideMark/>
          </w:tcPr>
          <w:p w14:paraId="58FF4A38"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54CF2940"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2A6E4D19"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30,296,070</w:t>
            </w:r>
          </w:p>
        </w:tc>
        <w:tc>
          <w:tcPr>
            <w:tcW w:w="0" w:type="auto"/>
            <w:shd w:val="clear" w:color="auto" w:fill="CCEEFF"/>
            <w:vAlign w:val="bottom"/>
            <w:hideMark/>
          </w:tcPr>
          <w:p w14:paraId="6490918B"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192C7D0E"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3"/>
            <w:shd w:val="clear" w:color="auto" w:fill="CCEEFF"/>
            <w:vAlign w:val="bottom"/>
            <w:hideMark/>
          </w:tcPr>
          <w:p w14:paraId="5AC649B7"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1,760,398</w:t>
            </w:r>
          </w:p>
        </w:tc>
        <w:tc>
          <w:tcPr>
            <w:tcW w:w="0" w:type="auto"/>
            <w:shd w:val="clear" w:color="auto" w:fill="CCEEFF"/>
            <w:vAlign w:val="bottom"/>
            <w:hideMark/>
          </w:tcPr>
          <w:p w14:paraId="0406E433" w14:textId="77777777" w:rsidR="005803BE" w:rsidRPr="0077502F" w:rsidRDefault="005803BE" w:rsidP="005803BE">
            <w:pPr>
              <w:spacing w:line="240" w:lineRule="auto"/>
              <w:rPr>
                <w:rFonts w:ascii="Times" w:eastAsia="Times New Roman" w:hAnsi="Times" w:cs="Times New Roman"/>
                <w:sz w:val="24"/>
                <w:szCs w:val="24"/>
              </w:rPr>
            </w:pPr>
          </w:p>
        </w:tc>
        <w:tc>
          <w:tcPr>
            <w:tcW w:w="0" w:type="auto"/>
            <w:shd w:val="clear" w:color="auto" w:fill="CCEEFF"/>
            <w:vAlign w:val="bottom"/>
            <w:hideMark/>
          </w:tcPr>
          <w:p w14:paraId="176D2F87" w14:textId="77777777" w:rsidR="005803BE" w:rsidRPr="0077502F" w:rsidRDefault="005803BE" w:rsidP="005803BE">
            <w:pPr>
              <w:spacing w:line="240" w:lineRule="auto"/>
              <w:rPr>
                <w:rFonts w:ascii="Times New Roman" w:eastAsia="Times New Roman" w:hAnsi="Times New Roman" w:cs="Times New Roman"/>
                <w:sz w:val="20"/>
                <w:szCs w:val="20"/>
              </w:rPr>
            </w:pPr>
          </w:p>
        </w:tc>
        <w:tc>
          <w:tcPr>
            <w:tcW w:w="0" w:type="auto"/>
            <w:gridSpan w:val="2"/>
            <w:shd w:val="clear" w:color="auto" w:fill="CCEEFF"/>
            <w:vAlign w:val="bottom"/>
            <w:hideMark/>
          </w:tcPr>
          <w:p w14:paraId="52C50DF5" w14:textId="77777777" w:rsidR="005803BE" w:rsidRPr="0077502F" w:rsidRDefault="005803BE" w:rsidP="005803BE">
            <w:pPr>
              <w:spacing w:line="240" w:lineRule="auto"/>
              <w:jc w:val="right"/>
              <w:rPr>
                <w:rFonts w:ascii="Times" w:eastAsia="Times New Roman" w:hAnsi="Times" w:cs="Times New Roman"/>
                <w:sz w:val="24"/>
                <w:szCs w:val="24"/>
              </w:rPr>
            </w:pPr>
            <w:r w:rsidRPr="0077502F">
              <w:rPr>
                <w:rFonts w:ascii="Times" w:eastAsia="Times New Roman" w:hAnsi="Times" w:cs="Times New Roman"/>
                <w:sz w:val="20"/>
                <w:szCs w:val="20"/>
              </w:rPr>
              <w:t>28,094,743</w:t>
            </w:r>
          </w:p>
        </w:tc>
        <w:tc>
          <w:tcPr>
            <w:tcW w:w="0" w:type="auto"/>
            <w:shd w:val="clear" w:color="auto" w:fill="CCEEFF"/>
            <w:vAlign w:val="bottom"/>
            <w:hideMark/>
          </w:tcPr>
          <w:p w14:paraId="6CB54785" w14:textId="77777777" w:rsidR="005803BE" w:rsidRPr="0077502F" w:rsidRDefault="005803BE" w:rsidP="005803BE">
            <w:pPr>
              <w:spacing w:line="240" w:lineRule="auto"/>
              <w:rPr>
                <w:rFonts w:ascii="Times" w:eastAsia="Times New Roman" w:hAnsi="Times" w:cs="Times New Roman"/>
                <w:sz w:val="24"/>
                <w:szCs w:val="24"/>
              </w:rPr>
            </w:pPr>
          </w:p>
        </w:tc>
      </w:tr>
    </w:tbl>
    <w:p w14:paraId="7D512CEE" w14:textId="77777777" w:rsidR="005803BE" w:rsidRPr="0077502F" w:rsidRDefault="005803BE" w:rsidP="005803BE">
      <w:pPr>
        <w:spacing w:line="240" w:lineRule="auto"/>
        <w:rPr>
          <w:rFonts w:ascii="Times New Roman" w:eastAsia="Times New Roman" w:hAnsi="Times New Roman" w:cs="Times New Roman"/>
          <w:sz w:val="24"/>
          <w:szCs w:val="24"/>
        </w:rPr>
      </w:pPr>
      <w:r w:rsidRPr="0077502F">
        <w:rPr>
          <w:rFonts w:ascii="Times New Roman" w:eastAsia="Times New Roman" w:hAnsi="Times New Roman" w:cs="Times New Roman"/>
          <w:sz w:val="24"/>
          <w:szCs w:val="24"/>
        </w:rPr>
        <w:pict w14:anchorId="5ED46BF3">
          <v:rect id="_x0000_i1029" style="width:46.8pt;height:.75pt" o:hrpct="100" o:hrstd="t" o:hrnoshade="t" o:hr="t" fillcolor="black" stroked="f"/>
        </w:pict>
      </w:r>
    </w:p>
    <w:p w14:paraId="2E359668"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15"/>
          <w:szCs w:val="15"/>
        </w:rPr>
        <w:t>*</w:t>
      </w:r>
      <w:r w:rsidRPr="0077502F">
        <w:rPr>
          <w:rFonts w:ascii="Times" w:eastAsia="Times New Roman" w:hAnsi="Times" w:cs="Times New Roman"/>
          <w:sz w:val="24"/>
          <w:szCs w:val="24"/>
        </w:rPr>
        <w:t xml:space="preserve"> </w:t>
      </w:r>
      <w:r w:rsidRPr="0077502F">
        <w:rPr>
          <w:rFonts w:ascii="Times" w:eastAsia="Times New Roman" w:hAnsi="Times" w:cs="Times New Roman"/>
          <w:sz w:val="15"/>
          <w:szCs w:val="15"/>
        </w:rPr>
        <w:t xml:space="preserve">Not available </w:t>
      </w:r>
    </w:p>
    <w:p w14:paraId="58D7E108"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15"/>
          <w:szCs w:val="15"/>
        </w:rPr>
        <w:t>(1)</w:t>
      </w:r>
      <w:r w:rsidRPr="0077502F">
        <w:rPr>
          <w:rFonts w:ascii="Times" w:eastAsia="Times New Roman" w:hAnsi="Times" w:cs="Times New Roman"/>
          <w:sz w:val="24"/>
          <w:szCs w:val="24"/>
        </w:rPr>
        <w:t xml:space="preserve"> </w:t>
      </w:r>
      <w:r w:rsidRPr="0077502F">
        <w:rPr>
          <w:rFonts w:ascii="Times" w:eastAsia="Times New Roman" w:hAnsi="Times" w:cs="Times New Roman"/>
          <w:sz w:val="15"/>
          <w:szCs w:val="15"/>
        </w:rPr>
        <w:t xml:space="preserve">Reflects the total number of subscribers who had a Groupon account on the last day of the applicable period. </w:t>
      </w:r>
    </w:p>
    <w:p w14:paraId="6CE0D428"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15"/>
          <w:szCs w:val="15"/>
        </w:rPr>
        <w:t>(2)</w:t>
      </w:r>
      <w:r w:rsidRPr="0077502F">
        <w:rPr>
          <w:rFonts w:ascii="Times" w:eastAsia="Times New Roman" w:hAnsi="Times" w:cs="Times New Roman"/>
          <w:sz w:val="24"/>
          <w:szCs w:val="24"/>
        </w:rPr>
        <w:t xml:space="preserve"> </w:t>
      </w:r>
      <w:r w:rsidRPr="0077502F">
        <w:rPr>
          <w:rFonts w:ascii="Times" w:eastAsia="Times New Roman" w:hAnsi="Times" w:cs="Times New Roman"/>
          <w:sz w:val="15"/>
          <w:szCs w:val="15"/>
        </w:rPr>
        <w:t xml:space="preserve">Reflects the total number of unique customers who have purchased Groupons from Jan. 1, 2009 through the end of the applicable period. </w:t>
      </w:r>
    </w:p>
    <w:p w14:paraId="08380416" w14:textId="77777777" w:rsidR="005803BE" w:rsidRPr="0077502F" w:rsidRDefault="005803BE" w:rsidP="005803BE">
      <w:pPr>
        <w:spacing w:line="240" w:lineRule="auto"/>
        <w:rPr>
          <w:rFonts w:ascii="Times" w:eastAsia="Times New Roman" w:hAnsi="Times" w:cs="Times New Roman"/>
          <w:sz w:val="24"/>
          <w:szCs w:val="24"/>
        </w:rPr>
      </w:pPr>
      <w:r w:rsidRPr="0077502F">
        <w:rPr>
          <w:rFonts w:ascii="Times" w:eastAsia="Times New Roman" w:hAnsi="Times" w:cs="Times New Roman"/>
          <w:sz w:val="15"/>
          <w:szCs w:val="15"/>
        </w:rPr>
        <w:t>(3)</w:t>
      </w:r>
      <w:r w:rsidRPr="0077502F">
        <w:rPr>
          <w:rFonts w:ascii="Times" w:eastAsia="Times New Roman" w:hAnsi="Times" w:cs="Times New Roman"/>
          <w:sz w:val="24"/>
          <w:szCs w:val="24"/>
        </w:rPr>
        <w:t xml:space="preserve"> </w:t>
      </w:r>
      <w:r w:rsidRPr="0077502F">
        <w:rPr>
          <w:rFonts w:ascii="Times" w:eastAsia="Times New Roman" w:hAnsi="Times" w:cs="Times New Roman"/>
          <w:sz w:val="15"/>
          <w:szCs w:val="15"/>
        </w:rPr>
        <w:t xml:space="preserve">Reflects the total number of merchants featured in the applicable period. </w:t>
      </w:r>
    </w:p>
    <w:p w14:paraId="680175B7" w14:textId="2D66C911" w:rsidR="005803BE" w:rsidRDefault="005803BE" w:rsidP="005803BE">
      <w:pPr>
        <w:spacing w:line="240" w:lineRule="auto"/>
        <w:rPr>
          <w:rFonts w:ascii="Times" w:eastAsia="Times New Roman" w:hAnsi="Times" w:cs="Times New Roman"/>
          <w:sz w:val="15"/>
          <w:szCs w:val="15"/>
        </w:rPr>
      </w:pPr>
      <w:r w:rsidRPr="0077502F">
        <w:rPr>
          <w:rFonts w:ascii="Times" w:eastAsia="Times New Roman" w:hAnsi="Times" w:cs="Times New Roman"/>
          <w:sz w:val="15"/>
          <w:szCs w:val="15"/>
        </w:rPr>
        <w:t>(4)</w:t>
      </w:r>
      <w:r w:rsidRPr="0077502F">
        <w:rPr>
          <w:rFonts w:ascii="Times" w:eastAsia="Times New Roman" w:hAnsi="Times" w:cs="Times New Roman"/>
          <w:sz w:val="24"/>
          <w:szCs w:val="24"/>
        </w:rPr>
        <w:t xml:space="preserve"> </w:t>
      </w:r>
      <w:r w:rsidRPr="0077502F">
        <w:rPr>
          <w:rFonts w:ascii="Times" w:eastAsia="Times New Roman" w:hAnsi="Times" w:cs="Times New Roman"/>
          <w:sz w:val="15"/>
          <w:szCs w:val="15"/>
        </w:rPr>
        <w:t xml:space="preserve">Reflects the total number of Groupons sold in the applicable period. </w:t>
      </w:r>
    </w:p>
    <w:p w14:paraId="5B3C4C12" w14:textId="75F64A0A" w:rsidR="005803BE" w:rsidRDefault="005803BE" w:rsidP="005803BE">
      <w:pPr>
        <w:spacing w:line="240" w:lineRule="auto"/>
        <w:rPr>
          <w:rFonts w:ascii="Times" w:eastAsia="Times New Roman" w:hAnsi="Times" w:cs="Times New Roman"/>
          <w:sz w:val="15"/>
          <w:szCs w:val="15"/>
        </w:rPr>
      </w:pPr>
    </w:p>
    <w:p w14:paraId="048358B3" w14:textId="05A5C90F" w:rsidR="006F5EB4" w:rsidRDefault="006F5EB4">
      <w:pPr>
        <w:spacing w:line="240" w:lineRule="auto"/>
        <w:rPr>
          <w:rFonts w:ascii="Times" w:eastAsia="Times New Roman" w:hAnsi="Times" w:cs="Times New Roman"/>
          <w:sz w:val="15"/>
          <w:szCs w:val="15"/>
        </w:rPr>
      </w:pPr>
      <w:r>
        <w:rPr>
          <w:rFonts w:ascii="Times" w:eastAsia="Times New Roman" w:hAnsi="Times" w:cs="Times New Roman"/>
          <w:sz w:val="15"/>
          <w:szCs w:val="15"/>
        </w:rPr>
        <w:br w:type="page"/>
      </w:r>
    </w:p>
    <w:p w14:paraId="22D7E001" w14:textId="77777777" w:rsidR="006F5EB4" w:rsidRPr="0077502F" w:rsidRDefault="006F5EB4" w:rsidP="006F5EB4">
      <w:pPr>
        <w:spacing w:line="240" w:lineRule="auto"/>
        <w:rPr>
          <w:rFonts w:ascii="Times New Roman" w:eastAsia="Times New Roman" w:hAnsi="Times New Roman" w:cs="Times New Roman"/>
          <w:sz w:val="24"/>
          <w:szCs w:val="24"/>
        </w:rPr>
      </w:pPr>
      <w:r w:rsidRPr="0077502F">
        <w:rPr>
          <w:rFonts w:ascii="Times" w:eastAsia="Times New Roman" w:hAnsi="Times" w:cs="Times New Roman"/>
          <w:b/>
          <w:bCs/>
          <w:sz w:val="20"/>
          <w:szCs w:val="20"/>
        </w:rPr>
        <w:lastRenderedPageBreak/>
        <w:t xml:space="preserve">Non-GAAP Financial Measures </w:t>
      </w:r>
    </w:p>
    <w:p w14:paraId="4EB94561" w14:textId="77777777" w:rsidR="006F5EB4" w:rsidRPr="0077502F" w:rsidRDefault="006F5EB4" w:rsidP="006F5EB4">
      <w:pPr>
        <w:spacing w:before="120" w:after="120" w:line="240" w:lineRule="auto"/>
        <w:jc w:val="both"/>
        <w:rPr>
          <w:rFonts w:ascii="Times" w:eastAsia="Times New Roman" w:hAnsi="Times" w:cs="Times New Roman"/>
          <w:sz w:val="24"/>
          <w:szCs w:val="24"/>
        </w:rPr>
      </w:pPr>
      <w:r w:rsidRPr="0077502F">
        <w:rPr>
          <w:rFonts w:ascii="Times" w:eastAsia="Times New Roman" w:hAnsi="Times" w:cs="Times New Roman"/>
          <w:sz w:val="20"/>
          <w:szCs w:val="20"/>
        </w:rPr>
        <w:t xml:space="preserve">We use adjusted consolidated segment operating income, or Adjusted CSOI, and free cash flow as key non-GAAP financial measures. Adjusted CSOI and free cash flow are used in addition to and in conjunction with results presented in accordance with GAAP and should not be relied upon to the exclusion of GAAP financial measures. </w:t>
      </w:r>
    </w:p>
    <w:p w14:paraId="34A76ADD" w14:textId="77777777" w:rsidR="006F5EB4" w:rsidRPr="0077502F" w:rsidRDefault="006F5EB4" w:rsidP="006F5EB4">
      <w:pPr>
        <w:spacing w:before="120" w:after="120" w:line="240" w:lineRule="auto"/>
        <w:jc w:val="both"/>
        <w:rPr>
          <w:rFonts w:ascii="Times" w:eastAsia="Times New Roman" w:hAnsi="Times" w:cs="Times New Roman"/>
          <w:sz w:val="24"/>
          <w:szCs w:val="24"/>
        </w:rPr>
      </w:pPr>
      <w:r w:rsidRPr="0077502F">
        <w:rPr>
          <w:rFonts w:ascii="Times" w:eastAsia="Times New Roman" w:hAnsi="Times" w:cs="Times New Roman"/>
          <w:sz w:val="20"/>
          <w:szCs w:val="20"/>
        </w:rPr>
        <w:t xml:space="preserve">Adjusted CSOI is operating income of our two segments, North America and International, adjusted for online marketing expense, acquisition-related costs and stock-based compensation expense. Online marketing expense primarily represents the cost to acquire new subscribers and is dictated by the amount of growth we wish to pursue. Acquisition-related costs are non-recurring non-cash items related to certain of our acquisitions. Stock-based compensation expense is a non-cash item. We consider Adjusted CSOI to be an important measure for management to evaluate the performance of our business as it excludes certain non-cash expenses and discretionary online marketing expenses that are incurred primarily to acquire new subscribers. We believe it is important to view Adjusted CSOI as a complement to our entire consolidated statements of operations. </w:t>
      </w:r>
    </w:p>
    <w:p w14:paraId="441F0197" w14:textId="77777777" w:rsidR="005803BE" w:rsidRDefault="005803BE" w:rsidP="005803BE">
      <w:pPr>
        <w:spacing w:line="240" w:lineRule="auto"/>
        <w:rPr>
          <w:rFonts w:ascii="Times" w:eastAsia="Times New Roman" w:hAnsi="Times" w:cs="Times New Roman"/>
          <w:sz w:val="15"/>
          <w:szCs w:val="15"/>
        </w:rPr>
      </w:pPr>
    </w:p>
    <w:p w14:paraId="3585D784" w14:textId="5D1212B3" w:rsidR="005803BE" w:rsidRPr="006F5EB4" w:rsidRDefault="005803BE" w:rsidP="006F5EB4">
      <w:pPr>
        <w:rPr>
          <w:rFonts w:ascii="Open Sans" w:eastAsiaTheme="majorEastAsia" w:hAnsi="Open Sans" w:cs="Open Sans"/>
          <w:b/>
          <w:bCs/>
          <w:smallCaps/>
          <w:color w:val="33006F"/>
          <w:szCs w:val="28"/>
        </w:rPr>
      </w:pPr>
      <w:r w:rsidRPr="006F5EB4">
        <w:rPr>
          <w:rFonts w:ascii="Open Sans" w:eastAsiaTheme="majorEastAsia" w:hAnsi="Open Sans" w:cs="Open Sans"/>
          <w:b/>
          <w:bCs/>
          <w:smallCaps/>
          <w:color w:val="33006F"/>
          <w:szCs w:val="28"/>
        </w:rPr>
        <w:t>Video Links.</w:t>
      </w:r>
    </w:p>
    <w:p w14:paraId="7ED1AFE2" w14:textId="46C7AA14" w:rsidR="005803BE" w:rsidRDefault="005803BE" w:rsidP="005803BE">
      <w:pPr>
        <w:rPr>
          <w:rFonts w:ascii="Open Sans" w:eastAsia="Times New Roman" w:hAnsi="Open Sans" w:cs="Open Sans"/>
          <w:b/>
          <w:bCs/>
          <w:sz w:val="20"/>
          <w:szCs w:val="20"/>
        </w:rPr>
      </w:pPr>
      <w:r w:rsidRPr="006F5EB4">
        <w:rPr>
          <w:rFonts w:ascii="Open Sans" w:eastAsia="Times New Roman" w:hAnsi="Open Sans" w:cs="Open Sans"/>
          <w:b/>
          <w:bCs/>
          <w:sz w:val="20"/>
          <w:szCs w:val="20"/>
        </w:rPr>
        <w:t xml:space="preserve">Concerns over Groupon’s Revenue recognition: </w:t>
      </w:r>
      <w:hyperlink r:id="rId25" w:history="1">
        <w:r w:rsidRPr="006F5EB4">
          <w:rPr>
            <w:rStyle w:val="Hyperlink"/>
            <w:rFonts w:ascii="Open Sans" w:eastAsia="Times New Roman" w:hAnsi="Open Sans" w:cs="Open Sans"/>
            <w:sz w:val="20"/>
            <w:szCs w:val="20"/>
          </w:rPr>
          <w:t>https://www.youtube.c</w:t>
        </w:r>
        <w:r w:rsidRPr="006F5EB4">
          <w:rPr>
            <w:rStyle w:val="Hyperlink"/>
            <w:rFonts w:ascii="Open Sans" w:eastAsia="Times New Roman" w:hAnsi="Open Sans" w:cs="Open Sans"/>
            <w:sz w:val="20"/>
            <w:szCs w:val="20"/>
          </w:rPr>
          <w:t>o</w:t>
        </w:r>
        <w:r w:rsidRPr="006F5EB4">
          <w:rPr>
            <w:rStyle w:val="Hyperlink"/>
            <w:rFonts w:ascii="Open Sans" w:eastAsia="Times New Roman" w:hAnsi="Open Sans" w:cs="Open Sans"/>
            <w:sz w:val="20"/>
            <w:szCs w:val="20"/>
          </w:rPr>
          <w:t>m/watch?v=-gLEJkzg0t0</w:t>
        </w:r>
      </w:hyperlink>
      <w:r w:rsidRPr="006F5EB4">
        <w:rPr>
          <w:rFonts w:ascii="Open Sans" w:eastAsia="Times New Roman" w:hAnsi="Open Sans" w:cs="Open Sans"/>
          <w:b/>
          <w:bCs/>
          <w:sz w:val="20"/>
          <w:szCs w:val="20"/>
        </w:rPr>
        <w:t xml:space="preserve"> </w:t>
      </w:r>
    </w:p>
    <w:p w14:paraId="6F639B69" w14:textId="09B8FE86" w:rsidR="006F5EB4" w:rsidRDefault="006F5EB4" w:rsidP="006F5EB4">
      <w:pPr>
        <w:rPr>
          <w:color w:val="000000"/>
        </w:rPr>
      </w:pPr>
      <w:r>
        <w:rPr>
          <w:rFonts w:ascii="Open Sans" w:eastAsia="Times New Roman" w:hAnsi="Open Sans" w:cs="Open Sans"/>
          <w:b/>
          <w:bCs/>
          <w:sz w:val="20"/>
          <w:szCs w:val="20"/>
        </w:rPr>
        <w:t xml:space="preserve">Concerns after IPO: </w:t>
      </w:r>
      <w:hyperlink r:id="rId26" w:history="1">
        <w:r>
          <w:rPr>
            <w:rStyle w:val="Hyperlink"/>
          </w:rPr>
          <w:t>https://www.wsj.com/articles/SB10001424052702303816504577313983768173826</w:t>
        </w:r>
      </w:hyperlink>
    </w:p>
    <w:p w14:paraId="73CAEDE6" w14:textId="4E519452" w:rsidR="006F5EB4" w:rsidRDefault="006F5EB4" w:rsidP="006F5EB4">
      <w:pPr>
        <w:rPr>
          <w:color w:val="000000"/>
        </w:rPr>
      </w:pPr>
      <w:r>
        <w:rPr>
          <w:rFonts w:ascii="Open Sans" w:eastAsia="Times New Roman" w:hAnsi="Open Sans" w:cs="Open Sans"/>
          <w:b/>
          <w:bCs/>
          <w:sz w:val="20"/>
          <w:szCs w:val="20"/>
        </w:rPr>
        <w:t xml:space="preserve">Further discussion of the post IPO revision: </w:t>
      </w:r>
      <w:hyperlink r:id="rId27" w:history="1">
        <w:r>
          <w:rPr>
            <w:rStyle w:val="Hyperlink"/>
          </w:rPr>
          <w:t>https://www.youtube.com/watch?v=oVGPapseRUw</w:t>
        </w:r>
      </w:hyperlink>
    </w:p>
    <w:p w14:paraId="74D49721" w14:textId="22B862AC" w:rsidR="006F5EB4" w:rsidRPr="006F5EB4" w:rsidRDefault="006F5EB4" w:rsidP="005803BE">
      <w:pPr>
        <w:rPr>
          <w:rFonts w:ascii="Open Sans" w:eastAsia="Times New Roman" w:hAnsi="Open Sans" w:cs="Open Sans"/>
          <w:b/>
          <w:bCs/>
          <w:sz w:val="20"/>
          <w:szCs w:val="20"/>
        </w:rPr>
      </w:pPr>
    </w:p>
    <w:p w14:paraId="3BBB5B5D" w14:textId="781ECA6B" w:rsidR="005803BE" w:rsidRDefault="005803BE" w:rsidP="005803BE">
      <w:pPr>
        <w:spacing w:line="240" w:lineRule="auto"/>
        <w:rPr>
          <w:rFonts w:ascii="Times" w:eastAsia="Times New Roman" w:hAnsi="Times" w:cs="Times New Roman"/>
          <w:sz w:val="15"/>
          <w:szCs w:val="15"/>
        </w:rPr>
      </w:pPr>
    </w:p>
    <w:p w14:paraId="50485771" w14:textId="77777777" w:rsidR="006F5EB4" w:rsidRPr="0077502F" w:rsidRDefault="006F5EB4" w:rsidP="005803BE">
      <w:pPr>
        <w:spacing w:line="240" w:lineRule="auto"/>
        <w:rPr>
          <w:rFonts w:ascii="Times" w:eastAsia="Times New Roman" w:hAnsi="Times" w:cs="Times New Roman"/>
          <w:sz w:val="15"/>
          <w:szCs w:val="15"/>
        </w:rPr>
      </w:pPr>
    </w:p>
    <w:p w14:paraId="1B0DD063" w14:textId="77777777" w:rsidR="005803BE" w:rsidRDefault="005803BE" w:rsidP="005803BE">
      <w:pPr>
        <w:rPr>
          <w:rFonts w:ascii="inherit" w:eastAsia="Times New Roman" w:hAnsi="inherit" w:cs="Times New Roman"/>
          <w:b/>
          <w:bCs/>
          <w:color w:val="000000"/>
          <w:sz w:val="20"/>
          <w:szCs w:val="20"/>
        </w:rPr>
      </w:pPr>
      <w:r>
        <w:rPr>
          <w:rFonts w:ascii="inherit" w:eastAsia="Times New Roman" w:hAnsi="inherit" w:cs="Times New Roman"/>
          <w:b/>
          <w:bCs/>
          <w:color w:val="000000"/>
          <w:sz w:val="20"/>
          <w:szCs w:val="20"/>
        </w:rPr>
        <w:br w:type="page"/>
      </w:r>
    </w:p>
    <w:p w14:paraId="7C0036CF" w14:textId="6BAA8930" w:rsidR="005803BE" w:rsidRDefault="005803BE" w:rsidP="005803BE">
      <w:pPr>
        <w:spacing w:line="240" w:lineRule="atLeast"/>
        <w:rPr>
          <w:rFonts w:ascii="inherit" w:eastAsia="Times New Roman" w:hAnsi="inherit" w:cs="Times New Roman"/>
          <w:b/>
          <w:bCs/>
          <w:color w:val="000000"/>
          <w:sz w:val="20"/>
          <w:szCs w:val="20"/>
        </w:rPr>
      </w:pPr>
      <w:r w:rsidRPr="006F5EB4">
        <w:rPr>
          <w:rFonts w:ascii="Open Sans" w:eastAsiaTheme="majorEastAsia" w:hAnsi="Open Sans" w:cs="Open Sans"/>
          <w:b/>
          <w:bCs/>
          <w:smallCaps/>
          <w:color w:val="33006F"/>
          <w:szCs w:val="28"/>
        </w:rPr>
        <w:lastRenderedPageBreak/>
        <w:t xml:space="preserve">The following information is from Groupon’s </w:t>
      </w:r>
      <w:r w:rsidR="006F5EB4">
        <w:rPr>
          <w:rFonts w:ascii="Open Sans" w:eastAsiaTheme="majorEastAsia" w:hAnsi="Open Sans" w:cs="Open Sans"/>
          <w:b/>
          <w:bCs/>
          <w:smallCaps/>
          <w:color w:val="33006F"/>
          <w:szCs w:val="28"/>
        </w:rPr>
        <w:t xml:space="preserve"> post-IPO</w:t>
      </w:r>
      <w:r w:rsidRPr="006F5EB4">
        <w:rPr>
          <w:rFonts w:ascii="Open Sans" w:eastAsiaTheme="majorEastAsia" w:hAnsi="Open Sans" w:cs="Open Sans"/>
          <w:b/>
          <w:bCs/>
          <w:smallCaps/>
          <w:color w:val="33006F"/>
          <w:szCs w:val="28"/>
        </w:rPr>
        <w:t>10-K filing</w:t>
      </w:r>
      <w:r>
        <w:rPr>
          <w:rFonts w:ascii="inherit" w:eastAsia="Times New Roman" w:hAnsi="inherit" w:cs="Times New Roman"/>
          <w:b/>
          <w:bCs/>
          <w:color w:val="000000"/>
          <w:sz w:val="20"/>
          <w:szCs w:val="20"/>
        </w:rPr>
        <w:t xml:space="preserve"> </w:t>
      </w:r>
    </w:p>
    <w:p w14:paraId="2F43A307"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r w:rsidRPr="00D956D6">
        <w:rPr>
          <w:rFonts w:ascii="inherit" w:eastAsia="Times New Roman" w:hAnsi="inherit" w:cs="Times New Roman"/>
          <w:b/>
          <w:bCs/>
          <w:color w:val="000000"/>
          <w:sz w:val="20"/>
          <w:szCs w:val="20"/>
        </w:rPr>
        <w:t>ITEM 9A. CONTROLS AND PROCEDURES</w:t>
      </w:r>
    </w:p>
    <w:p w14:paraId="50D218E3"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p>
    <w:p w14:paraId="27119209" w14:textId="77777777" w:rsidR="005803BE" w:rsidRPr="00D956D6" w:rsidRDefault="005803BE" w:rsidP="005803BE">
      <w:pPr>
        <w:spacing w:line="240" w:lineRule="atLeast"/>
        <w:ind w:firstLine="720"/>
        <w:jc w:val="both"/>
        <w:rPr>
          <w:rFonts w:ascii="Times New Roman" w:eastAsia="Times New Roman" w:hAnsi="Times New Roman" w:cs="Times New Roman"/>
          <w:color w:val="000000"/>
          <w:sz w:val="20"/>
          <w:szCs w:val="20"/>
        </w:rPr>
      </w:pPr>
      <w:r w:rsidRPr="00D956D6">
        <w:rPr>
          <w:rFonts w:ascii="inherit" w:eastAsia="Times New Roman" w:hAnsi="inherit" w:cs="Times New Roman"/>
          <w:color w:val="000000"/>
          <w:sz w:val="20"/>
          <w:szCs w:val="20"/>
        </w:rPr>
        <w:t>Our management, with the participation of our Chief Executive Officer and our Chief Financial Officer, evaluated the effectiveness of our disclosure controls and procedures as of December 31, 2011. The term “disclosure controls and procedures,” as defined in Rules 13a-15(e) and 15d-15(e) under the Securities Exchange Act of 1934, as amended (the “Exchange Act”), means controls and other procedures of a company that are designed to ensure that information required to be disclosed by a company in the reports that it files or submits under the Exchange Act is recorded, processed, summarized and reported, within the time periods specified in the SEC's rules and forms. Disclosure controls and procedures include, without limitation, controls and procedures designed to ensure that information required to be disclosed by a company in the reports that it files or submits under the Exchange Act is accumulated and communicated to the company's management, including its principal executive and principal financial officers, as appropriate to allow timely decisions regarding required disclosure. Management recognizes that any controls and procedures, no matter how well designed and operated, can provide only reasonable assurance of achieving their objectives and management necessarily applies its judgment in evaluating the cost benefit relationship of possible controls and procedures. Based on this evaluation, management concluded as of December 31, 2011 that our disclosure controls and procedures were not effective at the reasonable assurance level due to a material weakness in our internal control over financial reporting, which is described below.</w:t>
      </w:r>
    </w:p>
    <w:p w14:paraId="681C2761"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p>
    <w:p w14:paraId="1B1F925A"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r w:rsidRPr="00D956D6">
        <w:rPr>
          <w:rFonts w:ascii="inherit" w:eastAsia="Times New Roman" w:hAnsi="inherit" w:cs="Times New Roman"/>
          <w:color w:val="000000"/>
          <w:sz w:val="20"/>
          <w:szCs w:val="20"/>
        </w:rPr>
        <w:t>In connection with the preparation of our financial statements for the year ended December 31, 2011, we concluded there is a material weakness in the design and operating effectiveness of our internal control over financial reporting as defined in SEC Regulation S-X. A material weakness is a</w:t>
      </w:r>
      <w:r w:rsidRPr="00D956D6">
        <w:rPr>
          <w:rFonts w:ascii="inherit" w:eastAsia="Times New Roman" w:hAnsi="inherit" w:cs="Times New Roman"/>
          <w:color w:val="0000FF"/>
          <w:sz w:val="20"/>
          <w:szCs w:val="20"/>
        </w:rPr>
        <w:t> </w:t>
      </w:r>
      <w:r w:rsidRPr="00D956D6">
        <w:rPr>
          <w:rFonts w:ascii="inherit" w:eastAsia="Times New Roman" w:hAnsi="inherit" w:cs="Times New Roman"/>
          <w:color w:val="000000"/>
          <w:sz w:val="20"/>
          <w:szCs w:val="20"/>
        </w:rPr>
        <w:t>deficiency, or a combination of deficiencies, in internal control over financial reporting such that there is a reasonable possibility that a material misstatement of the annual or interim financial statements will not be prevented or detected on a timely basis</w:t>
      </w:r>
      <w:r w:rsidRPr="00D956D6">
        <w:rPr>
          <w:rFonts w:ascii="inherit" w:eastAsia="Times New Roman" w:hAnsi="inherit" w:cs="Times New Roman"/>
          <w:color w:val="0000FF"/>
          <w:sz w:val="20"/>
          <w:szCs w:val="20"/>
        </w:rPr>
        <w:t>. </w:t>
      </w:r>
      <w:r w:rsidRPr="00D956D6">
        <w:rPr>
          <w:rFonts w:ascii="inherit" w:eastAsia="Times New Roman" w:hAnsi="inherit" w:cs="Times New Roman"/>
          <w:color w:val="000000"/>
          <w:sz w:val="20"/>
          <w:szCs w:val="20"/>
        </w:rPr>
        <w:t>The primary factors contributing to the material weakness, which relates to our financial statement close process, were:</w:t>
      </w:r>
    </w:p>
    <w:p w14:paraId="253E3F91"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p>
    <w:tbl>
      <w:tblPr>
        <w:tblW w:w="0" w:type="auto"/>
        <w:tblCellSpacing w:w="0" w:type="dxa"/>
        <w:tblCellMar>
          <w:left w:w="0" w:type="dxa"/>
          <w:right w:w="0" w:type="dxa"/>
        </w:tblCellMar>
        <w:tblLook w:val="04A0" w:firstRow="1" w:lastRow="0" w:firstColumn="1" w:lastColumn="0" w:noHBand="0" w:noVBand="1"/>
      </w:tblPr>
      <w:tblGrid>
        <w:gridCol w:w="720"/>
        <w:gridCol w:w="8928"/>
      </w:tblGrid>
      <w:tr w:rsidR="005803BE" w:rsidRPr="00D956D6" w14:paraId="1D914D10" w14:textId="77777777" w:rsidTr="005803BE">
        <w:trPr>
          <w:tblCellSpacing w:w="0" w:type="dxa"/>
        </w:trPr>
        <w:tc>
          <w:tcPr>
            <w:tcW w:w="720" w:type="dxa"/>
            <w:vAlign w:val="center"/>
            <w:hideMark/>
          </w:tcPr>
          <w:p w14:paraId="60197258"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p>
        </w:tc>
        <w:tc>
          <w:tcPr>
            <w:tcW w:w="0" w:type="auto"/>
            <w:vAlign w:val="center"/>
            <w:hideMark/>
          </w:tcPr>
          <w:p w14:paraId="4B447D8C" w14:textId="77777777" w:rsidR="005803BE" w:rsidRPr="00D956D6" w:rsidRDefault="005803BE" w:rsidP="005803BE">
            <w:pPr>
              <w:spacing w:line="240" w:lineRule="auto"/>
              <w:rPr>
                <w:rFonts w:ascii="Times New Roman" w:eastAsia="Times New Roman" w:hAnsi="Times New Roman" w:cs="Times New Roman"/>
                <w:sz w:val="20"/>
                <w:szCs w:val="20"/>
              </w:rPr>
            </w:pPr>
          </w:p>
        </w:tc>
      </w:tr>
      <w:tr w:rsidR="005803BE" w:rsidRPr="00D956D6" w14:paraId="44DC81AA" w14:textId="77777777" w:rsidTr="005803BE">
        <w:trPr>
          <w:tblCellSpacing w:w="0" w:type="dxa"/>
        </w:trPr>
        <w:tc>
          <w:tcPr>
            <w:tcW w:w="0" w:type="auto"/>
            <w:hideMark/>
          </w:tcPr>
          <w:p w14:paraId="6A46132F" w14:textId="77777777" w:rsidR="005803BE" w:rsidRPr="00D956D6" w:rsidRDefault="005803BE" w:rsidP="005803BE">
            <w:pPr>
              <w:spacing w:line="240" w:lineRule="atLeast"/>
              <w:rPr>
                <w:rFonts w:ascii="Times New Roman" w:eastAsia="Times New Roman" w:hAnsi="Times New Roman" w:cs="Times New Roman"/>
                <w:sz w:val="20"/>
                <w:szCs w:val="20"/>
              </w:rPr>
            </w:pPr>
            <w:r w:rsidRPr="00D956D6">
              <w:rPr>
                <w:rFonts w:ascii="inherit" w:eastAsia="Times New Roman" w:hAnsi="inherit" w:cs="Times New Roman"/>
                <w:sz w:val="20"/>
                <w:szCs w:val="20"/>
              </w:rPr>
              <w:t>•</w:t>
            </w:r>
          </w:p>
        </w:tc>
        <w:tc>
          <w:tcPr>
            <w:tcW w:w="0" w:type="auto"/>
            <w:hideMark/>
          </w:tcPr>
          <w:p w14:paraId="1D5AF101" w14:textId="77777777" w:rsidR="005803BE" w:rsidRPr="00D956D6" w:rsidRDefault="005803BE" w:rsidP="005803BE">
            <w:pPr>
              <w:spacing w:line="240" w:lineRule="atLeast"/>
              <w:rPr>
                <w:rFonts w:ascii="Times New Roman" w:eastAsia="Times New Roman" w:hAnsi="Times New Roman" w:cs="Times New Roman"/>
                <w:sz w:val="20"/>
                <w:szCs w:val="20"/>
              </w:rPr>
            </w:pPr>
            <w:r w:rsidRPr="00D956D6">
              <w:rPr>
                <w:rFonts w:ascii="inherit" w:eastAsia="Times New Roman" w:hAnsi="inherit" w:cs="Times New Roman"/>
                <w:i/>
                <w:iCs/>
                <w:sz w:val="20"/>
                <w:szCs w:val="20"/>
              </w:rPr>
              <w:t>We did not maintain financial close process and procedures that were adequately designed, documented and executed to support the accurate and timely reporting of our financial results.</w:t>
            </w:r>
            <w:r w:rsidRPr="00D956D6">
              <w:rPr>
                <w:rFonts w:ascii="inherit" w:eastAsia="Times New Roman" w:hAnsi="inherit" w:cs="Times New Roman"/>
                <w:sz w:val="20"/>
                <w:szCs w:val="20"/>
              </w:rPr>
              <w:t> As a result, we made a number of manual post-close adjustments necessary in order to prepare the financial statements included in this Form 10-K.</w:t>
            </w:r>
          </w:p>
        </w:tc>
      </w:tr>
    </w:tbl>
    <w:p w14:paraId="5A67297A" w14:textId="77777777" w:rsidR="005803BE" w:rsidRPr="00D956D6" w:rsidRDefault="005803BE" w:rsidP="005803BE">
      <w:pPr>
        <w:spacing w:line="240" w:lineRule="auto"/>
        <w:rPr>
          <w:rFonts w:ascii="Times New Roman" w:eastAsia="Times New Roman" w:hAnsi="Times New Roman" w:cs="Times New Roman"/>
          <w:vanish/>
          <w:sz w:val="24"/>
          <w:szCs w:val="24"/>
        </w:rPr>
      </w:pPr>
    </w:p>
    <w:tbl>
      <w:tblPr>
        <w:tblW w:w="0" w:type="auto"/>
        <w:tblCellSpacing w:w="0" w:type="dxa"/>
        <w:tblCellMar>
          <w:left w:w="0" w:type="dxa"/>
          <w:right w:w="0" w:type="dxa"/>
        </w:tblCellMar>
        <w:tblLook w:val="04A0" w:firstRow="1" w:lastRow="0" w:firstColumn="1" w:lastColumn="0" w:noHBand="0" w:noVBand="1"/>
      </w:tblPr>
      <w:tblGrid>
        <w:gridCol w:w="720"/>
        <w:gridCol w:w="8928"/>
      </w:tblGrid>
      <w:tr w:rsidR="005803BE" w:rsidRPr="00D956D6" w14:paraId="38F1F354" w14:textId="77777777" w:rsidTr="005803BE">
        <w:trPr>
          <w:tblCellSpacing w:w="0" w:type="dxa"/>
        </w:trPr>
        <w:tc>
          <w:tcPr>
            <w:tcW w:w="720" w:type="dxa"/>
            <w:vAlign w:val="center"/>
            <w:hideMark/>
          </w:tcPr>
          <w:p w14:paraId="42AF1B8A" w14:textId="77777777" w:rsidR="005803BE" w:rsidRPr="00D956D6" w:rsidRDefault="005803BE" w:rsidP="005803BE">
            <w:pPr>
              <w:spacing w:line="240" w:lineRule="auto"/>
              <w:rPr>
                <w:rFonts w:ascii="Times New Roman" w:eastAsia="Times New Roman" w:hAnsi="Times New Roman" w:cs="Times New Roman"/>
                <w:sz w:val="24"/>
                <w:szCs w:val="24"/>
              </w:rPr>
            </w:pPr>
          </w:p>
        </w:tc>
        <w:tc>
          <w:tcPr>
            <w:tcW w:w="0" w:type="auto"/>
            <w:vAlign w:val="center"/>
            <w:hideMark/>
          </w:tcPr>
          <w:p w14:paraId="52C05E64" w14:textId="77777777" w:rsidR="005803BE" w:rsidRPr="00D956D6" w:rsidRDefault="005803BE" w:rsidP="005803BE">
            <w:pPr>
              <w:spacing w:line="240" w:lineRule="auto"/>
              <w:rPr>
                <w:rFonts w:ascii="Times New Roman" w:eastAsia="Times New Roman" w:hAnsi="Times New Roman" w:cs="Times New Roman"/>
                <w:sz w:val="20"/>
                <w:szCs w:val="20"/>
              </w:rPr>
            </w:pPr>
          </w:p>
        </w:tc>
      </w:tr>
      <w:tr w:rsidR="005803BE" w:rsidRPr="00D956D6" w14:paraId="562CC883" w14:textId="77777777" w:rsidTr="005803BE">
        <w:trPr>
          <w:tblCellSpacing w:w="0" w:type="dxa"/>
        </w:trPr>
        <w:tc>
          <w:tcPr>
            <w:tcW w:w="0" w:type="auto"/>
            <w:hideMark/>
          </w:tcPr>
          <w:p w14:paraId="35109E8E" w14:textId="77777777" w:rsidR="005803BE" w:rsidRPr="00D956D6" w:rsidRDefault="005803BE" w:rsidP="005803BE">
            <w:pPr>
              <w:spacing w:line="240" w:lineRule="atLeast"/>
              <w:rPr>
                <w:rFonts w:ascii="Times New Roman" w:eastAsia="Times New Roman" w:hAnsi="Times New Roman" w:cs="Times New Roman"/>
                <w:sz w:val="20"/>
                <w:szCs w:val="20"/>
              </w:rPr>
            </w:pPr>
            <w:r w:rsidRPr="00D956D6">
              <w:rPr>
                <w:rFonts w:ascii="inherit" w:eastAsia="Times New Roman" w:hAnsi="inherit" w:cs="Times New Roman"/>
                <w:sz w:val="20"/>
                <w:szCs w:val="20"/>
              </w:rPr>
              <w:t>•</w:t>
            </w:r>
          </w:p>
        </w:tc>
        <w:tc>
          <w:tcPr>
            <w:tcW w:w="0" w:type="auto"/>
            <w:hideMark/>
          </w:tcPr>
          <w:p w14:paraId="599F7A89" w14:textId="77777777" w:rsidR="005803BE" w:rsidRPr="00D956D6" w:rsidRDefault="005803BE" w:rsidP="005803BE">
            <w:pPr>
              <w:spacing w:line="240" w:lineRule="atLeast"/>
              <w:rPr>
                <w:rFonts w:ascii="Times New Roman" w:eastAsia="Times New Roman" w:hAnsi="Times New Roman" w:cs="Times New Roman"/>
                <w:sz w:val="20"/>
                <w:szCs w:val="20"/>
              </w:rPr>
            </w:pPr>
            <w:r w:rsidRPr="00D956D6">
              <w:rPr>
                <w:rFonts w:ascii="inherit" w:eastAsia="Times New Roman" w:hAnsi="inherit" w:cs="Times New Roman"/>
                <w:i/>
                <w:iCs/>
                <w:sz w:val="20"/>
                <w:szCs w:val="20"/>
              </w:rPr>
              <w:t>We did not maintain effective controls to provide reasonable assurance that accounts were complete and accurate and agreed to detailed support, and that account reconciliations were properly performed, reviewed and approved.</w:t>
            </w:r>
            <w:r w:rsidRPr="00D956D6">
              <w:rPr>
                <w:rFonts w:ascii="inherit" w:eastAsia="Times New Roman" w:hAnsi="inherit" w:cs="Times New Roman"/>
                <w:sz w:val="20"/>
                <w:szCs w:val="20"/>
              </w:rPr>
              <w:t> While these activities should be performed in the ordinary course of our preparing our financial statements, we instead needed to undertake significant efforts to complete reconciliations and investigate items identified in those reconciliations during the course of our financial statement audit.</w:t>
            </w:r>
          </w:p>
        </w:tc>
      </w:tr>
    </w:tbl>
    <w:p w14:paraId="0F153544" w14:textId="77777777" w:rsidR="005803BE" w:rsidRPr="00D956D6" w:rsidRDefault="005803BE" w:rsidP="005803BE">
      <w:pPr>
        <w:spacing w:line="240" w:lineRule="auto"/>
        <w:rPr>
          <w:rFonts w:ascii="Times New Roman" w:eastAsia="Times New Roman" w:hAnsi="Times New Roman" w:cs="Times New Roman"/>
          <w:vanish/>
          <w:sz w:val="24"/>
          <w:szCs w:val="24"/>
        </w:rPr>
      </w:pPr>
    </w:p>
    <w:tbl>
      <w:tblPr>
        <w:tblW w:w="0" w:type="auto"/>
        <w:tblCellSpacing w:w="0" w:type="dxa"/>
        <w:tblCellMar>
          <w:left w:w="0" w:type="dxa"/>
          <w:right w:w="0" w:type="dxa"/>
        </w:tblCellMar>
        <w:tblLook w:val="04A0" w:firstRow="1" w:lastRow="0" w:firstColumn="1" w:lastColumn="0" w:noHBand="0" w:noVBand="1"/>
      </w:tblPr>
      <w:tblGrid>
        <w:gridCol w:w="720"/>
        <w:gridCol w:w="8928"/>
      </w:tblGrid>
      <w:tr w:rsidR="005803BE" w:rsidRPr="00D956D6" w14:paraId="11E16D03" w14:textId="77777777" w:rsidTr="005803BE">
        <w:trPr>
          <w:tblCellSpacing w:w="0" w:type="dxa"/>
        </w:trPr>
        <w:tc>
          <w:tcPr>
            <w:tcW w:w="720" w:type="dxa"/>
            <w:vAlign w:val="center"/>
            <w:hideMark/>
          </w:tcPr>
          <w:p w14:paraId="3BA925DB" w14:textId="77777777" w:rsidR="005803BE" w:rsidRPr="00D956D6" w:rsidRDefault="005803BE" w:rsidP="005803BE">
            <w:pPr>
              <w:spacing w:line="240" w:lineRule="auto"/>
              <w:rPr>
                <w:rFonts w:ascii="Times New Roman" w:eastAsia="Times New Roman" w:hAnsi="Times New Roman" w:cs="Times New Roman"/>
                <w:sz w:val="24"/>
                <w:szCs w:val="24"/>
              </w:rPr>
            </w:pPr>
          </w:p>
        </w:tc>
        <w:tc>
          <w:tcPr>
            <w:tcW w:w="0" w:type="auto"/>
            <w:vAlign w:val="center"/>
            <w:hideMark/>
          </w:tcPr>
          <w:p w14:paraId="631E0638" w14:textId="77777777" w:rsidR="005803BE" w:rsidRPr="00D956D6" w:rsidRDefault="005803BE" w:rsidP="005803BE">
            <w:pPr>
              <w:spacing w:line="240" w:lineRule="auto"/>
              <w:rPr>
                <w:rFonts w:ascii="Times New Roman" w:eastAsia="Times New Roman" w:hAnsi="Times New Roman" w:cs="Times New Roman"/>
                <w:sz w:val="20"/>
                <w:szCs w:val="20"/>
              </w:rPr>
            </w:pPr>
          </w:p>
        </w:tc>
      </w:tr>
      <w:tr w:rsidR="005803BE" w:rsidRPr="00D956D6" w14:paraId="4F1D82BF" w14:textId="77777777" w:rsidTr="005803BE">
        <w:trPr>
          <w:tblCellSpacing w:w="0" w:type="dxa"/>
        </w:trPr>
        <w:tc>
          <w:tcPr>
            <w:tcW w:w="0" w:type="auto"/>
            <w:hideMark/>
          </w:tcPr>
          <w:p w14:paraId="101FB754" w14:textId="77777777" w:rsidR="005803BE" w:rsidRPr="00D956D6" w:rsidRDefault="005803BE" w:rsidP="005803BE">
            <w:pPr>
              <w:spacing w:line="240" w:lineRule="atLeast"/>
              <w:rPr>
                <w:rFonts w:ascii="Times New Roman" w:eastAsia="Times New Roman" w:hAnsi="Times New Roman" w:cs="Times New Roman"/>
                <w:sz w:val="20"/>
                <w:szCs w:val="20"/>
              </w:rPr>
            </w:pPr>
            <w:r w:rsidRPr="00D956D6">
              <w:rPr>
                <w:rFonts w:ascii="inherit" w:eastAsia="Times New Roman" w:hAnsi="inherit" w:cs="Times New Roman"/>
                <w:sz w:val="20"/>
                <w:szCs w:val="20"/>
              </w:rPr>
              <w:t>•</w:t>
            </w:r>
          </w:p>
        </w:tc>
        <w:tc>
          <w:tcPr>
            <w:tcW w:w="0" w:type="auto"/>
            <w:hideMark/>
          </w:tcPr>
          <w:p w14:paraId="2BC8BD93" w14:textId="77777777" w:rsidR="005803BE" w:rsidRPr="00D956D6" w:rsidRDefault="005803BE" w:rsidP="005803BE">
            <w:pPr>
              <w:spacing w:line="240" w:lineRule="atLeast"/>
              <w:rPr>
                <w:rFonts w:ascii="Times New Roman" w:eastAsia="Times New Roman" w:hAnsi="Times New Roman" w:cs="Times New Roman"/>
                <w:sz w:val="20"/>
                <w:szCs w:val="20"/>
              </w:rPr>
            </w:pPr>
            <w:r w:rsidRPr="00D956D6">
              <w:rPr>
                <w:rFonts w:ascii="inherit" w:eastAsia="Times New Roman" w:hAnsi="inherit" w:cs="Times New Roman"/>
                <w:i/>
                <w:iCs/>
                <w:sz w:val="20"/>
                <w:szCs w:val="20"/>
              </w:rPr>
              <w:t>We did not have adequate policies and procedures in place to ensure the timely, effective review of estimates, assumptions and related reconciliations and analyses, including those related to customer refund reserves. </w:t>
            </w:r>
            <w:r w:rsidRPr="00D956D6">
              <w:rPr>
                <w:rFonts w:ascii="inherit" w:eastAsia="Times New Roman" w:hAnsi="inherit" w:cs="Times New Roman"/>
                <w:sz w:val="20"/>
                <w:szCs w:val="20"/>
              </w:rPr>
              <w:t>As noted previously, our original estimate disclosed on February 8 of the reserve for customer refunds proved to be inadequate after we performed additional analysis.</w:t>
            </w:r>
          </w:p>
        </w:tc>
      </w:tr>
    </w:tbl>
    <w:p w14:paraId="3A2DCB21"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p>
    <w:p w14:paraId="09D6807E"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r w:rsidRPr="00D956D6">
        <w:rPr>
          <w:rFonts w:ascii="inherit" w:eastAsia="Times New Roman" w:hAnsi="inherit" w:cs="Times New Roman"/>
          <w:color w:val="000000"/>
          <w:sz w:val="20"/>
          <w:szCs w:val="20"/>
        </w:rPr>
        <w:t>With the oversight of senior management and our audit committee, we have begun taking steps and plan to take additional measures to remediate the underlying causes of the material weakness, primarily through the development and implementation of formal policies, improved processes and documented procedures, as well as the hiring of additional finance personnel.</w:t>
      </w:r>
    </w:p>
    <w:p w14:paraId="050C0A8A"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p>
    <w:p w14:paraId="39FCFC6B"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r w:rsidRPr="00D956D6">
        <w:rPr>
          <w:rFonts w:ascii="inherit" w:eastAsia="Times New Roman" w:hAnsi="inherit" w:cs="Times New Roman"/>
          <w:color w:val="000000"/>
          <w:sz w:val="20"/>
          <w:szCs w:val="20"/>
        </w:rPr>
        <w:t>In addition to these efforts, we are in the process of documenting and testing our internal control over financial reporting in order to report on the effectiveness of our internal controls as of December 31, 2012, as required following our initial public offering in 2011. We have expended significant internal and external resources in this effort. In particular, we have been working with another global accounting in preparation for reporting on the effectiveness of our internal controls, and we have expanded the auditing firm's engagement scope to address the underlying cause of the material weakness. However, we can provide no assurance at this time that management will be able to report that our internal control over financial reporting is effective as of December 31, 2012, or that our registered public accounting firm will be able to attest that such internal controls are effective.</w:t>
      </w:r>
    </w:p>
    <w:p w14:paraId="396C55C2"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p>
    <w:p w14:paraId="0C22D8DC" w14:textId="77777777" w:rsidR="005803BE" w:rsidRPr="00D956D6" w:rsidRDefault="005803BE" w:rsidP="005803BE">
      <w:pPr>
        <w:spacing w:line="240" w:lineRule="atLeast"/>
        <w:rPr>
          <w:rFonts w:ascii="Times New Roman" w:eastAsia="Times New Roman" w:hAnsi="Times New Roman" w:cs="Times New Roman"/>
          <w:color w:val="000000"/>
          <w:sz w:val="20"/>
          <w:szCs w:val="20"/>
        </w:rPr>
      </w:pPr>
      <w:r w:rsidRPr="00D956D6">
        <w:rPr>
          <w:rFonts w:ascii="inherit" w:eastAsia="Times New Roman" w:hAnsi="inherit" w:cs="Times New Roman"/>
          <w:color w:val="000000"/>
          <w:sz w:val="20"/>
          <w:szCs w:val="20"/>
        </w:rPr>
        <w:t>Notwithstanding the identified material weakness, management believes the consolidated financial statements included in this Annual Report on Form 10-K fairly represent in all material respects our financial condition, results of operations and cash flows at and for the periods presented in accordance with U.S. GAAP.</w:t>
      </w:r>
    </w:p>
    <w:p w14:paraId="2FE61A2F" w14:textId="77777777" w:rsidR="005803BE" w:rsidRPr="00D956D6" w:rsidRDefault="005803BE" w:rsidP="005803BE">
      <w:pPr>
        <w:spacing w:line="240" w:lineRule="auto"/>
        <w:rPr>
          <w:rFonts w:ascii="Times New Roman" w:eastAsia="Times New Roman" w:hAnsi="Times New Roman" w:cs="Times New Roman"/>
          <w:sz w:val="24"/>
          <w:szCs w:val="24"/>
        </w:rPr>
      </w:pPr>
    </w:p>
    <w:p w14:paraId="298741A3" w14:textId="77777777" w:rsidR="005803BE" w:rsidRPr="00D956D6" w:rsidRDefault="005803BE" w:rsidP="005803BE">
      <w:pPr>
        <w:spacing w:line="240" w:lineRule="auto"/>
        <w:rPr>
          <w:rFonts w:ascii="Times New Roman" w:eastAsia="Times New Roman" w:hAnsi="Times New Roman" w:cs="Times New Roman"/>
          <w:sz w:val="24"/>
          <w:szCs w:val="24"/>
        </w:rPr>
      </w:pPr>
      <w:r w:rsidRPr="00D956D6">
        <w:rPr>
          <w:rFonts w:ascii="Times New Roman" w:eastAsia="Times New Roman" w:hAnsi="Times New Roman" w:cs="Times New Roman"/>
          <w:sz w:val="24"/>
          <w:szCs w:val="24"/>
        </w:rPr>
        <w:pict w14:anchorId="163E358D">
          <v:rect id="_x0000_i1028" style="width:0;height:1.5pt" o:hralign="center" o:hrstd="t" o:hrnoshade="t" o:hr="t" fillcolor="black" stroked="f"/>
        </w:pict>
      </w:r>
    </w:p>
    <w:p w14:paraId="44EDC569" w14:textId="77777777" w:rsidR="005803BE" w:rsidRPr="00D956D6" w:rsidRDefault="005803BE" w:rsidP="005803BE">
      <w:pPr>
        <w:spacing w:line="240" w:lineRule="auto"/>
        <w:rPr>
          <w:rFonts w:ascii="Times New Roman" w:eastAsia="Times New Roman" w:hAnsi="Times New Roman" w:cs="Times New Roman"/>
          <w:color w:val="000000"/>
          <w:sz w:val="20"/>
          <w:szCs w:val="20"/>
        </w:rPr>
      </w:pPr>
    </w:p>
    <w:p w14:paraId="70BB13A6" w14:textId="77777777" w:rsidR="005803BE" w:rsidRPr="00D956D6" w:rsidRDefault="005803BE" w:rsidP="005803BE">
      <w:pPr>
        <w:spacing w:line="240" w:lineRule="auto"/>
        <w:rPr>
          <w:rFonts w:ascii="Times New Roman" w:eastAsia="Times New Roman" w:hAnsi="Times New Roman" w:cs="Times New Roman"/>
          <w:sz w:val="24"/>
          <w:szCs w:val="24"/>
        </w:rPr>
      </w:pPr>
    </w:p>
    <w:p w14:paraId="53EDC495" w14:textId="77777777" w:rsidR="005803BE" w:rsidRPr="00D956D6" w:rsidRDefault="005803BE" w:rsidP="005803BE">
      <w:pPr>
        <w:spacing w:line="240" w:lineRule="atLeast"/>
        <w:jc w:val="both"/>
        <w:rPr>
          <w:rFonts w:ascii="Times New Roman" w:eastAsia="Times New Roman" w:hAnsi="Times New Roman" w:cs="Times New Roman"/>
          <w:color w:val="000000"/>
          <w:sz w:val="20"/>
          <w:szCs w:val="20"/>
        </w:rPr>
      </w:pPr>
    </w:p>
    <w:p w14:paraId="639B7CF1" w14:textId="77777777" w:rsidR="005803BE" w:rsidRPr="00D956D6" w:rsidRDefault="005803BE" w:rsidP="005803BE">
      <w:pPr>
        <w:spacing w:line="240" w:lineRule="atLeast"/>
        <w:jc w:val="both"/>
        <w:rPr>
          <w:rFonts w:ascii="Times New Roman" w:eastAsia="Times New Roman" w:hAnsi="Times New Roman" w:cs="Times New Roman"/>
          <w:color w:val="000000"/>
          <w:sz w:val="20"/>
          <w:szCs w:val="20"/>
        </w:rPr>
      </w:pPr>
      <w:r w:rsidRPr="00D956D6">
        <w:rPr>
          <w:rFonts w:ascii="inherit" w:eastAsia="Times New Roman" w:hAnsi="inherit" w:cs="Times New Roman"/>
          <w:b/>
          <w:bCs/>
          <w:i/>
          <w:iCs/>
          <w:color w:val="000000"/>
          <w:sz w:val="20"/>
          <w:szCs w:val="20"/>
        </w:rPr>
        <w:t>Changes in Internal Control over Financial Reporting</w:t>
      </w:r>
    </w:p>
    <w:p w14:paraId="5F150A35" w14:textId="77777777" w:rsidR="005803BE" w:rsidRPr="00D956D6" w:rsidRDefault="005803BE" w:rsidP="005803BE">
      <w:pPr>
        <w:spacing w:line="240" w:lineRule="atLeast"/>
        <w:jc w:val="both"/>
        <w:rPr>
          <w:rFonts w:ascii="Times New Roman" w:eastAsia="Times New Roman" w:hAnsi="Times New Roman" w:cs="Times New Roman"/>
          <w:color w:val="000000"/>
          <w:sz w:val="20"/>
          <w:szCs w:val="20"/>
        </w:rPr>
      </w:pPr>
    </w:p>
    <w:p w14:paraId="4535793B" w14:textId="77777777" w:rsidR="005803BE" w:rsidRPr="00D956D6" w:rsidRDefault="005803BE" w:rsidP="005803BE">
      <w:pPr>
        <w:spacing w:line="240" w:lineRule="atLeast"/>
        <w:ind w:firstLine="720"/>
        <w:jc w:val="both"/>
        <w:rPr>
          <w:rFonts w:ascii="Times New Roman" w:eastAsia="Times New Roman" w:hAnsi="Times New Roman" w:cs="Times New Roman"/>
          <w:color w:val="000000"/>
          <w:sz w:val="20"/>
          <w:szCs w:val="20"/>
        </w:rPr>
      </w:pPr>
      <w:r w:rsidRPr="00D956D6">
        <w:rPr>
          <w:rFonts w:ascii="inherit" w:eastAsia="Times New Roman" w:hAnsi="inherit" w:cs="Times New Roman"/>
          <w:color w:val="000000"/>
          <w:sz w:val="20"/>
          <w:szCs w:val="20"/>
        </w:rPr>
        <w:t>Other than as described above, there was no change in our internal control over financial reporting identified in connection with the evaluation required by Rule 13a-15(d) and 15d-15(d) of the Exchange Act that occurred during the three months ended December 31, 2011 that has materially affected, or is reasonably likely to materially affect, our internal control over financial reporting.</w:t>
      </w:r>
    </w:p>
    <w:p w14:paraId="2F78AE71" w14:textId="77777777" w:rsidR="005803BE" w:rsidRPr="00D956D6" w:rsidRDefault="005803BE" w:rsidP="005803BE">
      <w:pPr>
        <w:spacing w:line="240" w:lineRule="atLeast"/>
        <w:jc w:val="both"/>
        <w:rPr>
          <w:rFonts w:ascii="Times New Roman" w:eastAsia="Times New Roman" w:hAnsi="Times New Roman" w:cs="Times New Roman"/>
          <w:color w:val="000000"/>
          <w:sz w:val="20"/>
          <w:szCs w:val="20"/>
        </w:rPr>
      </w:pPr>
    </w:p>
    <w:p w14:paraId="43C8EF01" w14:textId="77777777" w:rsidR="005803BE" w:rsidRPr="00D956D6" w:rsidRDefault="005803BE" w:rsidP="005803BE">
      <w:pPr>
        <w:spacing w:line="240" w:lineRule="atLeast"/>
        <w:jc w:val="both"/>
        <w:rPr>
          <w:rFonts w:ascii="Times New Roman" w:eastAsia="Times New Roman" w:hAnsi="Times New Roman" w:cs="Times New Roman"/>
          <w:color w:val="000000"/>
          <w:sz w:val="20"/>
          <w:szCs w:val="20"/>
        </w:rPr>
      </w:pPr>
      <w:r w:rsidRPr="00D956D6">
        <w:rPr>
          <w:rFonts w:ascii="inherit" w:eastAsia="Times New Roman" w:hAnsi="inherit" w:cs="Times New Roman"/>
          <w:b/>
          <w:bCs/>
          <w:i/>
          <w:iCs/>
          <w:color w:val="000000"/>
          <w:sz w:val="20"/>
          <w:szCs w:val="20"/>
        </w:rPr>
        <w:t>Exemption from Management's Report on Internal Control Over Financial Reporting for 2011</w:t>
      </w:r>
    </w:p>
    <w:p w14:paraId="0E85DDEC" w14:textId="77777777" w:rsidR="005803BE" w:rsidRPr="00D956D6" w:rsidRDefault="005803BE" w:rsidP="005803BE">
      <w:pPr>
        <w:spacing w:line="240" w:lineRule="atLeast"/>
        <w:jc w:val="both"/>
        <w:rPr>
          <w:rFonts w:ascii="Times New Roman" w:eastAsia="Times New Roman" w:hAnsi="Times New Roman" w:cs="Times New Roman"/>
          <w:color w:val="000000"/>
          <w:sz w:val="20"/>
          <w:szCs w:val="20"/>
        </w:rPr>
      </w:pPr>
    </w:p>
    <w:p w14:paraId="409F5112" w14:textId="77777777" w:rsidR="005803BE" w:rsidRPr="00D956D6" w:rsidRDefault="005803BE" w:rsidP="005803BE">
      <w:pPr>
        <w:spacing w:line="240" w:lineRule="atLeast"/>
        <w:ind w:firstLine="720"/>
        <w:jc w:val="both"/>
        <w:rPr>
          <w:rFonts w:ascii="Times New Roman" w:eastAsia="Times New Roman" w:hAnsi="Times New Roman" w:cs="Times New Roman"/>
          <w:color w:val="000000"/>
          <w:sz w:val="20"/>
          <w:szCs w:val="20"/>
        </w:rPr>
      </w:pPr>
      <w:r w:rsidRPr="00D956D6">
        <w:rPr>
          <w:rFonts w:ascii="inherit" w:eastAsia="Times New Roman" w:hAnsi="inherit" w:cs="Times New Roman"/>
          <w:color w:val="000000"/>
          <w:sz w:val="20"/>
          <w:szCs w:val="20"/>
        </w:rPr>
        <w:t>This Annual Report on Form 10-K does not include a report of management's assessment regarding internal control over financial reporting or an attestation report of the company's registered public accounting firm due to a transition period established by rules of the SEC for newly public companies.</w:t>
      </w:r>
    </w:p>
    <w:p w14:paraId="3AF5EB11" w14:textId="77777777" w:rsidR="005803BE" w:rsidRDefault="005803BE" w:rsidP="005803BE"/>
    <w:bookmarkEnd w:id="7"/>
    <w:p w14:paraId="00622F25" w14:textId="77777777" w:rsidR="005803BE" w:rsidRDefault="005803BE">
      <w:pPr>
        <w:spacing w:line="240" w:lineRule="auto"/>
        <w:rPr>
          <w:rFonts w:asciiTheme="majorHAnsi" w:eastAsiaTheme="majorEastAsia" w:hAnsiTheme="majorHAnsi" w:cstheme="majorBidi"/>
          <w:b/>
          <w:bCs/>
          <w:smallCaps/>
          <w:color w:val="33006F"/>
          <w:sz w:val="28"/>
          <w:szCs w:val="28"/>
        </w:rPr>
      </w:pPr>
    </w:p>
    <w:sectPr w:rsidR="005803BE" w:rsidSect="00974D75">
      <w:headerReference w:type="default" r:id="rId28"/>
      <w:footerReference w:type="default" r:id="rId29"/>
      <w:headerReference w:type="first" r:id="rId30"/>
      <w:footerReference w:type="first" r:id="rId31"/>
      <w:pgSz w:w="12240" w:h="15840" w:code="1"/>
      <w:pgMar w:top="1440" w:right="1440" w:bottom="1440" w:left="1152" w:header="907"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990F13" w14:textId="77777777" w:rsidR="004D778D" w:rsidRDefault="004D778D" w:rsidP="00046408">
      <w:pPr>
        <w:spacing w:line="240" w:lineRule="auto"/>
      </w:pPr>
      <w:r>
        <w:separator/>
      </w:r>
    </w:p>
  </w:endnote>
  <w:endnote w:type="continuationSeparator" w:id="0">
    <w:p w14:paraId="3E389656" w14:textId="77777777" w:rsidR="004D778D" w:rsidRDefault="004D778D" w:rsidP="00046408">
      <w:pPr>
        <w:spacing w:line="240" w:lineRule="auto"/>
      </w:pPr>
      <w:r>
        <w:continuationSeparator/>
      </w:r>
    </w:p>
  </w:endnote>
  <w:endnote w:id="1">
    <w:p w14:paraId="239EFD35" w14:textId="605E6831" w:rsidR="005803BE" w:rsidRPr="007142E2" w:rsidRDefault="005803BE">
      <w:pPr>
        <w:pStyle w:val="EndnoteText"/>
        <w:rPr>
          <w:rFonts w:ascii="Open Sans" w:hAnsi="Open Sans" w:cs="Open Sans"/>
        </w:rPr>
      </w:pPr>
      <w:r w:rsidRPr="007142E2">
        <w:rPr>
          <w:rStyle w:val="EndnoteReference"/>
          <w:rFonts w:ascii="Open Sans" w:hAnsi="Open Sans" w:cs="Open Sans"/>
        </w:rPr>
        <w:endnoteRef/>
      </w:r>
      <w:r w:rsidRPr="007142E2">
        <w:rPr>
          <w:rFonts w:ascii="Open Sans" w:hAnsi="Open Sans" w:cs="Open Sans"/>
        </w:rPr>
        <w:t xml:space="preserve"> </w:t>
      </w:r>
      <w:r w:rsidRPr="007142E2">
        <w:rPr>
          <w:rFonts w:ascii="Open Sans" w:hAnsi="Open Sans" w:cs="Open Sans"/>
          <w:b/>
          <w:color w:val="33006F"/>
        </w:rPr>
        <w:t xml:space="preserve">Acknowledgements: </w:t>
      </w:r>
      <w:r w:rsidRPr="007142E2">
        <w:rPr>
          <w:rFonts w:ascii="Open Sans" w:hAnsi="Open Sans" w:cs="Open Sans"/>
        </w:rPr>
        <w:t>This case was prepared by Asher Curtis</w:t>
      </w:r>
      <w:r w:rsidR="003932D1">
        <w:rPr>
          <w:rFonts w:ascii="Open Sans" w:hAnsi="Open Sans" w:cs="Open Sans"/>
        </w:rPr>
        <w:t xml:space="preserve"> and Joe Paperman</w:t>
      </w:r>
      <w:r w:rsidRPr="007142E2">
        <w:rPr>
          <w:rFonts w:ascii="Open Sans" w:hAnsi="Open Sans" w:cs="Open Sans"/>
        </w:rPr>
        <w:t xml:space="preserve"> in the Autumn of 2017.</w:t>
      </w:r>
      <w:r w:rsidR="003932D1">
        <w:rPr>
          <w:rFonts w:ascii="Open Sans" w:hAnsi="Open Sans" w:cs="Open Sans"/>
        </w:rPr>
        <w:t xml:space="preserve"> </w:t>
      </w:r>
      <w:r w:rsidR="001C60B6">
        <w:rPr>
          <w:rFonts w:ascii="Open Sans" w:hAnsi="Open Sans" w:cs="Open Sans"/>
        </w:rPr>
        <w:t xml:space="preserve">The Groupon section makes use of and extends a prior </w:t>
      </w:r>
      <w:r w:rsidR="003932D1">
        <w:rPr>
          <w:rFonts w:ascii="Open Sans" w:hAnsi="Open Sans" w:cs="Open Sans"/>
        </w:rPr>
        <w:t>of the case written by Zoe-Vonna Palmrose.</w:t>
      </w:r>
      <w:r w:rsidRPr="007142E2">
        <w:rPr>
          <w:rFonts w:ascii="Open Sans" w:hAnsi="Open Sans" w:cs="Open Sans"/>
        </w:rPr>
        <w:t xml:space="preserve"> Thanks to Andy </w:t>
      </w:r>
      <w:bookmarkStart w:id="1" w:name="_GoBack"/>
      <w:bookmarkEnd w:id="1"/>
      <w:r w:rsidRPr="007142E2">
        <w:rPr>
          <w:rFonts w:ascii="Open Sans" w:hAnsi="Open Sans" w:cs="Open Sans"/>
        </w:rPr>
        <w:t>Kitto</w:t>
      </w:r>
      <w:r w:rsidR="003932D1">
        <w:rPr>
          <w:rFonts w:ascii="Open Sans" w:hAnsi="Open Sans" w:cs="Open Sans"/>
        </w:rPr>
        <w:t xml:space="preserve"> and</w:t>
      </w:r>
      <w:r>
        <w:rPr>
          <w:rFonts w:ascii="Open Sans" w:hAnsi="Open Sans" w:cs="Open Sans"/>
        </w:rPr>
        <w:t xml:space="preserve"> Sarah McVay</w:t>
      </w:r>
      <w:r w:rsidRPr="007142E2">
        <w:rPr>
          <w:rFonts w:ascii="Open Sans" w:hAnsi="Open Sans" w:cs="Open Sans"/>
        </w:rPr>
        <w:t xml:space="preserve"> for suggestions and comments.</w:t>
      </w:r>
    </w:p>
  </w:endnote>
  <w:endnote w:id="2">
    <w:p w14:paraId="726E0AFC" w14:textId="753A9FBE" w:rsidR="005803BE" w:rsidRDefault="005803BE">
      <w:pPr>
        <w:pStyle w:val="EndnoteText"/>
      </w:pPr>
      <w:r>
        <w:rPr>
          <w:rStyle w:val="EndnoteReference"/>
        </w:rPr>
        <w:endnoteRef/>
      </w:r>
      <w:r>
        <w:t xml:space="preserve"> </w:t>
      </w:r>
      <w:r w:rsidRPr="008173F3">
        <w:rPr>
          <w:rFonts w:ascii="Open Sans" w:hAnsi="Open Sans" w:cs="Open Sans"/>
        </w:rPr>
        <w:t xml:space="preserve">Smaller filers </w:t>
      </w:r>
      <w:r>
        <w:rPr>
          <w:rFonts w:ascii="Open Sans" w:hAnsi="Open Sans" w:cs="Open Sans"/>
        </w:rPr>
        <w:t xml:space="preserve">seeking an IPO </w:t>
      </w:r>
      <w:r w:rsidRPr="008173F3">
        <w:rPr>
          <w:rFonts w:ascii="Open Sans" w:hAnsi="Open Sans" w:cs="Open Sans"/>
        </w:rPr>
        <w:t>are not required to disclose as mu</w:t>
      </w:r>
      <w:r>
        <w:rPr>
          <w:rFonts w:ascii="Open Sans" w:hAnsi="Open Sans" w:cs="Open Sans"/>
        </w:rPr>
        <w:t>ch information as larger filers. Specifically,</w:t>
      </w:r>
      <w:r w:rsidRPr="008173F3">
        <w:rPr>
          <w:rFonts w:ascii="Open Sans" w:hAnsi="Open Sans" w:cs="Open Sans"/>
        </w:rPr>
        <w:t xml:space="preserve"> the required filing, the SB-1, generally does not require as much historical disclosure of performance.</w:t>
      </w:r>
    </w:p>
  </w:endnote>
  <w:endnote w:id="3">
    <w:p w14:paraId="22B95860" w14:textId="5D772F9A" w:rsidR="005803BE" w:rsidRDefault="005803BE">
      <w:pPr>
        <w:pStyle w:val="EndnoteText"/>
      </w:pPr>
      <w:r>
        <w:rPr>
          <w:rStyle w:val="EndnoteReference"/>
        </w:rPr>
        <w:endnoteRef/>
      </w:r>
      <w:r>
        <w:t xml:space="preserve"> </w:t>
      </w:r>
      <w:r w:rsidRPr="00E24F49">
        <w:rPr>
          <w:rFonts w:ascii="Open Sans" w:hAnsi="Open Sans" w:cs="Open Sans"/>
        </w:rPr>
        <w:t xml:space="preserve">The authors of this study find that when an internal control deficiency is first announced, market value on average declines by </w:t>
      </w:r>
      <w:r>
        <w:rPr>
          <w:rFonts w:ascii="Open Sans" w:hAnsi="Open Sans" w:cs="Open Sans"/>
        </w:rPr>
        <w:t>–</w:t>
      </w:r>
      <w:r w:rsidRPr="00E24F49">
        <w:rPr>
          <w:rFonts w:ascii="Open Sans" w:hAnsi="Open Sans" w:cs="Open Sans"/>
        </w:rPr>
        <w:t>0.76%, regardless of whether it is a material weakness or a significant deficiency.</w:t>
      </w:r>
    </w:p>
  </w:endnote>
  <w:endnote w:id="4">
    <w:p w14:paraId="1EE0B417" w14:textId="7533D45A" w:rsidR="005803BE" w:rsidRDefault="005803BE">
      <w:pPr>
        <w:pStyle w:val="EndnoteText"/>
      </w:pPr>
      <w:r>
        <w:rPr>
          <w:rStyle w:val="EndnoteReference"/>
        </w:rPr>
        <w:endnoteRef/>
      </w:r>
      <w:r>
        <w:t xml:space="preserve"> </w:t>
      </w:r>
      <w:r w:rsidRPr="004E1417">
        <w:rPr>
          <w:rFonts w:ascii="Open Sans" w:hAnsi="Open Sans" w:cs="Open Sans"/>
        </w:rPr>
        <w:t>Section 302 became effective in 2002 following SOX and applies to all public companies. Section 404a became effective in 2004 but was delayed for non-accelerated filers (those with a public float, like market capitalization, of less than $75mn) until 2007. Section 404b also became effective in 2004 for accelerated filers, but was permanently exempted as part of the Dodd-Frank Act for non-accelerated filers.</w:t>
      </w:r>
      <w:r>
        <w:t xml:space="preserve"> </w:t>
      </w:r>
    </w:p>
  </w:endnote>
  <w:endnote w:id="5">
    <w:p w14:paraId="33BF5332" w14:textId="09607BFB" w:rsidR="005803BE" w:rsidRDefault="005803BE">
      <w:pPr>
        <w:pStyle w:val="EndnoteText"/>
      </w:pPr>
      <w:r>
        <w:rPr>
          <w:rStyle w:val="EndnoteReference"/>
        </w:rPr>
        <w:endnoteRef/>
      </w:r>
      <w:r>
        <w:t xml:space="preserve"> </w:t>
      </w:r>
      <w:r w:rsidRPr="00E24F49">
        <w:rPr>
          <w:rFonts w:ascii="Open Sans" w:hAnsi="Open Sans" w:cs="Open Sans"/>
        </w:rPr>
        <w:t xml:space="preserve">Further detail and discussion of the survey can be found in </w:t>
      </w:r>
      <w:r w:rsidRPr="00E24F49">
        <w:rPr>
          <w:rFonts w:ascii="Open Sans" w:hAnsi="Open Sans" w:cs="Open Sans"/>
        </w:rPr>
        <w:fldChar w:fldCharType="begin"/>
      </w:r>
      <w:r w:rsidRPr="00E24F49">
        <w:rPr>
          <w:rFonts w:ascii="Open Sans" w:hAnsi="Open Sans" w:cs="Open Sans"/>
        </w:rPr>
        <w:instrText xml:space="preserve"> ADDIN EN.CITE &lt;EndNote&gt;&lt;Cite&gt;&lt;Author&gt;Alexander&lt;/Author&gt;&lt;Year&gt;2013&lt;/Year&gt;&lt;RecNum&gt;801&lt;/RecNum&gt;&lt;DisplayText&gt;(Alexander et al. 2013)&lt;/DisplayText&gt;&lt;record&gt;&lt;rec-number&gt;801&lt;/rec-number&gt;&lt;foreign-keys&gt;&lt;key app="EN" db-id="5wddtwtdltavvheer5vvrda5pftspd2zre9e" timestamp="1506815912"&gt;801&lt;/key&gt;&lt;/foreign-keys&gt;&lt;ref-type name="Journal Article"&gt;17&lt;/ref-type&gt;&lt;contributors&gt;&lt;authors&gt;&lt;author&gt;Alexander, Cindy R.&lt;/author&gt;&lt;author&gt;Bauguess, Scott W.&lt;/author&gt;&lt;author&gt;Bernile, Gennaro&lt;/author&gt;&lt;author&gt;Lee, Yoon-Ho Alex&lt;/author&gt;&lt;author&gt;Marietta-Westberg, Jennifer&lt;/author&gt;&lt;/authors&gt;&lt;/contributors&gt;&lt;titles&gt;&lt;title&gt;Economic effects of SOX Section 404 compliance: A corporate insider perspective&lt;/title&gt;&lt;secondary-title&gt;Journal of Accounting and Economics&lt;/secondary-title&gt;&lt;/titles&gt;&lt;periodical&gt;&lt;full-title&gt;Journal of accounting and economics&lt;/full-title&gt;&lt;/periodical&gt;&lt;pages&gt;267-290&lt;/pages&gt;&lt;volume&gt;56&lt;/volume&gt;&lt;number&gt;2&lt;/number&gt;&lt;keywords&gt;&lt;keyword&gt;Corporate governance&lt;/keyword&gt;&lt;keyword&gt;Internal controls&lt;/keyword&gt;&lt;keyword&gt;Regulation&lt;/keyword&gt;&lt;keyword&gt;Sarbanes-Oxley&lt;/keyword&gt;&lt;keyword&gt;Section 404&lt;/keyword&gt;&lt;/keywords&gt;&lt;dates&gt;&lt;year&gt;2013&lt;/year&gt;&lt;pub-dates&gt;&lt;date&gt;2013/11/01/&lt;/date&gt;&lt;/pub-dates&gt;&lt;/dates&gt;&lt;isbn&gt;0165-4101&lt;/isbn&gt;&lt;urls&gt;&lt;related-urls&gt;&lt;url&gt;http://www.sciencedirect.com/science/article/pii/S0165410113000566&lt;/url&gt;&lt;/related-urls&gt;&lt;/urls&gt;&lt;electronic-resource-num&gt;https://doi.org/10.1016/j.jacceco.2013.09.002&lt;/electronic-resource-num&gt;&lt;/record&gt;&lt;/Cite&gt;&lt;/EndNote&gt;</w:instrText>
      </w:r>
      <w:r w:rsidRPr="00E24F49">
        <w:rPr>
          <w:rFonts w:ascii="Open Sans" w:hAnsi="Open Sans" w:cs="Open Sans"/>
        </w:rPr>
        <w:fldChar w:fldCharType="separate"/>
      </w:r>
      <w:r w:rsidRPr="00E24F49">
        <w:rPr>
          <w:rFonts w:ascii="Open Sans" w:hAnsi="Open Sans" w:cs="Open Sans"/>
          <w:noProof/>
        </w:rPr>
        <w:t>(Alexander et al. 2013)</w:t>
      </w:r>
      <w:r w:rsidRPr="00E24F49">
        <w:rPr>
          <w:rFonts w:ascii="Open Sans" w:hAnsi="Open Sans" w:cs="Open Sans"/>
        </w:rPr>
        <w:fldChar w:fldCharType="end"/>
      </w:r>
      <w: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embedRegular r:id="rId1" w:fontKey="{2CDD131E-7F2A-4C74-9531-65FF58966C61}"/>
    <w:embedBold r:id="rId2" w:fontKey="{A5B67B65-DDB2-4DAB-8013-64D42DA5DA42}"/>
    <w:embedItalic r:id="rId3" w:fontKey="{0923ADD1-A4A2-4329-960C-E75086EA2B27}"/>
    <w:embedBoldItalic r:id="rId4" w:fontKey="{B27BCC8C-AEAF-41B5-A48C-1141F0686CD5}"/>
  </w:font>
  <w:font w:name="Tahoma">
    <w:panose1 w:val="020B0604030504040204"/>
    <w:charset w:val="00"/>
    <w:family w:val="swiss"/>
    <w:pitch w:val="variable"/>
    <w:sig w:usb0="E1002EFF" w:usb1="C000605B" w:usb2="00000029" w:usb3="00000000" w:csb0="000101FF" w:csb1="00000000"/>
    <w:embedRegular r:id="rId5" w:fontKey="{2077DAD4-CF3D-484E-BD01-3540500EA464}"/>
  </w:font>
  <w:font w:name="Open Sans">
    <w:panose1 w:val="020B0606030504020204"/>
    <w:charset w:val="00"/>
    <w:family w:val="swiss"/>
    <w:pitch w:val="variable"/>
    <w:sig w:usb0="E00002EF" w:usb1="4000205B" w:usb2="00000028" w:usb3="00000000" w:csb0="0000019F" w:csb1="00000000"/>
    <w:embedRegular r:id="rId6" w:fontKey="{74608F87-4A42-4A58-876F-24D5D3EF031A}"/>
    <w:embedBold r:id="rId7" w:fontKey="{DC15873A-8D6D-4845-8BDB-9414489CF427}"/>
    <w:embedItalic r:id="rId8" w:fontKey="{6EEA8939-C15F-496C-92B8-F2F61FCB4393}"/>
    <w:embedBoldItalic r:id="rId9" w:fontKey="{D8D67C99-6F22-494B-8B73-B4F69F5D771E}"/>
  </w:font>
  <w:font w:name="Times">
    <w:panose1 w:val="02020603050405020304"/>
    <w:charset w:val="00"/>
    <w:family w:val="roman"/>
    <w:pitch w:val="variable"/>
    <w:sig w:usb0="E0002AFF" w:usb1="C0007841" w:usb2="00000009" w:usb3="00000000" w:csb0="000001FF" w:csb1="00000000"/>
    <w:embedRegular r:id="rId10" w:fontKey="{07FEAAC9-ED21-4378-A47A-0D7BEA92EA18}"/>
    <w:embedBold r:id="rId11" w:fontKey="{CE31995F-9EA0-4F76-9DEC-DE90390E18D4}"/>
    <w:embedBoldItalic r:id="rId12" w:fontKey="{BCE68807-D91B-4F03-ADFD-09DE872A9E18}"/>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7616235"/>
      <w:docPartObj>
        <w:docPartGallery w:val="Page Numbers (Bottom of Page)"/>
        <w:docPartUnique/>
      </w:docPartObj>
    </w:sdtPr>
    <w:sdtEndPr>
      <w:rPr>
        <w:noProof/>
      </w:rPr>
    </w:sdtEndPr>
    <w:sdtContent>
      <w:p w14:paraId="24DD92CA" w14:textId="7BC30A4D" w:rsidR="005803BE" w:rsidRDefault="005803BE">
        <w:pPr>
          <w:pStyle w:val="Footer"/>
          <w:jc w:val="right"/>
        </w:pPr>
        <w:r>
          <w:fldChar w:fldCharType="begin"/>
        </w:r>
        <w:r>
          <w:instrText xml:space="preserve"> PAGE   \* MERGEFORMAT </w:instrText>
        </w:r>
        <w:r>
          <w:fldChar w:fldCharType="separate"/>
        </w:r>
        <w:r w:rsidR="001C60B6">
          <w:rPr>
            <w:noProof/>
          </w:rPr>
          <w:t>16</w:t>
        </w:r>
        <w:r>
          <w:rPr>
            <w:noProof/>
          </w:rPr>
          <w:fldChar w:fldCharType="end"/>
        </w:r>
      </w:p>
    </w:sdtContent>
  </w:sdt>
  <w:p w14:paraId="535E16AC" w14:textId="77777777" w:rsidR="005803BE" w:rsidRDefault="00580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3294606"/>
      <w:docPartObj>
        <w:docPartGallery w:val="Page Numbers (Bottom of Page)"/>
        <w:docPartUnique/>
      </w:docPartObj>
    </w:sdtPr>
    <w:sdtEndPr>
      <w:rPr>
        <w:noProof/>
      </w:rPr>
    </w:sdtEndPr>
    <w:sdtContent>
      <w:p w14:paraId="5F500E5D" w14:textId="3235617C" w:rsidR="005803BE" w:rsidRDefault="005803BE">
        <w:pPr>
          <w:pStyle w:val="Footer"/>
          <w:jc w:val="right"/>
        </w:pPr>
        <w:r>
          <w:fldChar w:fldCharType="begin"/>
        </w:r>
        <w:r>
          <w:instrText xml:space="preserve"> PAGE   \* MERGEFORMAT </w:instrText>
        </w:r>
        <w:r>
          <w:fldChar w:fldCharType="separate"/>
        </w:r>
        <w:r w:rsidR="001C60B6">
          <w:rPr>
            <w:noProof/>
          </w:rPr>
          <w:t>2</w:t>
        </w:r>
        <w:r>
          <w:rPr>
            <w:noProof/>
          </w:rPr>
          <w:fldChar w:fldCharType="end"/>
        </w:r>
      </w:p>
    </w:sdtContent>
  </w:sdt>
  <w:p w14:paraId="1D43E8EB" w14:textId="77777777" w:rsidR="005803BE" w:rsidRDefault="005803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2F205" w14:textId="77777777" w:rsidR="005803BE" w:rsidRDefault="00580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9C8F8C" w14:textId="77777777" w:rsidR="004D778D" w:rsidRDefault="004D778D" w:rsidP="00046408">
      <w:pPr>
        <w:spacing w:line="240" w:lineRule="auto"/>
      </w:pPr>
      <w:r>
        <w:separator/>
      </w:r>
    </w:p>
  </w:footnote>
  <w:footnote w:type="continuationSeparator" w:id="0">
    <w:p w14:paraId="44415F8D" w14:textId="77777777" w:rsidR="004D778D" w:rsidRDefault="004D778D" w:rsidP="00046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2BED9" w14:textId="541919EE" w:rsidR="005803BE" w:rsidRPr="001F60E1" w:rsidRDefault="005803BE" w:rsidP="001E52E9">
    <w:pPr>
      <w:jc w:val="right"/>
      <w:rPr>
        <w:color w:val="33006F"/>
      </w:rPr>
    </w:pPr>
    <w:r>
      <w:rPr>
        <w:color w:val="33006F"/>
      </w:rPr>
      <w:t>MPAcc</w:t>
    </w:r>
    <w:r w:rsidRPr="001F60E1">
      <w:rPr>
        <w:color w:val="33006F"/>
      </w:rPr>
      <w:t xml:space="preserve"> Case</w:t>
    </w:r>
    <w:r>
      <w:rPr>
        <w:color w:val="33006F"/>
      </w:rPr>
      <w:t xml:space="preserve"> #17-02</w:t>
    </w:r>
  </w:p>
  <w:p w14:paraId="20705636" w14:textId="11393098" w:rsidR="005803BE" w:rsidRDefault="005803BE" w:rsidP="001E52E9">
    <w:pPr>
      <w:jc w:val="right"/>
      <w:rPr>
        <w:color w:val="33006F"/>
      </w:rPr>
    </w:pPr>
    <w:r>
      <w:rPr>
        <w:color w:val="33006F"/>
      </w:rPr>
      <w:t>Auditing IPOs</w:t>
    </w:r>
  </w:p>
  <w:p w14:paraId="32CD9410" w14:textId="761DA7C5" w:rsidR="005803BE" w:rsidRDefault="005803BE" w:rsidP="001E52E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5B8B9" w14:textId="618F111B" w:rsidR="005803BE" w:rsidRDefault="005803BE" w:rsidP="00793977">
    <w:pPr>
      <w:pStyle w:val="FBLogo"/>
      <w:spacing w:after="240"/>
      <w:jc w:val="left"/>
    </w:pPr>
    <w:r>
      <w:rPr>
        <w:noProof/>
      </w:rPr>
      <w:drawing>
        <wp:inline distT="0" distB="0" distL="0" distR="0" wp14:anchorId="48901A24" wp14:editId="5B47AF0B">
          <wp:extent cx="2569464" cy="914400"/>
          <wp:effectExtent l="0" t="0" r="2540" b="0"/>
          <wp:docPr id="3" name="Picture 3" descr="C:\Users\abcurtis\AppData\Local\Temp\wz884a\Foster_logo_MPAcc_UW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urtis\AppData\Local\Temp\wz884a\Foster_logo_MPAcc_UW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9464"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3C87B" w14:textId="77777777" w:rsidR="005803BE" w:rsidRDefault="005803BE" w:rsidP="006F33FC">
    <w:pPr>
      <w:pStyle w:val="FBLogo"/>
      <w:spacing w:after="120"/>
    </w:pPr>
  </w:p>
  <w:p w14:paraId="15EEFA0B" w14:textId="79E24CB8" w:rsidR="005803BE" w:rsidRPr="001F60E1" w:rsidRDefault="005803BE" w:rsidP="001F60E1">
    <w:pPr>
      <w:jc w:val="right"/>
      <w:rPr>
        <w:color w:val="33006F"/>
      </w:rPr>
    </w:pPr>
    <w:r>
      <w:rPr>
        <w:color w:val="33006F"/>
      </w:rPr>
      <w:t>Appendix to MPAcc</w:t>
    </w:r>
    <w:r w:rsidRPr="001F60E1">
      <w:rPr>
        <w:color w:val="33006F"/>
      </w:rPr>
      <w:t xml:space="preserve"> Case</w:t>
    </w:r>
    <w:r>
      <w:rPr>
        <w:color w:val="33006F"/>
      </w:rPr>
      <w:t xml:space="preserve"> #17-02</w:t>
    </w:r>
  </w:p>
  <w:p w14:paraId="0BFB2615" w14:textId="46BCF701" w:rsidR="005803BE" w:rsidRDefault="005803BE" w:rsidP="001F60E1">
    <w:pPr>
      <w:jc w:val="right"/>
      <w:rPr>
        <w:color w:val="33006F"/>
      </w:rPr>
    </w:pPr>
    <w:r>
      <w:rPr>
        <w:color w:val="33006F"/>
      </w:rPr>
      <w:t>Going IPO</w:t>
    </w:r>
  </w:p>
  <w:p w14:paraId="3CF09BF1" w14:textId="77777777" w:rsidR="005803BE" w:rsidRPr="001F60E1" w:rsidRDefault="005803BE" w:rsidP="001F60E1">
    <w:pPr>
      <w:jc w:val="right"/>
      <w:rPr>
        <w:color w:val="33006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38BF1" w14:textId="77777777" w:rsidR="005803BE" w:rsidRPr="001F60E1" w:rsidRDefault="005803BE" w:rsidP="000B4980">
    <w:pPr>
      <w:jc w:val="right"/>
      <w:rPr>
        <w:color w:val="33006F"/>
      </w:rPr>
    </w:pPr>
    <w:r>
      <w:rPr>
        <w:color w:val="33006F"/>
      </w:rPr>
      <w:t>Questions to Accompany MPAcc</w:t>
    </w:r>
    <w:r w:rsidRPr="001F60E1">
      <w:rPr>
        <w:color w:val="33006F"/>
      </w:rPr>
      <w:t xml:space="preserve"> Case</w:t>
    </w:r>
    <w:r>
      <w:rPr>
        <w:color w:val="33006F"/>
      </w:rPr>
      <w:t xml:space="preserve"> #17-01</w:t>
    </w:r>
  </w:p>
  <w:p w14:paraId="590C72DE" w14:textId="77777777" w:rsidR="005803BE" w:rsidRDefault="005803BE" w:rsidP="000B4980">
    <w:pPr>
      <w:jc w:val="right"/>
      <w:rPr>
        <w:color w:val="33006F"/>
      </w:rPr>
    </w:pPr>
    <w:r>
      <w:rPr>
        <w:color w:val="33006F"/>
      </w:rPr>
      <w:t>Economics of Audit</w:t>
    </w:r>
  </w:p>
  <w:p w14:paraId="4D9F9214" w14:textId="77777777" w:rsidR="005803BE" w:rsidRPr="000B4980" w:rsidRDefault="005803BE" w:rsidP="000B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C01BC"/>
    <w:multiLevelType w:val="hybridMultilevel"/>
    <w:tmpl w:val="741CD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84A9C"/>
    <w:multiLevelType w:val="hybridMultilevel"/>
    <w:tmpl w:val="C89EE8A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8510F64"/>
    <w:multiLevelType w:val="hybridMultilevel"/>
    <w:tmpl w:val="4CBA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380E42"/>
    <w:multiLevelType w:val="hybridMultilevel"/>
    <w:tmpl w:val="544C5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A3000"/>
    <w:multiLevelType w:val="hybridMultilevel"/>
    <w:tmpl w:val="53B6D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D563D"/>
    <w:multiLevelType w:val="hybridMultilevel"/>
    <w:tmpl w:val="455C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BB05D2"/>
    <w:multiLevelType w:val="hybridMultilevel"/>
    <w:tmpl w:val="DCEE1960"/>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78060D"/>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91951"/>
    <w:multiLevelType w:val="hybridMultilevel"/>
    <w:tmpl w:val="9ADA1C86"/>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 w15:restartNumberingAfterBreak="0">
    <w:nsid w:val="43123CC4"/>
    <w:multiLevelType w:val="hybridMultilevel"/>
    <w:tmpl w:val="BC8A71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C747B1"/>
    <w:multiLevelType w:val="hybridMultilevel"/>
    <w:tmpl w:val="2AF8E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937B33"/>
    <w:multiLevelType w:val="hybridMultilevel"/>
    <w:tmpl w:val="85720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62FA1"/>
    <w:multiLevelType w:val="hybridMultilevel"/>
    <w:tmpl w:val="DC6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0206AF"/>
    <w:multiLevelType w:val="hybridMultilevel"/>
    <w:tmpl w:val="4EE0801A"/>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F51DC0"/>
    <w:multiLevelType w:val="hybridMultilevel"/>
    <w:tmpl w:val="7BE21EA0"/>
    <w:lvl w:ilvl="0" w:tplc="22F8ED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911E3B"/>
    <w:multiLevelType w:val="hybridMultilevel"/>
    <w:tmpl w:val="CA42B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1538AB"/>
    <w:multiLevelType w:val="hybridMultilevel"/>
    <w:tmpl w:val="B0EA8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E0602"/>
    <w:multiLevelType w:val="hybridMultilevel"/>
    <w:tmpl w:val="5AA0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20"/>
  </w:num>
  <w:num w:numId="3">
    <w:abstractNumId w:val="11"/>
  </w:num>
  <w:num w:numId="4">
    <w:abstractNumId w:val="16"/>
  </w:num>
  <w:num w:numId="5">
    <w:abstractNumId w:val="24"/>
  </w:num>
  <w:num w:numId="6">
    <w:abstractNumId w:val="12"/>
  </w:num>
  <w:num w:numId="7">
    <w:abstractNumId w:val="14"/>
  </w:num>
  <w:num w:numId="8">
    <w:abstractNumId w:val="3"/>
  </w:num>
  <w:num w:numId="9">
    <w:abstractNumId w:val="19"/>
  </w:num>
  <w:num w:numId="10">
    <w:abstractNumId w:val="18"/>
  </w:num>
  <w:num w:numId="11">
    <w:abstractNumId w:val="21"/>
  </w:num>
  <w:num w:numId="12">
    <w:abstractNumId w:val="2"/>
  </w:num>
  <w:num w:numId="13">
    <w:abstractNumId w:val="23"/>
  </w:num>
  <w:num w:numId="14">
    <w:abstractNumId w:val="9"/>
  </w:num>
  <w:num w:numId="15">
    <w:abstractNumId w:val="7"/>
  </w:num>
  <w:num w:numId="16">
    <w:abstractNumId w:val="1"/>
  </w:num>
  <w:num w:numId="17">
    <w:abstractNumId w:val="17"/>
  </w:num>
  <w:num w:numId="18">
    <w:abstractNumId w:val="0"/>
  </w:num>
  <w:num w:numId="19">
    <w:abstractNumId w:val="15"/>
  </w:num>
  <w:num w:numId="20">
    <w:abstractNumId w:val="10"/>
  </w:num>
  <w:num w:numId="21">
    <w:abstractNumId w:val="8"/>
  </w:num>
  <w:num w:numId="22">
    <w:abstractNumId w:val="13"/>
  </w:num>
  <w:num w:numId="23">
    <w:abstractNumId w:val="6"/>
  </w:num>
  <w:num w:numId="24">
    <w:abstractNumId w:val="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360&lt;/item&gt;&lt;item&gt;800&lt;/item&gt;&lt;item&gt;801&lt;/item&gt;&lt;item&gt;802&lt;/item&gt;&lt;item&gt;803&lt;/item&gt;&lt;item&gt;804&lt;/item&gt;&lt;/record-ids&gt;&lt;/item&gt;&lt;/Libraries&gt;"/>
  </w:docVars>
  <w:rsids>
    <w:rsidRoot w:val="00875B0E"/>
    <w:rsid w:val="00006A5D"/>
    <w:rsid w:val="00006CC9"/>
    <w:rsid w:val="000203A6"/>
    <w:rsid w:val="000238EF"/>
    <w:rsid w:val="00025E80"/>
    <w:rsid w:val="000268AA"/>
    <w:rsid w:val="00034606"/>
    <w:rsid w:val="00035D8A"/>
    <w:rsid w:val="0004527D"/>
    <w:rsid w:val="00046408"/>
    <w:rsid w:val="00051203"/>
    <w:rsid w:val="000515EB"/>
    <w:rsid w:val="00085F5F"/>
    <w:rsid w:val="000A288E"/>
    <w:rsid w:val="000A34F1"/>
    <w:rsid w:val="000B4980"/>
    <w:rsid w:val="000B57C4"/>
    <w:rsid w:val="000C7BC8"/>
    <w:rsid w:val="000E2EAB"/>
    <w:rsid w:val="000E4A06"/>
    <w:rsid w:val="000E6B4B"/>
    <w:rsid w:val="000F0B98"/>
    <w:rsid w:val="000F1BCA"/>
    <w:rsid w:val="000F3F77"/>
    <w:rsid w:val="00102341"/>
    <w:rsid w:val="00111300"/>
    <w:rsid w:val="001128E6"/>
    <w:rsid w:val="001205ED"/>
    <w:rsid w:val="001251A8"/>
    <w:rsid w:val="001414A1"/>
    <w:rsid w:val="00141981"/>
    <w:rsid w:val="00142F8B"/>
    <w:rsid w:val="0015134A"/>
    <w:rsid w:val="00151847"/>
    <w:rsid w:val="00153F15"/>
    <w:rsid w:val="0015600E"/>
    <w:rsid w:val="00171D04"/>
    <w:rsid w:val="0017534F"/>
    <w:rsid w:val="00176AA8"/>
    <w:rsid w:val="00177FDE"/>
    <w:rsid w:val="00180E94"/>
    <w:rsid w:val="00182B43"/>
    <w:rsid w:val="0019347E"/>
    <w:rsid w:val="001A6E2C"/>
    <w:rsid w:val="001B6291"/>
    <w:rsid w:val="001C364B"/>
    <w:rsid w:val="001C4DEA"/>
    <w:rsid w:val="001C60B6"/>
    <w:rsid w:val="001E415E"/>
    <w:rsid w:val="001E52E9"/>
    <w:rsid w:val="001E63CB"/>
    <w:rsid w:val="001E72E7"/>
    <w:rsid w:val="001E7F69"/>
    <w:rsid w:val="001F5FB0"/>
    <w:rsid w:val="001F60E1"/>
    <w:rsid w:val="001F6130"/>
    <w:rsid w:val="00201681"/>
    <w:rsid w:val="00202439"/>
    <w:rsid w:val="00215292"/>
    <w:rsid w:val="00225F8D"/>
    <w:rsid w:val="00226EDA"/>
    <w:rsid w:val="002338BC"/>
    <w:rsid w:val="00234F29"/>
    <w:rsid w:val="00242057"/>
    <w:rsid w:val="002615A5"/>
    <w:rsid w:val="002706F3"/>
    <w:rsid w:val="00276C9E"/>
    <w:rsid w:val="002773AB"/>
    <w:rsid w:val="0029346F"/>
    <w:rsid w:val="00293B76"/>
    <w:rsid w:val="002A0187"/>
    <w:rsid w:val="002A23D0"/>
    <w:rsid w:val="002B3287"/>
    <w:rsid w:val="002B46F5"/>
    <w:rsid w:val="002B49E8"/>
    <w:rsid w:val="002C0059"/>
    <w:rsid w:val="002C22C5"/>
    <w:rsid w:val="002C4022"/>
    <w:rsid w:val="002C5B76"/>
    <w:rsid w:val="002C739C"/>
    <w:rsid w:val="002D0931"/>
    <w:rsid w:val="002D169F"/>
    <w:rsid w:val="002D7825"/>
    <w:rsid w:val="002E4AEB"/>
    <w:rsid w:val="002E4AF3"/>
    <w:rsid w:val="002E5097"/>
    <w:rsid w:val="002F07E0"/>
    <w:rsid w:val="002F0819"/>
    <w:rsid w:val="002F6B23"/>
    <w:rsid w:val="00301C68"/>
    <w:rsid w:val="00313936"/>
    <w:rsid w:val="0031436D"/>
    <w:rsid w:val="00327D1D"/>
    <w:rsid w:val="00333770"/>
    <w:rsid w:val="003349B1"/>
    <w:rsid w:val="003406C3"/>
    <w:rsid w:val="00343722"/>
    <w:rsid w:val="00352D83"/>
    <w:rsid w:val="0035481B"/>
    <w:rsid w:val="00356226"/>
    <w:rsid w:val="00362597"/>
    <w:rsid w:val="00387655"/>
    <w:rsid w:val="003931FB"/>
    <w:rsid w:val="003932D1"/>
    <w:rsid w:val="00397077"/>
    <w:rsid w:val="003A2565"/>
    <w:rsid w:val="003A7F49"/>
    <w:rsid w:val="003B13BF"/>
    <w:rsid w:val="003B27F0"/>
    <w:rsid w:val="003C20A0"/>
    <w:rsid w:val="003C4831"/>
    <w:rsid w:val="003C55E8"/>
    <w:rsid w:val="003C6A3D"/>
    <w:rsid w:val="003D11EC"/>
    <w:rsid w:val="003E249A"/>
    <w:rsid w:val="003E2B1F"/>
    <w:rsid w:val="003E3360"/>
    <w:rsid w:val="003F45E7"/>
    <w:rsid w:val="00401D34"/>
    <w:rsid w:val="004033F1"/>
    <w:rsid w:val="00403795"/>
    <w:rsid w:val="0041279F"/>
    <w:rsid w:val="00414FE0"/>
    <w:rsid w:val="00432CA9"/>
    <w:rsid w:val="00437BBD"/>
    <w:rsid w:val="004411A7"/>
    <w:rsid w:val="00447B3A"/>
    <w:rsid w:val="0045154C"/>
    <w:rsid w:val="0045172A"/>
    <w:rsid w:val="00451C41"/>
    <w:rsid w:val="00460182"/>
    <w:rsid w:val="00467906"/>
    <w:rsid w:val="00471475"/>
    <w:rsid w:val="00476A32"/>
    <w:rsid w:val="004821F0"/>
    <w:rsid w:val="00483577"/>
    <w:rsid w:val="00490017"/>
    <w:rsid w:val="0049127D"/>
    <w:rsid w:val="0049264F"/>
    <w:rsid w:val="00494E2E"/>
    <w:rsid w:val="004A113F"/>
    <w:rsid w:val="004A41B3"/>
    <w:rsid w:val="004B0EDE"/>
    <w:rsid w:val="004B383F"/>
    <w:rsid w:val="004B6359"/>
    <w:rsid w:val="004C2157"/>
    <w:rsid w:val="004C2760"/>
    <w:rsid w:val="004C5DF5"/>
    <w:rsid w:val="004D778D"/>
    <w:rsid w:val="004E1417"/>
    <w:rsid w:val="004E3885"/>
    <w:rsid w:val="004E4ED7"/>
    <w:rsid w:val="00506E48"/>
    <w:rsid w:val="00512B97"/>
    <w:rsid w:val="00515696"/>
    <w:rsid w:val="005200F8"/>
    <w:rsid w:val="00521637"/>
    <w:rsid w:val="00523739"/>
    <w:rsid w:val="00541305"/>
    <w:rsid w:val="0054441D"/>
    <w:rsid w:val="005554EF"/>
    <w:rsid w:val="0056130B"/>
    <w:rsid w:val="005803BE"/>
    <w:rsid w:val="00580914"/>
    <w:rsid w:val="00585026"/>
    <w:rsid w:val="00590694"/>
    <w:rsid w:val="00591A3E"/>
    <w:rsid w:val="00593D8D"/>
    <w:rsid w:val="005951C3"/>
    <w:rsid w:val="0059520A"/>
    <w:rsid w:val="00596031"/>
    <w:rsid w:val="005A3ADC"/>
    <w:rsid w:val="005A51E4"/>
    <w:rsid w:val="005B5BC8"/>
    <w:rsid w:val="005B6994"/>
    <w:rsid w:val="005C3ADF"/>
    <w:rsid w:val="005C4FA7"/>
    <w:rsid w:val="005D016B"/>
    <w:rsid w:val="005D6038"/>
    <w:rsid w:val="005E3F6B"/>
    <w:rsid w:val="005F16DF"/>
    <w:rsid w:val="005F4B04"/>
    <w:rsid w:val="0060351C"/>
    <w:rsid w:val="00603E0A"/>
    <w:rsid w:val="00603EAE"/>
    <w:rsid w:val="00612054"/>
    <w:rsid w:val="006147F7"/>
    <w:rsid w:val="006178ED"/>
    <w:rsid w:val="00623BB3"/>
    <w:rsid w:val="00627AC1"/>
    <w:rsid w:val="00631F82"/>
    <w:rsid w:val="006402C3"/>
    <w:rsid w:val="00645D77"/>
    <w:rsid w:val="00646963"/>
    <w:rsid w:val="00651992"/>
    <w:rsid w:val="00651BE4"/>
    <w:rsid w:val="00665BD7"/>
    <w:rsid w:val="00671175"/>
    <w:rsid w:val="0067212A"/>
    <w:rsid w:val="00684559"/>
    <w:rsid w:val="00690479"/>
    <w:rsid w:val="00690A52"/>
    <w:rsid w:val="006A2C64"/>
    <w:rsid w:val="006A6392"/>
    <w:rsid w:val="006C05B6"/>
    <w:rsid w:val="006C4107"/>
    <w:rsid w:val="006C7699"/>
    <w:rsid w:val="006D1538"/>
    <w:rsid w:val="006D5D5E"/>
    <w:rsid w:val="006F1087"/>
    <w:rsid w:val="006F33FC"/>
    <w:rsid w:val="006F5E79"/>
    <w:rsid w:val="006F5EB4"/>
    <w:rsid w:val="00705483"/>
    <w:rsid w:val="007142E2"/>
    <w:rsid w:val="00730FF5"/>
    <w:rsid w:val="00732C96"/>
    <w:rsid w:val="00743D54"/>
    <w:rsid w:val="00744929"/>
    <w:rsid w:val="007469F5"/>
    <w:rsid w:val="00757DE3"/>
    <w:rsid w:val="00762A53"/>
    <w:rsid w:val="00763459"/>
    <w:rsid w:val="00763893"/>
    <w:rsid w:val="00777141"/>
    <w:rsid w:val="007812AA"/>
    <w:rsid w:val="007869DF"/>
    <w:rsid w:val="00793977"/>
    <w:rsid w:val="007979E7"/>
    <w:rsid w:val="007A2C63"/>
    <w:rsid w:val="007A3C10"/>
    <w:rsid w:val="007A67FB"/>
    <w:rsid w:val="007B5561"/>
    <w:rsid w:val="007C0593"/>
    <w:rsid w:val="007C3508"/>
    <w:rsid w:val="007E32E0"/>
    <w:rsid w:val="007F2673"/>
    <w:rsid w:val="007F2A9D"/>
    <w:rsid w:val="007F66D6"/>
    <w:rsid w:val="00801D24"/>
    <w:rsid w:val="00806081"/>
    <w:rsid w:val="00811A19"/>
    <w:rsid w:val="00816DFB"/>
    <w:rsid w:val="008173F3"/>
    <w:rsid w:val="00821B37"/>
    <w:rsid w:val="0082628A"/>
    <w:rsid w:val="0082791F"/>
    <w:rsid w:val="0083304B"/>
    <w:rsid w:val="0084110C"/>
    <w:rsid w:val="0084466D"/>
    <w:rsid w:val="00854821"/>
    <w:rsid w:val="00856F12"/>
    <w:rsid w:val="00866991"/>
    <w:rsid w:val="00875B0E"/>
    <w:rsid w:val="008776E4"/>
    <w:rsid w:val="008837FE"/>
    <w:rsid w:val="008900CB"/>
    <w:rsid w:val="00891DA7"/>
    <w:rsid w:val="008A506C"/>
    <w:rsid w:val="008A63B4"/>
    <w:rsid w:val="008A64D1"/>
    <w:rsid w:val="008A6B34"/>
    <w:rsid w:val="008A6B64"/>
    <w:rsid w:val="008B4B0E"/>
    <w:rsid w:val="008B71AC"/>
    <w:rsid w:val="008D0581"/>
    <w:rsid w:val="008D7A37"/>
    <w:rsid w:val="008E1418"/>
    <w:rsid w:val="008E5B1D"/>
    <w:rsid w:val="008F0755"/>
    <w:rsid w:val="008F4781"/>
    <w:rsid w:val="008F6B05"/>
    <w:rsid w:val="008F7309"/>
    <w:rsid w:val="009121DA"/>
    <w:rsid w:val="009131A6"/>
    <w:rsid w:val="00914E4C"/>
    <w:rsid w:val="00920902"/>
    <w:rsid w:val="00924FAA"/>
    <w:rsid w:val="009352ED"/>
    <w:rsid w:val="00942D09"/>
    <w:rsid w:val="00950258"/>
    <w:rsid w:val="00954123"/>
    <w:rsid w:val="009618EE"/>
    <w:rsid w:val="00964CD5"/>
    <w:rsid w:val="00965A88"/>
    <w:rsid w:val="00974D75"/>
    <w:rsid w:val="00976020"/>
    <w:rsid w:val="009849FA"/>
    <w:rsid w:val="00985D5E"/>
    <w:rsid w:val="00987CB7"/>
    <w:rsid w:val="00993A4F"/>
    <w:rsid w:val="00995ED2"/>
    <w:rsid w:val="009B036D"/>
    <w:rsid w:val="009B2FF7"/>
    <w:rsid w:val="009B660D"/>
    <w:rsid w:val="009C31A7"/>
    <w:rsid w:val="009C3C7E"/>
    <w:rsid w:val="009C40AB"/>
    <w:rsid w:val="009D4F0B"/>
    <w:rsid w:val="009E2740"/>
    <w:rsid w:val="009E79E2"/>
    <w:rsid w:val="009F1065"/>
    <w:rsid w:val="009F2527"/>
    <w:rsid w:val="009F3F51"/>
    <w:rsid w:val="00A005C5"/>
    <w:rsid w:val="00A0264A"/>
    <w:rsid w:val="00A055B2"/>
    <w:rsid w:val="00A06C5F"/>
    <w:rsid w:val="00A0723C"/>
    <w:rsid w:val="00A07B30"/>
    <w:rsid w:val="00A17C6A"/>
    <w:rsid w:val="00A210E7"/>
    <w:rsid w:val="00A227D0"/>
    <w:rsid w:val="00A26258"/>
    <w:rsid w:val="00A373DE"/>
    <w:rsid w:val="00A4093B"/>
    <w:rsid w:val="00A53159"/>
    <w:rsid w:val="00A613C7"/>
    <w:rsid w:val="00A64B96"/>
    <w:rsid w:val="00A7063A"/>
    <w:rsid w:val="00A70D39"/>
    <w:rsid w:val="00A746C7"/>
    <w:rsid w:val="00A87312"/>
    <w:rsid w:val="00A92BAA"/>
    <w:rsid w:val="00AA331E"/>
    <w:rsid w:val="00AB170C"/>
    <w:rsid w:val="00AB4FB5"/>
    <w:rsid w:val="00AC0EAB"/>
    <w:rsid w:val="00AC1A3E"/>
    <w:rsid w:val="00AC33F6"/>
    <w:rsid w:val="00AC3C20"/>
    <w:rsid w:val="00AC482F"/>
    <w:rsid w:val="00AD24E3"/>
    <w:rsid w:val="00AD3607"/>
    <w:rsid w:val="00AD5168"/>
    <w:rsid w:val="00AD5579"/>
    <w:rsid w:val="00AE1226"/>
    <w:rsid w:val="00AE45C3"/>
    <w:rsid w:val="00AE4AA3"/>
    <w:rsid w:val="00AE7A3A"/>
    <w:rsid w:val="00AF7D76"/>
    <w:rsid w:val="00B06204"/>
    <w:rsid w:val="00B075F4"/>
    <w:rsid w:val="00B11B2F"/>
    <w:rsid w:val="00B236ED"/>
    <w:rsid w:val="00B32215"/>
    <w:rsid w:val="00B429C5"/>
    <w:rsid w:val="00B42F15"/>
    <w:rsid w:val="00B44620"/>
    <w:rsid w:val="00B47809"/>
    <w:rsid w:val="00B47E78"/>
    <w:rsid w:val="00B53CA2"/>
    <w:rsid w:val="00B56B47"/>
    <w:rsid w:val="00B6098D"/>
    <w:rsid w:val="00B63AF1"/>
    <w:rsid w:val="00B63E84"/>
    <w:rsid w:val="00B71FC0"/>
    <w:rsid w:val="00B85757"/>
    <w:rsid w:val="00B9298F"/>
    <w:rsid w:val="00B964E8"/>
    <w:rsid w:val="00BA0419"/>
    <w:rsid w:val="00BA2428"/>
    <w:rsid w:val="00BA3629"/>
    <w:rsid w:val="00BA4CE4"/>
    <w:rsid w:val="00BA7107"/>
    <w:rsid w:val="00BB0DFD"/>
    <w:rsid w:val="00BB1C07"/>
    <w:rsid w:val="00BB57D0"/>
    <w:rsid w:val="00BC2B5F"/>
    <w:rsid w:val="00BC5C98"/>
    <w:rsid w:val="00BD1946"/>
    <w:rsid w:val="00BD360A"/>
    <w:rsid w:val="00BE010E"/>
    <w:rsid w:val="00BE4E64"/>
    <w:rsid w:val="00BF12E2"/>
    <w:rsid w:val="00BF2C70"/>
    <w:rsid w:val="00BF52E2"/>
    <w:rsid w:val="00BF7070"/>
    <w:rsid w:val="00C043C1"/>
    <w:rsid w:val="00C05D0E"/>
    <w:rsid w:val="00C207B5"/>
    <w:rsid w:val="00C2159E"/>
    <w:rsid w:val="00C26EF4"/>
    <w:rsid w:val="00C326FE"/>
    <w:rsid w:val="00C403B4"/>
    <w:rsid w:val="00C4429F"/>
    <w:rsid w:val="00C461D9"/>
    <w:rsid w:val="00C5464E"/>
    <w:rsid w:val="00C61655"/>
    <w:rsid w:val="00C621F9"/>
    <w:rsid w:val="00C679FA"/>
    <w:rsid w:val="00C71FDA"/>
    <w:rsid w:val="00C74BEF"/>
    <w:rsid w:val="00C779A2"/>
    <w:rsid w:val="00C81E09"/>
    <w:rsid w:val="00C82B3D"/>
    <w:rsid w:val="00C83E72"/>
    <w:rsid w:val="00C8775E"/>
    <w:rsid w:val="00C919B3"/>
    <w:rsid w:val="00CA0EF2"/>
    <w:rsid w:val="00CA1247"/>
    <w:rsid w:val="00CA69B0"/>
    <w:rsid w:val="00CA69D4"/>
    <w:rsid w:val="00CB2E75"/>
    <w:rsid w:val="00CB3716"/>
    <w:rsid w:val="00CC050B"/>
    <w:rsid w:val="00CC3775"/>
    <w:rsid w:val="00CD207C"/>
    <w:rsid w:val="00CD4155"/>
    <w:rsid w:val="00CE1443"/>
    <w:rsid w:val="00CE65E9"/>
    <w:rsid w:val="00CF5D18"/>
    <w:rsid w:val="00CF6231"/>
    <w:rsid w:val="00CF7927"/>
    <w:rsid w:val="00D11308"/>
    <w:rsid w:val="00D144ED"/>
    <w:rsid w:val="00D21539"/>
    <w:rsid w:val="00D32B81"/>
    <w:rsid w:val="00D35FC3"/>
    <w:rsid w:val="00D37EB6"/>
    <w:rsid w:val="00D43E33"/>
    <w:rsid w:val="00D446A5"/>
    <w:rsid w:val="00D46DBF"/>
    <w:rsid w:val="00D50BF5"/>
    <w:rsid w:val="00D61D58"/>
    <w:rsid w:val="00D63EE6"/>
    <w:rsid w:val="00D6575E"/>
    <w:rsid w:val="00D66141"/>
    <w:rsid w:val="00D66505"/>
    <w:rsid w:val="00D7236E"/>
    <w:rsid w:val="00D72A07"/>
    <w:rsid w:val="00D74FE2"/>
    <w:rsid w:val="00D84216"/>
    <w:rsid w:val="00D85435"/>
    <w:rsid w:val="00DA6AF5"/>
    <w:rsid w:val="00DB22DA"/>
    <w:rsid w:val="00DB3B75"/>
    <w:rsid w:val="00DC2A59"/>
    <w:rsid w:val="00DD2170"/>
    <w:rsid w:val="00DD38C0"/>
    <w:rsid w:val="00DD3934"/>
    <w:rsid w:val="00DE244B"/>
    <w:rsid w:val="00DE2462"/>
    <w:rsid w:val="00DE4882"/>
    <w:rsid w:val="00DE6093"/>
    <w:rsid w:val="00DF0B95"/>
    <w:rsid w:val="00DF46DB"/>
    <w:rsid w:val="00E00138"/>
    <w:rsid w:val="00E05761"/>
    <w:rsid w:val="00E111C4"/>
    <w:rsid w:val="00E16826"/>
    <w:rsid w:val="00E17992"/>
    <w:rsid w:val="00E2356E"/>
    <w:rsid w:val="00E24F49"/>
    <w:rsid w:val="00E37D3E"/>
    <w:rsid w:val="00E423D7"/>
    <w:rsid w:val="00E56061"/>
    <w:rsid w:val="00E61DE3"/>
    <w:rsid w:val="00E7310E"/>
    <w:rsid w:val="00E73551"/>
    <w:rsid w:val="00E7753F"/>
    <w:rsid w:val="00E814BB"/>
    <w:rsid w:val="00E83F60"/>
    <w:rsid w:val="00E95557"/>
    <w:rsid w:val="00E96229"/>
    <w:rsid w:val="00E97DE1"/>
    <w:rsid w:val="00EA3205"/>
    <w:rsid w:val="00EA387E"/>
    <w:rsid w:val="00EA427F"/>
    <w:rsid w:val="00EB02F2"/>
    <w:rsid w:val="00EB08E9"/>
    <w:rsid w:val="00EB5750"/>
    <w:rsid w:val="00EC0614"/>
    <w:rsid w:val="00EC3088"/>
    <w:rsid w:val="00EC4EFA"/>
    <w:rsid w:val="00ED4E5F"/>
    <w:rsid w:val="00EE5469"/>
    <w:rsid w:val="00EF0787"/>
    <w:rsid w:val="00EF717F"/>
    <w:rsid w:val="00F0136F"/>
    <w:rsid w:val="00F02376"/>
    <w:rsid w:val="00F11AA7"/>
    <w:rsid w:val="00F12B3A"/>
    <w:rsid w:val="00F23B20"/>
    <w:rsid w:val="00F2584C"/>
    <w:rsid w:val="00F4108E"/>
    <w:rsid w:val="00F529D0"/>
    <w:rsid w:val="00F5744C"/>
    <w:rsid w:val="00F60916"/>
    <w:rsid w:val="00F641A0"/>
    <w:rsid w:val="00F66580"/>
    <w:rsid w:val="00F73E77"/>
    <w:rsid w:val="00F75040"/>
    <w:rsid w:val="00F82B87"/>
    <w:rsid w:val="00F848BF"/>
    <w:rsid w:val="00F864BD"/>
    <w:rsid w:val="00F869F5"/>
    <w:rsid w:val="00F8742C"/>
    <w:rsid w:val="00F9634C"/>
    <w:rsid w:val="00FA34D9"/>
    <w:rsid w:val="00FA6FF8"/>
    <w:rsid w:val="00FA75DF"/>
    <w:rsid w:val="00FB0DDC"/>
    <w:rsid w:val="00FC37FF"/>
    <w:rsid w:val="00FC7D96"/>
    <w:rsid w:val="00FD58ED"/>
    <w:rsid w:val="00FE4D48"/>
    <w:rsid w:val="00FE791F"/>
    <w:rsid w:val="00FF2E04"/>
    <w:rsid w:val="00FF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30F856"/>
  <w15:docId w15:val="{DEA4F4BB-B399-4B52-8C04-2F9AE1D66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170C"/>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84110C"/>
    <w:rPr>
      <w:sz w:val="16"/>
      <w:szCs w:val="16"/>
    </w:rPr>
  </w:style>
  <w:style w:type="paragraph" w:styleId="CommentText">
    <w:name w:val="annotation text"/>
    <w:basedOn w:val="Normal"/>
    <w:link w:val="CommentTextChar"/>
    <w:uiPriority w:val="99"/>
    <w:semiHidden/>
    <w:unhideWhenUsed/>
    <w:rsid w:val="0084110C"/>
    <w:pPr>
      <w:spacing w:line="240" w:lineRule="auto"/>
    </w:pPr>
    <w:rPr>
      <w:sz w:val="20"/>
      <w:szCs w:val="20"/>
    </w:rPr>
  </w:style>
  <w:style w:type="character" w:customStyle="1" w:styleId="CommentTextChar">
    <w:name w:val="Comment Text Char"/>
    <w:basedOn w:val="DefaultParagraphFont"/>
    <w:link w:val="CommentText"/>
    <w:uiPriority w:val="99"/>
    <w:semiHidden/>
    <w:rsid w:val="0084110C"/>
    <w:rPr>
      <w:sz w:val="20"/>
      <w:szCs w:val="20"/>
    </w:rPr>
  </w:style>
  <w:style w:type="paragraph" w:styleId="CommentSubject">
    <w:name w:val="annotation subject"/>
    <w:basedOn w:val="CommentText"/>
    <w:next w:val="CommentText"/>
    <w:link w:val="CommentSubjectChar"/>
    <w:uiPriority w:val="99"/>
    <w:semiHidden/>
    <w:unhideWhenUsed/>
    <w:rsid w:val="0084110C"/>
    <w:rPr>
      <w:b/>
      <w:bCs/>
    </w:rPr>
  </w:style>
  <w:style w:type="character" w:customStyle="1" w:styleId="CommentSubjectChar">
    <w:name w:val="Comment Subject Char"/>
    <w:basedOn w:val="CommentTextChar"/>
    <w:link w:val="CommentSubject"/>
    <w:uiPriority w:val="99"/>
    <w:semiHidden/>
    <w:rsid w:val="0084110C"/>
    <w:rPr>
      <w:b/>
      <w:bCs/>
      <w:sz w:val="20"/>
      <w:szCs w:val="20"/>
    </w:rPr>
  </w:style>
  <w:style w:type="table" w:customStyle="1" w:styleId="TableGrid2">
    <w:name w:val="Table Grid2"/>
    <w:basedOn w:val="TableNormal"/>
    <w:next w:val="TableGrid"/>
    <w:uiPriority w:val="59"/>
    <w:rsid w:val="00CA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86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4093B"/>
    <w:rPr>
      <w:color w:val="954F72" w:themeColor="followedHyperlink"/>
      <w:u w:val="single"/>
    </w:rPr>
  </w:style>
  <w:style w:type="table" w:customStyle="1" w:styleId="TableGrid21">
    <w:name w:val="Table Grid21"/>
    <w:basedOn w:val="TableNormal"/>
    <w:next w:val="TableGrid"/>
    <w:uiPriority w:val="59"/>
    <w:rsid w:val="006C7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4980"/>
    <w:rPr>
      <w:color w:val="808080"/>
      <w:shd w:val="clear" w:color="auto" w:fill="E6E6E6"/>
    </w:rPr>
  </w:style>
  <w:style w:type="paragraph" w:styleId="EndnoteText">
    <w:name w:val="endnote text"/>
    <w:basedOn w:val="Normal"/>
    <w:link w:val="EndnoteTextChar"/>
    <w:uiPriority w:val="99"/>
    <w:semiHidden/>
    <w:unhideWhenUsed/>
    <w:rsid w:val="0015600E"/>
    <w:pPr>
      <w:spacing w:line="240" w:lineRule="auto"/>
    </w:pPr>
    <w:rPr>
      <w:sz w:val="20"/>
      <w:szCs w:val="20"/>
    </w:rPr>
  </w:style>
  <w:style w:type="character" w:customStyle="1" w:styleId="EndnoteTextChar">
    <w:name w:val="Endnote Text Char"/>
    <w:basedOn w:val="DefaultParagraphFont"/>
    <w:link w:val="EndnoteText"/>
    <w:uiPriority w:val="99"/>
    <w:semiHidden/>
    <w:rsid w:val="0015600E"/>
    <w:rPr>
      <w:sz w:val="20"/>
      <w:szCs w:val="20"/>
    </w:rPr>
  </w:style>
  <w:style w:type="character" w:styleId="EndnoteReference">
    <w:name w:val="endnote reference"/>
    <w:basedOn w:val="DefaultParagraphFont"/>
    <w:uiPriority w:val="99"/>
    <w:semiHidden/>
    <w:unhideWhenUsed/>
    <w:rsid w:val="0015600E"/>
    <w:rPr>
      <w:vertAlign w:val="superscript"/>
    </w:rPr>
  </w:style>
  <w:style w:type="paragraph" w:styleId="NormalWeb">
    <w:name w:val="Normal (Web)"/>
    <w:basedOn w:val="Normal"/>
    <w:uiPriority w:val="99"/>
    <w:semiHidden/>
    <w:unhideWhenUsed/>
    <w:rsid w:val="00D63E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5625">
      <w:bodyDiv w:val="1"/>
      <w:marLeft w:val="0"/>
      <w:marRight w:val="0"/>
      <w:marTop w:val="0"/>
      <w:marBottom w:val="0"/>
      <w:divBdr>
        <w:top w:val="none" w:sz="0" w:space="0" w:color="auto"/>
        <w:left w:val="none" w:sz="0" w:space="0" w:color="auto"/>
        <w:bottom w:val="none" w:sz="0" w:space="0" w:color="auto"/>
        <w:right w:val="none" w:sz="0" w:space="0" w:color="auto"/>
      </w:divBdr>
    </w:div>
    <w:div w:id="60450536">
      <w:bodyDiv w:val="1"/>
      <w:marLeft w:val="0"/>
      <w:marRight w:val="0"/>
      <w:marTop w:val="0"/>
      <w:marBottom w:val="0"/>
      <w:divBdr>
        <w:top w:val="none" w:sz="0" w:space="0" w:color="auto"/>
        <w:left w:val="none" w:sz="0" w:space="0" w:color="auto"/>
        <w:bottom w:val="none" w:sz="0" w:space="0" w:color="auto"/>
        <w:right w:val="none" w:sz="0" w:space="0" w:color="auto"/>
      </w:divBdr>
    </w:div>
    <w:div w:id="335693669">
      <w:bodyDiv w:val="1"/>
      <w:marLeft w:val="0"/>
      <w:marRight w:val="0"/>
      <w:marTop w:val="0"/>
      <w:marBottom w:val="0"/>
      <w:divBdr>
        <w:top w:val="none" w:sz="0" w:space="0" w:color="auto"/>
        <w:left w:val="none" w:sz="0" w:space="0" w:color="auto"/>
        <w:bottom w:val="none" w:sz="0" w:space="0" w:color="auto"/>
        <w:right w:val="none" w:sz="0" w:space="0" w:color="auto"/>
      </w:divBdr>
    </w:div>
    <w:div w:id="352387834">
      <w:bodyDiv w:val="1"/>
      <w:marLeft w:val="0"/>
      <w:marRight w:val="0"/>
      <w:marTop w:val="0"/>
      <w:marBottom w:val="0"/>
      <w:divBdr>
        <w:top w:val="none" w:sz="0" w:space="0" w:color="auto"/>
        <w:left w:val="none" w:sz="0" w:space="0" w:color="auto"/>
        <w:bottom w:val="none" w:sz="0" w:space="0" w:color="auto"/>
        <w:right w:val="none" w:sz="0" w:space="0" w:color="auto"/>
      </w:divBdr>
    </w:div>
    <w:div w:id="376972508">
      <w:bodyDiv w:val="1"/>
      <w:marLeft w:val="0"/>
      <w:marRight w:val="0"/>
      <w:marTop w:val="0"/>
      <w:marBottom w:val="0"/>
      <w:divBdr>
        <w:top w:val="none" w:sz="0" w:space="0" w:color="auto"/>
        <w:left w:val="none" w:sz="0" w:space="0" w:color="auto"/>
        <w:bottom w:val="none" w:sz="0" w:space="0" w:color="auto"/>
        <w:right w:val="none" w:sz="0" w:space="0" w:color="auto"/>
      </w:divBdr>
    </w:div>
    <w:div w:id="400710803">
      <w:bodyDiv w:val="1"/>
      <w:marLeft w:val="0"/>
      <w:marRight w:val="0"/>
      <w:marTop w:val="0"/>
      <w:marBottom w:val="0"/>
      <w:divBdr>
        <w:top w:val="none" w:sz="0" w:space="0" w:color="auto"/>
        <w:left w:val="none" w:sz="0" w:space="0" w:color="auto"/>
        <w:bottom w:val="none" w:sz="0" w:space="0" w:color="auto"/>
        <w:right w:val="none" w:sz="0" w:space="0" w:color="auto"/>
      </w:divBdr>
    </w:div>
    <w:div w:id="415787492">
      <w:bodyDiv w:val="1"/>
      <w:marLeft w:val="0"/>
      <w:marRight w:val="0"/>
      <w:marTop w:val="0"/>
      <w:marBottom w:val="0"/>
      <w:divBdr>
        <w:top w:val="none" w:sz="0" w:space="0" w:color="auto"/>
        <w:left w:val="none" w:sz="0" w:space="0" w:color="auto"/>
        <w:bottom w:val="none" w:sz="0" w:space="0" w:color="auto"/>
        <w:right w:val="none" w:sz="0" w:space="0" w:color="auto"/>
      </w:divBdr>
    </w:div>
    <w:div w:id="420610184">
      <w:bodyDiv w:val="1"/>
      <w:marLeft w:val="0"/>
      <w:marRight w:val="0"/>
      <w:marTop w:val="0"/>
      <w:marBottom w:val="0"/>
      <w:divBdr>
        <w:top w:val="none" w:sz="0" w:space="0" w:color="auto"/>
        <w:left w:val="none" w:sz="0" w:space="0" w:color="auto"/>
        <w:bottom w:val="none" w:sz="0" w:space="0" w:color="auto"/>
        <w:right w:val="none" w:sz="0" w:space="0" w:color="auto"/>
      </w:divBdr>
    </w:div>
    <w:div w:id="430781664">
      <w:bodyDiv w:val="1"/>
      <w:marLeft w:val="0"/>
      <w:marRight w:val="0"/>
      <w:marTop w:val="0"/>
      <w:marBottom w:val="0"/>
      <w:divBdr>
        <w:top w:val="none" w:sz="0" w:space="0" w:color="auto"/>
        <w:left w:val="none" w:sz="0" w:space="0" w:color="auto"/>
        <w:bottom w:val="none" w:sz="0" w:space="0" w:color="auto"/>
        <w:right w:val="none" w:sz="0" w:space="0" w:color="auto"/>
      </w:divBdr>
    </w:div>
    <w:div w:id="462816945">
      <w:bodyDiv w:val="1"/>
      <w:marLeft w:val="0"/>
      <w:marRight w:val="0"/>
      <w:marTop w:val="0"/>
      <w:marBottom w:val="0"/>
      <w:divBdr>
        <w:top w:val="none" w:sz="0" w:space="0" w:color="auto"/>
        <w:left w:val="none" w:sz="0" w:space="0" w:color="auto"/>
        <w:bottom w:val="none" w:sz="0" w:space="0" w:color="auto"/>
        <w:right w:val="none" w:sz="0" w:space="0" w:color="auto"/>
      </w:divBdr>
      <w:divsChild>
        <w:div w:id="1780176141">
          <w:marLeft w:val="0"/>
          <w:marRight w:val="0"/>
          <w:marTop w:val="240"/>
          <w:marBottom w:val="0"/>
          <w:divBdr>
            <w:top w:val="none" w:sz="0" w:space="0" w:color="auto"/>
            <w:left w:val="none" w:sz="0" w:space="0" w:color="auto"/>
            <w:bottom w:val="none" w:sz="0" w:space="0" w:color="auto"/>
            <w:right w:val="none" w:sz="0" w:space="0" w:color="auto"/>
          </w:divBdr>
          <w:divsChild>
            <w:div w:id="1581713381">
              <w:marLeft w:val="0"/>
              <w:marRight w:val="0"/>
              <w:marTop w:val="0"/>
              <w:marBottom w:val="0"/>
              <w:divBdr>
                <w:top w:val="none" w:sz="0" w:space="0" w:color="auto"/>
                <w:left w:val="none" w:sz="0" w:space="0" w:color="auto"/>
                <w:bottom w:val="none" w:sz="0" w:space="0" w:color="auto"/>
                <w:right w:val="none" w:sz="0" w:space="0" w:color="auto"/>
              </w:divBdr>
            </w:div>
            <w:div w:id="1548300274">
              <w:marLeft w:val="0"/>
              <w:marRight w:val="240"/>
              <w:marTop w:val="0"/>
              <w:marBottom w:val="0"/>
              <w:divBdr>
                <w:top w:val="none" w:sz="0" w:space="0" w:color="auto"/>
                <w:left w:val="none" w:sz="0" w:space="0" w:color="auto"/>
                <w:bottom w:val="dotted" w:sz="6" w:space="2" w:color="CCCCCC"/>
                <w:right w:val="none" w:sz="0" w:space="0" w:color="auto"/>
              </w:divBdr>
            </w:div>
          </w:divsChild>
        </w:div>
        <w:div w:id="1545748628">
          <w:marLeft w:val="0"/>
          <w:marRight w:val="0"/>
          <w:marTop w:val="240"/>
          <w:marBottom w:val="0"/>
          <w:divBdr>
            <w:top w:val="none" w:sz="0" w:space="0" w:color="auto"/>
            <w:left w:val="none" w:sz="0" w:space="0" w:color="auto"/>
            <w:bottom w:val="none" w:sz="0" w:space="0" w:color="auto"/>
            <w:right w:val="none" w:sz="0" w:space="0" w:color="auto"/>
          </w:divBdr>
          <w:divsChild>
            <w:div w:id="16667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7644">
      <w:bodyDiv w:val="1"/>
      <w:marLeft w:val="0"/>
      <w:marRight w:val="0"/>
      <w:marTop w:val="0"/>
      <w:marBottom w:val="0"/>
      <w:divBdr>
        <w:top w:val="none" w:sz="0" w:space="0" w:color="auto"/>
        <w:left w:val="none" w:sz="0" w:space="0" w:color="auto"/>
        <w:bottom w:val="none" w:sz="0" w:space="0" w:color="auto"/>
        <w:right w:val="none" w:sz="0" w:space="0" w:color="auto"/>
      </w:divBdr>
    </w:div>
    <w:div w:id="496383961">
      <w:bodyDiv w:val="1"/>
      <w:marLeft w:val="0"/>
      <w:marRight w:val="0"/>
      <w:marTop w:val="0"/>
      <w:marBottom w:val="0"/>
      <w:divBdr>
        <w:top w:val="none" w:sz="0" w:space="0" w:color="auto"/>
        <w:left w:val="none" w:sz="0" w:space="0" w:color="auto"/>
        <w:bottom w:val="none" w:sz="0" w:space="0" w:color="auto"/>
        <w:right w:val="none" w:sz="0" w:space="0" w:color="auto"/>
      </w:divBdr>
    </w:div>
    <w:div w:id="619649694">
      <w:bodyDiv w:val="1"/>
      <w:marLeft w:val="0"/>
      <w:marRight w:val="0"/>
      <w:marTop w:val="0"/>
      <w:marBottom w:val="0"/>
      <w:divBdr>
        <w:top w:val="none" w:sz="0" w:space="0" w:color="auto"/>
        <w:left w:val="none" w:sz="0" w:space="0" w:color="auto"/>
        <w:bottom w:val="none" w:sz="0" w:space="0" w:color="auto"/>
        <w:right w:val="none" w:sz="0" w:space="0" w:color="auto"/>
      </w:divBdr>
    </w:div>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742798019">
      <w:bodyDiv w:val="1"/>
      <w:marLeft w:val="0"/>
      <w:marRight w:val="0"/>
      <w:marTop w:val="0"/>
      <w:marBottom w:val="0"/>
      <w:divBdr>
        <w:top w:val="none" w:sz="0" w:space="0" w:color="auto"/>
        <w:left w:val="none" w:sz="0" w:space="0" w:color="auto"/>
        <w:bottom w:val="none" w:sz="0" w:space="0" w:color="auto"/>
        <w:right w:val="none" w:sz="0" w:space="0" w:color="auto"/>
      </w:divBdr>
    </w:div>
    <w:div w:id="770931024">
      <w:bodyDiv w:val="1"/>
      <w:marLeft w:val="0"/>
      <w:marRight w:val="0"/>
      <w:marTop w:val="0"/>
      <w:marBottom w:val="0"/>
      <w:divBdr>
        <w:top w:val="none" w:sz="0" w:space="0" w:color="auto"/>
        <w:left w:val="none" w:sz="0" w:space="0" w:color="auto"/>
        <w:bottom w:val="none" w:sz="0" w:space="0" w:color="auto"/>
        <w:right w:val="none" w:sz="0" w:space="0" w:color="auto"/>
      </w:divBdr>
    </w:div>
    <w:div w:id="784616334">
      <w:bodyDiv w:val="1"/>
      <w:marLeft w:val="0"/>
      <w:marRight w:val="0"/>
      <w:marTop w:val="0"/>
      <w:marBottom w:val="0"/>
      <w:divBdr>
        <w:top w:val="none" w:sz="0" w:space="0" w:color="auto"/>
        <w:left w:val="none" w:sz="0" w:space="0" w:color="auto"/>
        <w:bottom w:val="none" w:sz="0" w:space="0" w:color="auto"/>
        <w:right w:val="none" w:sz="0" w:space="0" w:color="auto"/>
      </w:divBdr>
    </w:div>
    <w:div w:id="860977530">
      <w:bodyDiv w:val="1"/>
      <w:marLeft w:val="0"/>
      <w:marRight w:val="0"/>
      <w:marTop w:val="0"/>
      <w:marBottom w:val="0"/>
      <w:divBdr>
        <w:top w:val="none" w:sz="0" w:space="0" w:color="auto"/>
        <w:left w:val="none" w:sz="0" w:space="0" w:color="auto"/>
        <w:bottom w:val="none" w:sz="0" w:space="0" w:color="auto"/>
        <w:right w:val="none" w:sz="0" w:space="0" w:color="auto"/>
      </w:divBdr>
    </w:div>
    <w:div w:id="873350846">
      <w:bodyDiv w:val="1"/>
      <w:marLeft w:val="0"/>
      <w:marRight w:val="0"/>
      <w:marTop w:val="0"/>
      <w:marBottom w:val="0"/>
      <w:divBdr>
        <w:top w:val="none" w:sz="0" w:space="0" w:color="auto"/>
        <w:left w:val="none" w:sz="0" w:space="0" w:color="auto"/>
        <w:bottom w:val="none" w:sz="0" w:space="0" w:color="auto"/>
        <w:right w:val="none" w:sz="0" w:space="0" w:color="auto"/>
      </w:divBdr>
    </w:div>
    <w:div w:id="963733958">
      <w:bodyDiv w:val="1"/>
      <w:marLeft w:val="0"/>
      <w:marRight w:val="0"/>
      <w:marTop w:val="0"/>
      <w:marBottom w:val="0"/>
      <w:divBdr>
        <w:top w:val="none" w:sz="0" w:space="0" w:color="auto"/>
        <w:left w:val="none" w:sz="0" w:space="0" w:color="auto"/>
        <w:bottom w:val="none" w:sz="0" w:space="0" w:color="auto"/>
        <w:right w:val="none" w:sz="0" w:space="0" w:color="auto"/>
      </w:divBdr>
    </w:div>
    <w:div w:id="977538867">
      <w:bodyDiv w:val="1"/>
      <w:marLeft w:val="0"/>
      <w:marRight w:val="0"/>
      <w:marTop w:val="0"/>
      <w:marBottom w:val="0"/>
      <w:divBdr>
        <w:top w:val="none" w:sz="0" w:space="0" w:color="auto"/>
        <w:left w:val="none" w:sz="0" w:space="0" w:color="auto"/>
        <w:bottom w:val="none" w:sz="0" w:space="0" w:color="auto"/>
        <w:right w:val="none" w:sz="0" w:space="0" w:color="auto"/>
      </w:divBdr>
    </w:div>
    <w:div w:id="1155606472">
      <w:bodyDiv w:val="1"/>
      <w:marLeft w:val="0"/>
      <w:marRight w:val="0"/>
      <w:marTop w:val="0"/>
      <w:marBottom w:val="0"/>
      <w:divBdr>
        <w:top w:val="none" w:sz="0" w:space="0" w:color="auto"/>
        <w:left w:val="none" w:sz="0" w:space="0" w:color="auto"/>
        <w:bottom w:val="none" w:sz="0" w:space="0" w:color="auto"/>
        <w:right w:val="none" w:sz="0" w:space="0" w:color="auto"/>
      </w:divBdr>
    </w:div>
    <w:div w:id="1184128268">
      <w:bodyDiv w:val="1"/>
      <w:marLeft w:val="0"/>
      <w:marRight w:val="0"/>
      <w:marTop w:val="0"/>
      <w:marBottom w:val="0"/>
      <w:divBdr>
        <w:top w:val="none" w:sz="0" w:space="0" w:color="auto"/>
        <w:left w:val="none" w:sz="0" w:space="0" w:color="auto"/>
        <w:bottom w:val="none" w:sz="0" w:space="0" w:color="auto"/>
        <w:right w:val="none" w:sz="0" w:space="0" w:color="auto"/>
      </w:divBdr>
    </w:div>
    <w:div w:id="1289049128">
      <w:bodyDiv w:val="1"/>
      <w:marLeft w:val="0"/>
      <w:marRight w:val="0"/>
      <w:marTop w:val="0"/>
      <w:marBottom w:val="0"/>
      <w:divBdr>
        <w:top w:val="none" w:sz="0" w:space="0" w:color="auto"/>
        <w:left w:val="none" w:sz="0" w:space="0" w:color="auto"/>
        <w:bottom w:val="none" w:sz="0" w:space="0" w:color="auto"/>
        <w:right w:val="none" w:sz="0" w:space="0" w:color="auto"/>
      </w:divBdr>
    </w:div>
    <w:div w:id="1301422278">
      <w:bodyDiv w:val="1"/>
      <w:marLeft w:val="0"/>
      <w:marRight w:val="0"/>
      <w:marTop w:val="0"/>
      <w:marBottom w:val="0"/>
      <w:divBdr>
        <w:top w:val="none" w:sz="0" w:space="0" w:color="auto"/>
        <w:left w:val="none" w:sz="0" w:space="0" w:color="auto"/>
        <w:bottom w:val="none" w:sz="0" w:space="0" w:color="auto"/>
        <w:right w:val="none" w:sz="0" w:space="0" w:color="auto"/>
      </w:divBdr>
    </w:div>
    <w:div w:id="1337001503">
      <w:bodyDiv w:val="1"/>
      <w:marLeft w:val="0"/>
      <w:marRight w:val="0"/>
      <w:marTop w:val="0"/>
      <w:marBottom w:val="0"/>
      <w:divBdr>
        <w:top w:val="none" w:sz="0" w:space="0" w:color="auto"/>
        <w:left w:val="none" w:sz="0" w:space="0" w:color="auto"/>
        <w:bottom w:val="none" w:sz="0" w:space="0" w:color="auto"/>
        <w:right w:val="none" w:sz="0" w:space="0" w:color="auto"/>
      </w:divBdr>
    </w:div>
    <w:div w:id="1417553033">
      <w:bodyDiv w:val="1"/>
      <w:marLeft w:val="0"/>
      <w:marRight w:val="0"/>
      <w:marTop w:val="0"/>
      <w:marBottom w:val="0"/>
      <w:divBdr>
        <w:top w:val="none" w:sz="0" w:space="0" w:color="auto"/>
        <w:left w:val="none" w:sz="0" w:space="0" w:color="auto"/>
        <w:bottom w:val="none" w:sz="0" w:space="0" w:color="auto"/>
        <w:right w:val="none" w:sz="0" w:space="0" w:color="auto"/>
      </w:divBdr>
    </w:div>
    <w:div w:id="1447430600">
      <w:bodyDiv w:val="1"/>
      <w:marLeft w:val="0"/>
      <w:marRight w:val="0"/>
      <w:marTop w:val="0"/>
      <w:marBottom w:val="0"/>
      <w:divBdr>
        <w:top w:val="none" w:sz="0" w:space="0" w:color="auto"/>
        <w:left w:val="none" w:sz="0" w:space="0" w:color="auto"/>
        <w:bottom w:val="none" w:sz="0" w:space="0" w:color="auto"/>
        <w:right w:val="none" w:sz="0" w:space="0" w:color="auto"/>
      </w:divBdr>
    </w:div>
    <w:div w:id="1479374579">
      <w:bodyDiv w:val="1"/>
      <w:marLeft w:val="0"/>
      <w:marRight w:val="0"/>
      <w:marTop w:val="0"/>
      <w:marBottom w:val="0"/>
      <w:divBdr>
        <w:top w:val="none" w:sz="0" w:space="0" w:color="auto"/>
        <w:left w:val="none" w:sz="0" w:space="0" w:color="auto"/>
        <w:bottom w:val="none" w:sz="0" w:space="0" w:color="auto"/>
        <w:right w:val="none" w:sz="0" w:space="0" w:color="auto"/>
      </w:divBdr>
    </w:div>
    <w:div w:id="1686323314">
      <w:bodyDiv w:val="1"/>
      <w:marLeft w:val="0"/>
      <w:marRight w:val="0"/>
      <w:marTop w:val="0"/>
      <w:marBottom w:val="0"/>
      <w:divBdr>
        <w:top w:val="none" w:sz="0" w:space="0" w:color="auto"/>
        <w:left w:val="none" w:sz="0" w:space="0" w:color="auto"/>
        <w:bottom w:val="none" w:sz="0" w:space="0" w:color="auto"/>
        <w:right w:val="none" w:sz="0" w:space="0" w:color="auto"/>
      </w:divBdr>
    </w:div>
    <w:div w:id="1803309023">
      <w:bodyDiv w:val="1"/>
      <w:marLeft w:val="0"/>
      <w:marRight w:val="0"/>
      <w:marTop w:val="0"/>
      <w:marBottom w:val="0"/>
      <w:divBdr>
        <w:top w:val="none" w:sz="0" w:space="0" w:color="auto"/>
        <w:left w:val="none" w:sz="0" w:space="0" w:color="auto"/>
        <w:bottom w:val="none" w:sz="0" w:space="0" w:color="auto"/>
        <w:right w:val="none" w:sz="0" w:space="0" w:color="auto"/>
      </w:divBdr>
    </w:div>
    <w:div w:id="1862622620">
      <w:bodyDiv w:val="1"/>
      <w:marLeft w:val="0"/>
      <w:marRight w:val="0"/>
      <w:marTop w:val="0"/>
      <w:marBottom w:val="0"/>
      <w:divBdr>
        <w:top w:val="none" w:sz="0" w:space="0" w:color="auto"/>
        <w:left w:val="none" w:sz="0" w:space="0" w:color="auto"/>
        <w:bottom w:val="none" w:sz="0" w:space="0" w:color="auto"/>
        <w:right w:val="none" w:sz="0" w:space="0" w:color="auto"/>
      </w:divBdr>
    </w:div>
    <w:div w:id="1864241262">
      <w:bodyDiv w:val="1"/>
      <w:marLeft w:val="0"/>
      <w:marRight w:val="0"/>
      <w:marTop w:val="0"/>
      <w:marBottom w:val="0"/>
      <w:divBdr>
        <w:top w:val="none" w:sz="0" w:space="0" w:color="auto"/>
        <w:left w:val="none" w:sz="0" w:space="0" w:color="auto"/>
        <w:bottom w:val="none" w:sz="0" w:space="0" w:color="auto"/>
        <w:right w:val="none" w:sz="0" w:space="0" w:color="auto"/>
      </w:divBdr>
    </w:div>
    <w:div w:id="2009360362">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 w:id="2037777407">
      <w:bodyDiv w:val="1"/>
      <w:marLeft w:val="0"/>
      <w:marRight w:val="0"/>
      <w:marTop w:val="0"/>
      <w:marBottom w:val="0"/>
      <w:divBdr>
        <w:top w:val="none" w:sz="0" w:space="0" w:color="auto"/>
        <w:left w:val="none" w:sz="0" w:space="0" w:color="auto"/>
        <w:bottom w:val="none" w:sz="0" w:space="0" w:color="auto"/>
        <w:right w:val="none" w:sz="0" w:space="0" w:color="auto"/>
      </w:divBdr>
      <w:divsChild>
        <w:div w:id="1582829896">
          <w:marLeft w:val="0"/>
          <w:marRight w:val="0"/>
          <w:marTop w:val="240"/>
          <w:marBottom w:val="0"/>
          <w:divBdr>
            <w:top w:val="none" w:sz="0" w:space="0" w:color="auto"/>
            <w:left w:val="none" w:sz="0" w:space="0" w:color="auto"/>
            <w:bottom w:val="none" w:sz="0" w:space="0" w:color="auto"/>
            <w:right w:val="none" w:sz="0" w:space="0" w:color="auto"/>
          </w:divBdr>
        </w:div>
        <w:div w:id="1906641797">
          <w:marLeft w:val="0"/>
          <w:marRight w:val="0"/>
          <w:marTop w:val="120"/>
          <w:marBottom w:val="0"/>
          <w:divBdr>
            <w:top w:val="none" w:sz="0" w:space="0" w:color="auto"/>
            <w:left w:val="none" w:sz="0" w:space="0" w:color="auto"/>
            <w:bottom w:val="none" w:sz="0" w:space="0" w:color="auto"/>
            <w:right w:val="none" w:sz="0" w:space="0" w:color="auto"/>
          </w:divBdr>
        </w:div>
        <w:div w:id="1815757941">
          <w:marLeft w:val="0"/>
          <w:marRight w:val="0"/>
          <w:marTop w:val="120"/>
          <w:marBottom w:val="0"/>
          <w:divBdr>
            <w:top w:val="none" w:sz="0" w:space="0" w:color="auto"/>
            <w:left w:val="none" w:sz="0" w:space="0" w:color="auto"/>
            <w:bottom w:val="none" w:sz="0" w:space="0" w:color="auto"/>
            <w:right w:val="none" w:sz="0" w:space="0" w:color="auto"/>
          </w:divBdr>
        </w:div>
        <w:div w:id="1609507862">
          <w:marLeft w:val="0"/>
          <w:marRight w:val="0"/>
          <w:marTop w:val="120"/>
          <w:marBottom w:val="0"/>
          <w:divBdr>
            <w:top w:val="none" w:sz="0" w:space="0" w:color="auto"/>
            <w:left w:val="none" w:sz="0" w:space="0" w:color="auto"/>
            <w:bottom w:val="none" w:sz="0" w:space="0" w:color="auto"/>
            <w:right w:val="none" w:sz="0" w:space="0" w:color="auto"/>
          </w:divBdr>
        </w:div>
      </w:divsChild>
    </w:div>
    <w:div w:id="2066677986">
      <w:bodyDiv w:val="1"/>
      <w:marLeft w:val="0"/>
      <w:marRight w:val="0"/>
      <w:marTop w:val="0"/>
      <w:marBottom w:val="0"/>
      <w:divBdr>
        <w:top w:val="none" w:sz="0" w:space="0" w:color="auto"/>
        <w:left w:val="none" w:sz="0" w:space="0" w:color="auto"/>
        <w:bottom w:val="none" w:sz="0" w:space="0" w:color="auto"/>
        <w:right w:val="none" w:sz="0" w:space="0" w:color="auto"/>
      </w:divBdr>
    </w:div>
    <w:div w:id="2085831097">
      <w:bodyDiv w:val="1"/>
      <w:marLeft w:val="0"/>
      <w:marRight w:val="0"/>
      <w:marTop w:val="0"/>
      <w:marBottom w:val="0"/>
      <w:divBdr>
        <w:top w:val="none" w:sz="0" w:space="0" w:color="auto"/>
        <w:left w:val="none" w:sz="0" w:space="0" w:color="auto"/>
        <w:bottom w:val="none" w:sz="0" w:space="0" w:color="auto"/>
        <w:right w:val="none" w:sz="0" w:space="0" w:color="auto"/>
      </w:divBdr>
    </w:div>
    <w:div w:id="2096853853">
      <w:bodyDiv w:val="1"/>
      <w:marLeft w:val="0"/>
      <w:marRight w:val="0"/>
      <w:marTop w:val="0"/>
      <w:marBottom w:val="0"/>
      <w:divBdr>
        <w:top w:val="none" w:sz="0" w:space="0" w:color="auto"/>
        <w:left w:val="none" w:sz="0" w:space="0" w:color="auto"/>
        <w:bottom w:val="none" w:sz="0" w:space="0" w:color="auto"/>
        <w:right w:val="none" w:sz="0" w:space="0" w:color="auto"/>
      </w:divBdr>
      <w:divsChild>
        <w:div w:id="761485303">
          <w:marLeft w:val="0"/>
          <w:marRight w:val="0"/>
          <w:marTop w:val="240"/>
          <w:marBottom w:val="0"/>
          <w:divBdr>
            <w:top w:val="none" w:sz="0" w:space="0" w:color="auto"/>
            <w:left w:val="none" w:sz="0" w:space="0" w:color="auto"/>
            <w:bottom w:val="none" w:sz="0" w:space="0" w:color="auto"/>
            <w:right w:val="none" w:sz="0" w:space="0" w:color="auto"/>
          </w:divBdr>
          <w:divsChild>
            <w:div w:id="909585632">
              <w:marLeft w:val="0"/>
              <w:marRight w:val="0"/>
              <w:marTop w:val="0"/>
              <w:marBottom w:val="0"/>
              <w:divBdr>
                <w:top w:val="none" w:sz="0" w:space="0" w:color="auto"/>
                <w:left w:val="none" w:sz="0" w:space="0" w:color="auto"/>
                <w:bottom w:val="none" w:sz="0" w:space="0" w:color="auto"/>
                <w:right w:val="none" w:sz="0" w:space="0" w:color="auto"/>
              </w:divBdr>
            </w:div>
            <w:div w:id="501971888">
              <w:marLeft w:val="0"/>
              <w:marRight w:val="240"/>
              <w:marTop w:val="0"/>
              <w:marBottom w:val="0"/>
              <w:divBdr>
                <w:top w:val="none" w:sz="0" w:space="0" w:color="auto"/>
                <w:left w:val="none" w:sz="0" w:space="0" w:color="auto"/>
                <w:bottom w:val="dotted" w:sz="6" w:space="2" w:color="CCCCCC"/>
                <w:right w:val="none" w:sz="0" w:space="0" w:color="auto"/>
              </w:divBdr>
            </w:div>
          </w:divsChild>
        </w:div>
        <w:div w:id="106237182">
          <w:marLeft w:val="0"/>
          <w:marRight w:val="0"/>
          <w:marTop w:val="240"/>
          <w:marBottom w:val="0"/>
          <w:divBdr>
            <w:top w:val="none" w:sz="0" w:space="0" w:color="auto"/>
            <w:left w:val="none" w:sz="0" w:space="0" w:color="auto"/>
            <w:bottom w:val="none" w:sz="0" w:space="0" w:color="auto"/>
            <w:right w:val="none" w:sz="0" w:space="0" w:color="auto"/>
          </w:divBdr>
          <w:divsChild>
            <w:div w:id="10463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7.svg"/><Relationship Id="rId26" Type="http://schemas.openxmlformats.org/officeDocument/2006/relationships/hyperlink" Target="https://www.wsj.com/articles/SB10001424052702303816504577313983768173826" TargetMode="External"/><Relationship Id="rId3" Type="http://schemas.openxmlformats.org/officeDocument/2006/relationships/customXml" Target="../customXml/item3.xml"/><Relationship Id="rId21" Type="http://schemas.openxmlformats.org/officeDocument/2006/relationships/image" Target="cid:image001.png@01D33AAB.C4875B20"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hyperlink" Target="https://www.youtube.com/watch?v=-gLEJkzg0t0"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1.xm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hyperlink" Target="https://www.youtube.com/watch?v=oVGPapseRUw" TargetMode="External"/><Relationship Id="rId30" Type="http://schemas.openxmlformats.org/officeDocument/2006/relationships/header" Target="header4.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default:Downloads:PitchBook_2016_US_PE_VC_IPO_Trends_XL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lineChart>
        <c:grouping val="standard"/>
        <c:varyColors val="0"/>
        <c:ser>
          <c:idx val="0"/>
          <c:order val="0"/>
          <c:tx>
            <c:strRef>
              <c:f>Sheet1!$A$3</c:f>
              <c:strCache>
                <c:ptCount val="1"/>
                <c:pt idx="0">
                  <c:v>VC prior to IPO</c:v>
                </c:pt>
              </c:strCache>
            </c:strRef>
          </c:tx>
          <c:marker>
            <c:symbol val="none"/>
          </c:marker>
          <c:cat>
            <c:strRef>
              <c:f>Sheet1!$B$2:$L$2</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Sheet1!$B$3:$L$3</c:f>
              <c:numCache>
                <c:formatCode>"$"#,##0.00_);[Red]\("$"#,##0.00\)</c:formatCode>
                <c:ptCount val="11"/>
                <c:pt idx="0">
                  <c:v>50.288499999999999</c:v>
                </c:pt>
                <c:pt idx="1">
                  <c:v>59.24</c:v>
                </c:pt>
                <c:pt idx="2">
                  <c:v>31.838899999999999</c:v>
                </c:pt>
                <c:pt idx="3">
                  <c:v>63.25</c:v>
                </c:pt>
                <c:pt idx="4">
                  <c:v>70.104999999999976</c:v>
                </c:pt>
                <c:pt idx="5">
                  <c:v>87.5</c:v>
                </c:pt>
                <c:pt idx="6">
                  <c:v>71.3249</c:v>
                </c:pt>
                <c:pt idx="7">
                  <c:v>99.807700000000011</c:v>
                </c:pt>
                <c:pt idx="8">
                  <c:v>79.699100000000001</c:v>
                </c:pt>
                <c:pt idx="9">
                  <c:v>92.267499999999998</c:v>
                </c:pt>
                <c:pt idx="10">
                  <c:v>84.5</c:v>
                </c:pt>
              </c:numCache>
            </c:numRef>
          </c:val>
          <c:smooth val="0"/>
          <c:extLst>
            <c:ext xmlns:c16="http://schemas.microsoft.com/office/drawing/2014/chart" uri="{C3380CC4-5D6E-409C-BE32-E72D297353CC}">
              <c16:uniqueId val="{00000000-1136-4622-95D0-DD5E2A16F76F}"/>
            </c:ext>
          </c:extLst>
        </c:ser>
        <c:ser>
          <c:idx val="1"/>
          <c:order val="1"/>
          <c:tx>
            <c:strRef>
              <c:f>Sheet1!$A$4</c:f>
              <c:strCache>
                <c:ptCount val="1"/>
                <c:pt idx="0">
                  <c:v>IPO </c:v>
                </c:pt>
              </c:strCache>
            </c:strRef>
          </c:tx>
          <c:marker>
            <c:symbol val="none"/>
          </c:marker>
          <c:cat>
            <c:strRef>
              <c:f>Sheet1!$B$2:$L$2</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Sheet1!$B$4:$L$4</c:f>
              <c:numCache>
                <c:formatCode>"$"#,##0.00_);[Red]\("$"#,##0.00\)</c:formatCode>
                <c:ptCount val="11"/>
                <c:pt idx="0">
                  <c:v>95.2</c:v>
                </c:pt>
                <c:pt idx="1">
                  <c:v>93.424499999999995</c:v>
                </c:pt>
                <c:pt idx="2">
                  <c:v>117.18</c:v>
                </c:pt>
                <c:pt idx="3">
                  <c:v>153.04300000000001</c:v>
                </c:pt>
                <c:pt idx="4">
                  <c:v>90.608499999999992</c:v>
                </c:pt>
                <c:pt idx="5">
                  <c:v>130</c:v>
                </c:pt>
                <c:pt idx="6">
                  <c:v>92</c:v>
                </c:pt>
                <c:pt idx="7">
                  <c:v>102.48</c:v>
                </c:pt>
                <c:pt idx="8">
                  <c:v>100</c:v>
                </c:pt>
                <c:pt idx="9">
                  <c:v>87.594999999999999</c:v>
                </c:pt>
                <c:pt idx="10">
                  <c:v>90</c:v>
                </c:pt>
              </c:numCache>
            </c:numRef>
          </c:val>
          <c:smooth val="0"/>
          <c:extLst>
            <c:ext xmlns:c16="http://schemas.microsoft.com/office/drawing/2014/chart" uri="{C3380CC4-5D6E-409C-BE32-E72D297353CC}">
              <c16:uniqueId val="{00000001-1136-4622-95D0-DD5E2A16F76F}"/>
            </c:ext>
          </c:extLst>
        </c:ser>
        <c:dLbls>
          <c:showLegendKey val="0"/>
          <c:showVal val="0"/>
          <c:showCatName val="0"/>
          <c:showSerName val="0"/>
          <c:showPercent val="0"/>
          <c:showBubbleSize val="0"/>
        </c:dLbls>
        <c:smooth val="0"/>
        <c:axId val="-2143060744"/>
        <c:axId val="-2139331240"/>
      </c:lineChart>
      <c:catAx>
        <c:axId val="-2143060744"/>
        <c:scaling>
          <c:orientation val="minMax"/>
        </c:scaling>
        <c:delete val="0"/>
        <c:axPos val="b"/>
        <c:numFmt formatCode="General" sourceLinked="0"/>
        <c:majorTickMark val="out"/>
        <c:minorTickMark val="none"/>
        <c:tickLblPos val="nextTo"/>
        <c:crossAx val="-2139331240"/>
        <c:crosses val="autoZero"/>
        <c:auto val="1"/>
        <c:lblAlgn val="ctr"/>
        <c:lblOffset val="100"/>
        <c:noMultiLvlLbl val="0"/>
      </c:catAx>
      <c:valAx>
        <c:axId val="-2139331240"/>
        <c:scaling>
          <c:orientation val="minMax"/>
        </c:scaling>
        <c:delete val="0"/>
        <c:axPos val="l"/>
        <c:majorGridlines/>
        <c:numFmt formatCode="&quot;$&quot;#,##0.00_);[Red]\(&quot;$&quot;#,##0.00\)" sourceLinked="1"/>
        <c:majorTickMark val="out"/>
        <c:minorTickMark val="none"/>
        <c:tickLblPos val="nextTo"/>
        <c:crossAx val="-2143060744"/>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6A60EB-101A-4E56-BEB9-566D86A63B9D}">
  <ds:schemaRefs>
    <ds:schemaRef ds:uri="http://schemas.microsoft.com/sharepoint/v3/contenttype/forms"/>
  </ds:schemaRefs>
</ds:datastoreItem>
</file>

<file path=customXml/itemProps3.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2D7206-95E7-40CB-81E9-FF6673EF3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3906</TotalTime>
  <Pages>22</Pages>
  <Words>8141</Words>
  <Characters>46406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Asher Curtis</dc:creator>
  <cp:lastModifiedBy>Asher Curtis</cp:lastModifiedBy>
  <cp:revision>15</cp:revision>
  <cp:lastPrinted>2017-09-21T21:18:00Z</cp:lastPrinted>
  <dcterms:created xsi:type="dcterms:W3CDTF">2017-09-29T20:05:00Z</dcterms:created>
  <dcterms:modified xsi:type="dcterms:W3CDTF">2017-10-02T14:14:00Z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