
<file path=[Content_Types].xml><?xml version="1.0" encoding="utf-8"?>
<Types xmlns="http://schemas.openxmlformats.org/package/2006/content-types">
  <Default Extension="png" ContentType="image/png"/>
  <Default Extension="svg" ContentType="image/svg+xml"/>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9A693" w14:textId="77777777" w:rsidR="00BA7107" w:rsidRDefault="00BA7107">
      <w:bookmarkStart w:id="0" w:name="_Hlk494455277"/>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7"/>
        <w:gridCol w:w="7501"/>
      </w:tblGrid>
      <w:tr w:rsidR="004E68EB" w:rsidRPr="002F6B23" w14:paraId="36973161" w14:textId="77777777" w:rsidTr="002F6B23">
        <w:trPr>
          <w:trHeight w:val="477"/>
        </w:trPr>
        <w:tc>
          <w:tcPr>
            <w:tcW w:w="10188" w:type="dxa"/>
            <w:gridSpan w:val="2"/>
            <w:tcBorders>
              <w:bottom w:val="single" w:sz="12" w:space="0" w:color="33006F"/>
            </w:tcBorders>
          </w:tcPr>
          <w:p w14:paraId="29F8530F" w14:textId="12A60E16" w:rsidR="004E68EB" w:rsidRPr="002F6B23" w:rsidRDefault="00F679C9" w:rsidP="00596031">
            <w:pPr>
              <w:spacing w:line="240" w:lineRule="auto"/>
              <w:jc w:val="center"/>
              <w:rPr>
                <w:rFonts w:ascii="Open Sans" w:hAnsi="Open Sans" w:cs="Open Sans"/>
                <w:b/>
                <w:color w:val="000000" w:themeColor="text1"/>
                <w:sz w:val="24"/>
                <w:szCs w:val="24"/>
              </w:rPr>
            </w:pPr>
            <w:r>
              <w:rPr>
                <w:rFonts w:ascii="Open Sans" w:hAnsi="Open Sans" w:cs="Open Sans"/>
                <w:b/>
                <w:color w:val="33006F"/>
                <w:sz w:val="40"/>
                <w:szCs w:val="32"/>
              </w:rPr>
              <w:t>Good Growth, Bad Growth</w:t>
            </w:r>
            <w:bookmarkEnd w:id="0"/>
            <w:r w:rsidR="004E68EB">
              <w:rPr>
                <w:rStyle w:val="EndnoteReference"/>
                <w:rFonts w:ascii="Open Sans" w:hAnsi="Open Sans" w:cs="Open Sans"/>
                <w:b/>
                <w:color w:val="33006F"/>
                <w:sz w:val="40"/>
                <w:szCs w:val="32"/>
              </w:rPr>
              <w:endnoteReference w:id="1"/>
            </w:r>
          </w:p>
        </w:tc>
      </w:tr>
      <w:tr w:rsidR="004E68EB" w:rsidRPr="00176AA8" w14:paraId="7606F4B1" w14:textId="77777777" w:rsidTr="002F6B23">
        <w:trPr>
          <w:trHeight w:val="477"/>
        </w:trPr>
        <w:tc>
          <w:tcPr>
            <w:tcW w:w="2687" w:type="dxa"/>
            <w:tcBorders>
              <w:top w:val="single" w:sz="12" w:space="0" w:color="33006F"/>
            </w:tcBorders>
          </w:tcPr>
          <w:p w14:paraId="614E224A" w14:textId="77777777" w:rsidR="004E68EB" w:rsidRPr="002F6B23" w:rsidRDefault="004E68EB" w:rsidP="00596031">
            <w:pPr>
              <w:spacing w:line="240" w:lineRule="auto"/>
              <w:jc w:val="center"/>
              <w:rPr>
                <w:rFonts w:ascii="Open Sans" w:hAnsi="Open Sans" w:cs="Open Sans"/>
                <w:b/>
              </w:rPr>
            </w:pPr>
          </w:p>
        </w:tc>
        <w:tc>
          <w:tcPr>
            <w:tcW w:w="7501" w:type="dxa"/>
            <w:tcBorders>
              <w:top w:val="single" w:sz="12" w:space="0" w:color="33006F"/>
            </w:tcBorders>
          </w:tcPr>
          <w:p w14:paraId="0D8658BD" w14:textId="77777777" w:rsidR="004E68EB" w:rsidRPr="002F6B23" w:rsidRDefault="004E68EB" w:rsidP="00596031">
            <w:pPr>
              <w:spacing w:line="240" w:lineRule="auto"/>
              <w:jc w:val="center"/>
              <w:rPr>
                <w:rFonts w:ascii="Open Sans" w:hAnsi="Open Sans" w:cs="Open Sans"/>
                <w:b/>
              </w:rPr>
            </w:pPr>
          </w:p>
        </w:tc>
      </w:tr>
      <w:tr w:rsidR="004E68EB" w:rsidRPr="00176AA8" w14:paraId="162510BD" w14:textId="77777777" w:rsidTr="002F6B23">
        <w:trPr>
          <w:trHeight w:val="477"/>
        </w:trPr>
        <w:tc>
          <w:tcPr>
            <w:tcW w:w="2687" w:type="dxa"/>
          </w:tcPr>
          <w:p w14:paraId="03E626B0" w14:textId="77777777" w:rsidR="004E68EB" w:rsidRPr="002F6B23" w:rsidRDefault="004E68EB" w:rsidP="002F6B23">
            <w:pPr>
              <w:spacing w:line="240" w:lineRule="auto"/>
              <w:rPr>
                <w:rFonts w:ascii="Open Sans" w:hAnsi="Open Sans" w:cs="Open Sans"/>
                <w:b/>
              </w:rPr>
            </w:pPr>
            <w:r>
              <w:rPr>
                <w:rFonts w:ascii="Open Sans" w:hAnsi="Open Sans" w:cs="Open Sans"/>
                <w:b/>
              </w:rPr>
              <w:t>Focus Companies:</w:t>
            </w:r>
          </w:p>
        </w:tc>
        <w:tc>
          <w:tcPr>
            <w:tcW w:w="7501" w:type="dxa"/>
          </w:tcPr>
          <w:p w14:paraId="2F66CF22" w14:textId="1A47CA91" w:rsidR="004E68EB" w:rsidRPr="002F6B23" w:rsidRDefault="004E68EB" w:rsidP="00744929">
            <w:pPr>
              <w:spacing w:line="240" w:lineRule="auto"/>
              <w:rPr>
                <w:rFonts w:ascii="Open Sans" w:hAnsi="Open Sans" w:cs="Open Sans"/>
              </w:rPr>
            </w:pPr>
            <w:r>
              <w:rPr>
                <w:rFonts w:ascii="Open Sans" w:hAnsi="Open Sans" w:cs="Open Sans"/>
              </w:rPr>
              <w:t>A high-growth public company of your (team’s) choice.</w:t>
            </w:r>
          </w:p>
        </w:tc>
      </w:tr>
      <w:tr w:rsidR="004E68EB" w:rsidRPr="00176AA8" w14:paraId="38F6B634" w14:textId="77777777" w:rsidTr="002F6B23">
        <w:trPr>
          <w:trHeight w:val="477"/>
        </w:trPr>
        <w:tc>
          <w:tcPr>
            <w:tcW w:w="2687" w:type="dxa"/>
            <w:tcBorders>
              <w:bottom w:val="nil"/>
            </w:tcBorders>
          </w:tcPr>
          <w:p w14:paraId="26FFDDC8" w14:textId="77777777" w:rsidR="004E68EB" w:rsidRPr="002F6B23" w:rsidRDefault="004E68EB" w:rsidP="002F6B23">
            <w:pPr>
              <w:spacing w:line="240" w:lineRule="auto"/>
              <w:rPr>
                <w:rFonts w:ascii="Open Sans" w:hAnsi="Open Sans" w:cs="Open Sans"/>
                <w:b/>
              </w:rPr>
            </w:pPr>
            <w:r>
              <w:rPr>
                <w:rFonts w:ascii="Open Sans" w:hAnsi="Open Sans" w:cs="Open Sans"/>
                <w:b/>
              </w:rPr>
              <w:t>Keywords:</w:t>
            </w:r>
          </w:p>
        </w:tc>
        <w:tc>
          <w:tcPr>
            <w:tcW w:w="7501" w:type="dxa"/>
            <w:tcBorders>
              <w:bottom w:val="nil"/>
            </w:tcBorders>
          </w:tcPr>
          <w:p w14:paraId="40EC0132" w14:textId="3766D38D" w:rsidR="004E68EB" w:rsidRPr="002F6B23" w:rsidRDefault="004E68EB" w:rsidP="002F6B23">
            <w:pPr>
              <w:spacing w:line="240" w:lineRule="auto"/>
              <w:rPr>
                <w:rFonts w:ascii="Open Sans" w:hAnsi="Open Sans" w:cs="Open Sans"/>
              </w:rPr>
            </w:pPr>
            <w:r>
              <w:rPr>
                <w:rFonts w:ascii="Open Sans" w:hAnsi="Open Sans" w:cs="Open Sans"/>
              </w:rPr>
              <w:t xml:space="preserve">Forecasting; Valuation; </w:t>
            </w:r>
            <w:r w:rsidR="00053D04">
              <w:rPr>
                <w:rFonts w:ascii="Open Sans" w:hAnsi="Open Sans" w:cs="Open Sans"/>
              </w:rPr>
              <w:t>Growth; Distributions; Auditing Estimates (AS 2501); PCAOB Staff Audit Practice Alerts (SAPAs).</w:t>
            </w:r>
          </w:p>
        </w:tc>
      </w:tr>
    </w:tbl>
    <w:p w14:paraId="285005E9" w14:textId="77777777" w:rsidR="004E68EB" w:rsidRPr="002F6B23" w:rsidRDefault="004E68EB" w:rsidP="00F8742C">
      <w:pPr>
        <w:pStyle w:val="Heading1"/>
        <w:rPr>
          <w:rFonts w:ascii="Open Sans" w:hAnsi="Open Sans" w:cs="Open Sans"/>
          <w:smallCaps/>
          <w:color w:val="33006F"/>
        </w:rPr>
      </w:pPr>
      <w:bookmarkStart w:id="1" w:name="_Toc494529320"/>
      <w:r w:rsidRPr="002F6B23">
        <w:rPr>
          <w:rFonts w:ascii="Open Sans" w:hAnsi="Open Sans" w:cs="Open Sans"/>
          <w:smallCaps/>
          <w:color w:val="33006F"/>
        </w:rPr>
        <w:t>Introduction</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248"/>
      </w:tblGrid>
      <w:tr w:rsidR="004E68EB" w:rsidRPr="002F6B23" w14:paraId="0306DB54" w14:textId="77777777" w:rsidTr="00AB170C">
        <w:trPr>
          <w:trHeight w:val="2997"/>
        </w:trPr>
        <w:tc>
          <w:tcPr>
            <w:tcW w:w="5400" w:type="dxa"/>
          </w:tcPr>
          <w:p w14:paraId="20FF8FF1" w14:textId="0A3ED99D" w:rsidR="004E68EB" w:rsidRPr="002F6B23" w:rsidRDefault="004E68EB" w:rsidP="00AB170C">
            <w:pPr>
              <w:spacing w:before="120" w:line="360" w:lineRule="auto"/>
              <w:jc w:val="both"/>
              <w:rPr>
                <w:rFonts w:ascii="Open Sans" w:hAnsi="Open Sans" w:cs="Open Sans"/>
              </w:rPr>
            </w:pPr>
            <w:r>
              <w:rPr>
                <w:rFonts w:ascii="Open Sans" w:hAnsi="Open Sans" w:cs="Open Sans"/>
                <w:sz w:val="20"/>
              </w:rPr>
              <w:t xml:space="preserve">Like Cholesterol, growth comes in two forms, good (sustainable, risky) growth, and bad (unsustainable, risky) growth. Without risk, there is no reward, but some growth-related risks will increase the risk of misstatement, and these risks are the ones we need to understand. </w:t>
            </w:r>
          </w:p>
        </w:tc>
        <w:tc>
          <w:tcPr>
            <w:tcW w:w="4248" w:type="dxa"/>
            <w:vAlign w:val="center"/>
          </w:tcPr>
          <w:p w14:paraId="0741D14B" w14:textId="141F04F8" w:rsidR="004E68EB" w:rsidRPr="002F6B23" w:rsidRDefault="004E68EB" w:rsidP="00EC4EFA">
            <w:pPr>
              <w:pStyle w:val="Heading1"/>
              <w:spacing w:before="0"/>
              <w:jc w:val="center"/>
              <w:rPr>
                <w:rFonts w:ascii="Open Sans" w:hAnsi="Open Sans" w:cs="Open Sans"/>
                <w:b w:val="0"/>
              </w:rPr>
            </w:pPr>
            <w:bookmarkStart w:id="2" w:name="_Toc494529321"/>
            <w:r w:rsidRPr="002F6B23">
              <w:rPr>
                <w:rFonts w:ascii="Open Sans" w:hAnsi="Open Sans" w:cs="Open Sans"/>
                <w:smallCaps/>
                <w:color w:val="33006F"/>
              </w:rPr>
              <w:t>“</w:t>
            </w:r>
            <w:bookmarkEnd w:id="2"/>
            <w:r w:rsidR="00053D04">
              <w:rPr>
                <w:rFonts w:ascii="Open Sans" w:hAnsi="Open Sans" w:cs="Open Sans"/>
                <w:smallCaps/>
                <w:color w:val="33006F"/>
              </w:rPr>
              <w:t>Value is a function of risk and return</w:t>
            </w:r>
            <w:r>
              <w:rPr>
                <w:rFonts w:ascii="Open Sans" w:hAnsi="Open Sans" w:cs="Open Sans"/>
                <w:smallCaps/>
                <w:color w:val="33006F"/>
              </w:rPr>
              <w:t>”</w:t>
            </w:r>
          </w:p>
        </w:tc>
      </w:tr>
    </w:tbl>
    <w:p w14:paraId="4D5B98AD" w14:textId="77777777" w:rsidR="00974968" w:rsidRDefault="004E68EB" w:rsidP="00974968">
      <w:pPr>
        <w:spacing w:before="120" w:after="120" w:line="360" w:lineRule="auto"/>
        <w:jc w:val="both"/>
        <w:rPr>
          <w:rFonts w:ascii="Open Sans" w:hAnsi="Open Sans" w:cs="Open Sans"/>
          <w:sz w:val="20"/>
          <w:szCs w:val="20"/>
        </w:rPr>
      </w:pPr>
      <w:r w:rsidRPr="00954123">
        <w:rPr>
          <w:rFonts w:ascii="Open Sans" w:hAnsi="Open Sans" w:cs="Open Sans"/>
          <w:sz w:val="20"/>
          <w:szCs w:val="20"/>
        </w:rPr>
        <w:t>In this ca</w:t>
      </w:r>
      <w:r>
        <w:rPr>
          <w:rFonts w:ascii="Open Sans" w:hAnsi="Open Sans" w:cs="Open Sans"/>
          <w:sz w:val="20"/>
          <w:szCs w:val="20"/>
        </w:rPr>
        <w:t xml:space="preserve">se, we will discuss the audit risks associated with auditing a growth company. We </w:t>
      </w:r>
      <w:r w:rsidR="00053D04">
        <w:rPr>
          <w:rFonts w:ascii="Open Sans" w:hAnsi="Open Sans" w:cs="Open Sans"/>
          <w:sz w:val="20"/>
          <w:szCs w:val="20"/>
        </w:rPr>
        <w:t xml:space="preserve">will continue to focus on </w:t>
      </w:r>
      <w:r>
        <w:rPr>
          <w:rFonts w:ascii="Open Sans" w:hAnsi="Open Sans" w:cs="Open Sans"/>
          <w:sz w:val="20"/>
          <w:szCs w:val="20"/>
        </w:rPr>
        <w:t xml:space="preserve">companies within </w:t>
      </w:r>
      <w:r w:rsidR="00053D04">
        <w:rPr>
          <w:rFonts w:ascii="Open Sans" w:hAnsi="Open Sans" w:cs="Open Sans"/>
          <w:sz w:val="20"/>
          <w:szCs w:val="20"/>
        </w:rPr>
        <w:t xml:space="preserve">the retail </w:t>
      </w:r>
      <w:r>
        <w:rPr>
          <w:rFonts w:ascii="Open Sans" w:hAnsi="Open Sans" w:cs="Open Sans"/>
          <w:sz w:val="20"/>
          <w:szCs w:val="20"/>
        </w:rPr>
        <w:t>industry</w:t>
      </w:r>
      <w:r w:rsidR="00053D04">
        <w:rPr>
          <w:rFonts w:ascii="Open Sans" w:hAnsi="Open Sans" w:cs="Open Sans"/>
          <w:sz w:val="20"/>
          <w:szCs w:val="20"/>
        </w:rPr>
        <w:t xml:space="preserve">; but we will switch our attention to smaller </w:t>
      </w:r>
      <w:r>
        <w:rPr>
          <w:rFonts w:ascii="Open Sans" w:hAnsi="Open Sans" w:cs="Open Sans"/>
          <w:sz w:val="20"/>
          <w:szCs w:val="20"/>
        </w:rPr>
        <w:t xml:space="preserve">companies </w:t>
      </w:r>
      <w:r w:rsidR="00053D04">
        <w:rPr>
          <w:rFonts w:ascii="Open Sans" w:hAnsi="Open Sans" w:cs="Open Sans"/>
          <w:sz w:val="20"/>
          <w:szCs w:val="20"/>
        </w:rPr>
        <w:t xml:space="preserve">who have achieved high revenue growth in recent years. </w:t>
      </w:r>
      <w:r w:rsidRPr="00954123">
        <w:rPr>
          <w:rFonts w:ascii="Open Sans" w:hAnsi="Open Sans" w:cs="Open Sans"/>
          <w:sz w:val="20"/>
          <w:szCs w:val="20"/>
        </w:rPr>
        <w:t>This case covers four interrelated topics</w:t>
      </w:r>
      <w:r w:rsidR="00053D04">
        <w:rPr>
          <w:rFonts w:ascii="Open Sans" w:hAnsi="Open Sans" w:cs="Open Sans"/>
          <w:sz w:val="20"/>
          <w:szCs w:val="20"/>
        </w:rPr>
        <w:t>. First, from a financial statement analysis perspective</w:t>
      </w:r>
      <w:r w:rsidRPr="00954123">
        <w:rPr>
          <w:rFonts w:ascii="Open Sans" w:hAnsi="Open Sans" w:cs="Open Sans"/>
          <w:sz w:val="20"/>
          <w:szCs w:val="20"/>
        </w:rPr>
        <w:t xml:space="preserve">: (i) </w:t>
      </w:r>
      <w:r>
        <w:rPr>
          <w:rFonts w:ascii="Open Sans" w:hAnsi="Open Sans" w:cs="Open Sans"/>
          <w:sz w:val="20"/>
          <w:szCs w:val="20"/>
        </w:rPr>
        <w:t xml:space="preserve">forecasting expectations; </w:t>
      </w:r>
      <w:r w:rsidR="00053D04">
        <w:rPr>
          <w:rFonts w:ascii="Open Sans" w:hAnsi="Open Sans" w:cs="Open Sans"/>
          <w:sz w:val="20"/>
          <w:szCs w:val="20"/>
        </w:rPr>
        <w:t xml:space="preserve">and </w:t>
      </w:r>
      <w:r w:rsidRPr="00954123">
        <w:rPr>
          <w:rFonts w:ascii="Open Sans" w:hAnsi="Open Sans" w:cs="Open Sans"/>
          <w:sz w:val="20"/>
          <w:szCs w:val="20"/>
        </w:rPr>
        <w:t xml:space="preserve">(ii) </w:t>
      </w:r>
      <w:r w:rsidR="00053D04">
        <w:rPr>
          <w:rFonts w:ascii="Open Sans" w:hAnsi="Open Sans" w:cs="Open Sans"/>
          <w:sz w:val="20"/>
          <w:szCs w:val="20"/>
        </w:rPr>
        <w:t>challenges with valuing growth companies. From an audit perspective:</w:t>
      </w:r>
      <w:r>
        <w:rPr>
          <w:rFonts w:ascii="Open Sans" w:hAnsi="Open Sans" w:cs="Open Sans"/>
          <w:sz w:val="20"/>
          <w:szCs w:val="20"/>
        </w:rPr>
        <w:t xml:space="preserve"> </w:t>
      </w:r>
      <w:r w:rsidRPr="00954123">
        <w:rPr>
          <w:rFonts w:ascii="Open Sans" w:hAnsi="Open Sans" w:cs="Open Sans"/>
          <w:sz w:val="20"/>
          <w:szCs w:val="20"/>
        </w:rPr>
        <w:t xml:space="preserve">(iii) </w:t>
      </w:r>
      <w:r w:rsidR="00053D04">
        <w:rPr>
          <w:rFonts w:ascii="Open Sans" w:hAnsi="Open Sans" w:cs="Open Sans"/>
          <w:sz w:val="20"/>
          <w:szCs w:val="20"/>
        </w:rPr>
        <w:t>auditing estimates associated with growth firms</w:t>
      </w:r>
      <w:r w:rsidRPr="00954123">
        <w:rPr>
          <w:rFonts w:ascii="Open Sans" w:hAnsi="Open Sans" w:cs="Open Sans"/>
          <w:sz w:val="20"/>
          <w:szCs w:val="20"/>
        </w:rPr>
        <w:t xml:space="preserve">; and (iv) </w:t>
      </w:r>
      <w:r>
        <w:rPr>
          <w:rFonts w:ascii="Open Sans" w:hAnsi="Open Sans" w:cs="Open Sans"/>
          <w:sz w:val="20"/>
          <w:szCs w:val="20"/>
        </w:rPr>
        <w:t xml:space="preserve">how </w:t>
      </w:r>
      <w:r w:rsidR="00053D04">
        <w:rPr>
          <w:rFonts w:ascii="Open Sans" w:hAnsi="Open Sans" w:cs="Open Sans"/>
          <w:sz w:val="20"/>
          <w:szCs w:val="20"/>
        </w:rPr>
        <w:t>revenue-related accruals</w:t>
      </w:r>
      <w:r>
        <w:rPr>
          <w:rFonts w:ascii="Open Sans" w:hAnsi="Open Sans" w:cs="Open Sans"/>
          <w:sz w:val="20"/>
          <w:szCs w:val="20"/>
        </w:rPr>
        <w:t xml:space="preserve"> affect </w:t>
      </w:r>
      <w:r w:rsidRPr="00954123">
        <w:rPr>
          <w:rFonts w:ascii="Open Sans" w:hAnsi="Open Sans" w:cs="Open Sans"/>
          <w:sz w:val="20"/>
          <w:szCs w:val="20"/>
        </w:rPr>
        <w:t xml:space="preserve">the </w:t>
      </w:r>
      <w:r>
        <w:rPr>
          <w:rFonts w:ascii="Open Sans" w:hAnsi="Open Sans" w:cs="Open Sans"/>
          <w:sz w:val="20"/>
          <w:szCs w:val="20"/>
        </w:rPr>
        <w:t>audit planning process</w:t>
      </w:r>
      <w:r w:rsidRPr="00954123">
        <w:rPr>
          <w:rFonts w:ascii="Open Sans" w:hAnsi="Open Sans" w:cs="Open Sans"/>
          <w:sz w:val="20"/>
          <w:szCs w:val="20"/>
        </w:rPr>
        <w:t>.</w:t>
      </w:r>
      <w:r w:rsidR="00974968" w:rsidRPr="00974968">
        <w:rPr>
          <w:rFonts w:ascii="Open Sans" w:hAnsi="Open Sans" w:cs="Open Sans"/>
          <w:sz w:val="20"/>
          <w:szCs w:val="20"/>
        </w:rPr>
        <w:t xml:space="preserve"> </w:t>
      </w:r>
    </w:p>
    <w:p w14:paraId="4F55393A" w14:textId="7E837F34" w:rsidR="00974968" w:rsidRPr="00954123" w:rsidRDefault="00974968" w:rsidP="00974968">
      <w:pPr>
        <w:spacing w:before="120" w:after="120" w:line="360" w:lineRule="auto"/>
        <w:jc w:val="both"/>
        <w:rPr>
          <w:rFonts w:ascii="Open Sans" w:hAnsi="Open Sans" w:cs="Open Sans"/>
          <w:sz w:val="20"/>
          <w:szCs w:val="20"/>
        </w:rPr>
      </w:pPr>
      <w:r>
        <w:rPr>
          <w:rFonts w:ascii="Open Sans" w:hAnsi="Open Sans" w:cs="Open Sans"/>
          <w:sz w:val="20"/>
          <w:szCs w:val="20"/>
        </w:rPr>
        <w:t>This document provides the necessary background for forecasting and valuing companies, which we will apply to your selected growth companies.</w:t>
      </w:r>
    </w:p>
    <w:p w14:paraId="3358640E" w14:textId="77777777" w:rsidR="00974968" w:rsidRPr="00732C96" w:rsidRDefault="00974968" w:rsidP="00974968">
      <w:pPr>
        <w:pStyle w:val="Heading1"/>
        <w:rPr>
          <w:smallCaps/>
          <w:color w:val="33006F"/>
        </w:rPr>
      </w:pPr>
      <w:bookmarkStart w:id="3" w:name="_Toc471463071"/>
      <w:r w:rsidRPr="00732C96">
        <w:rPr>
          <w:smallCaps/>
          <w:color w:val="33006F"/>
        </w:rPr>
        <w:t>Background</w:t>
      </w:r>
      <w:bookmarkEnd w:id="3"/>
    </w:p>
    <w:p w14:paraId="2B2F9D07" w14:textId="7D4425C7" w:rsidR="00974968" w:rsidRDefault="00C1508C" w:rsidP="00EC4EFA">
      <w:pPr>
        <w:spacing w:before="120" w:after="120" w:line="360" w:lineRule="auto"/>
        <w:jc w:val="both"/>
        <w:rPr>
          <w:rFonts w:ascii="Open Sans" w:hAnsi="Open Sans" w:cs="Open Sans"/>
          <w:sz w:val="20"/>
          <w:szCs w:val="20"/>
        </w:rPr>
      </w:pPr>
      <w:r>
        <w:rPr>
          <w:rFonts w:ascii="Open Sans" w:hAnsi="Open Sans" w:cs="Open Sans"/>
          <w:sz w:val="20"/>
          <w:szCs w:val="20"/>
        </w:rPr>
        <w:t xml:space="preserve">All firms take risks to generate a return on investment. Figure 1 outlines the trade-off between risk-taking and creating value. As we begin to explore the audit risks related to growth firms, we want to keep this </w:t>
      </w:r>
      <w:r>
        <w:rPr>
          <w:rFonts w:ascii="Open Sans" w:hAnsi="Open Sans" w:cs="Open Sans"/>
          <w:sz w:val="20"/>
          <w:szCs w:val="20"/>
        </w:rPr>
        <w:lastRenderedPageBreak/>
        <w:t xml:space="preserve">image in mind. Essentially, the theory behind Figure 1 suggests that grow from risk-taking (launching a new product, opening new stores, offering new services) is beneficial to the company up to a point. After which, the risk-taking outweighs the benefits to the company, lowering value.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974968" w14:paraId="651760DC" w14:textId="77777777" w:rsidTr="00A56AB6">
        <w:tc>
          <w:tcPr>
            <w:tcW w:w="8064" w:type="dxa"/>
            <w:gridSpan w:val="2"/>
          </w:tcPr>
          <w:p w14:paraId="290ADABA" w14:textId="61E7C268" w:rsidR="00974968" w:rsidRPr="00961CC7" w:rsidRDefault="00974968" w:rsidP="00A56AB6">
            <w:pPr>
              <w:jc w:val="center"/>
              <w:rPr>
                <w:rFonts w:ascii="Open Sans" w:hAnsi="Open Sans" w:cs="Open Sans"/>
                <w:b/>
                <w:sz w:val="20"/>
              </w:rPr>
            </w:pPr>
            <w:r w:rsidRPr="00961CC7">
              <w:rPr>
                <w:rFonts w:ascii="Open Sans" w:hAnsi="Open Sans" w:cs="Open Sans"/>
                <w:b/>
                <w:sz w:val="20"/>
              </w:rPr>
              <w:t xml:space="preserve">Figure </w:t>
            </w:r>
            <w:r w:rsidRPr="00961CC7">
              <w:rPr>
                <w:rFonts w:ascii="Open Sans" w:hAnsi="Open Sans" w:cs="Open Sans"/>
                <w:b/>
                <w:sz w:val="20"/>
              </w:rPr>
              <w:fldChar w:fldCharType="begin"/>
            </w:r>
            <w:r w:rsidRPr="00961CC7">
              <w:rPr>
                <w:rFonts w:ascii="Open Sans" w:hAnsi="Open Sans" w:cs="Open Sans"/>
                <w:b/>
                <w:sz w:val="20"/>
              </w:rPr>
              <w:instrText xml:space="preserve"> SEQ Figures \* MERGEFORMAT </w:instrText>
            </w:r>
            <w:r w:rsidRPr="00961CC7">
              <w:rPr>
                <w:rFonts w:ascii="Open Sans" w:hAnsi="Open Sans" w:cs="Open Sans"/>
                <w:b/>
                <w:sz w:val="20"/>
              </w:rPr>
              <w:fldChar w:fldCharType="separate"/>
            </w:r>
            <w:r w:rsidR="008D3733">
              <w:rPr>
                <w:rFonts w:ascii="Open Sans" w:hAnsi="Open Sans" w:cs="Open Sans"/>
                <w:b/>
                <w:noProof/>
                <w:sz w:val="20"/>
              </w:rPr>
              <w:t>1</w:t>
            </w:r>
            <w:r w:rsidRPr="00961CC7">
              <w:rPr>
                <w:rFonts w:ascii="Open Sans" w:hAnsi="Open Sans" w:cs="Open Sans"/>
                <w:b/>
                <w:sz w:val="20"/>
              </w:rPr>
              <w:fldChar w:fldCharType="end"/>
            </w:r>
          </w:p>
          <w:p w14:paraId="2075DFCC" w14:textId="187C924A" w:rsidR="00974968" w:rsidRDefault="00C1508C" w:rsidP="00A56AB6">
            <w:pPr>
              <w:jc w:val="center"/>
            </w:pPr>
            <w:r w:rsidRPr="00961CC7">
              <w:rPr>
                <w:rFonts w:ascii="Open Sans" w:hAnsi="Open Sans" w:cs="Open Sans"/>
                <w:b/>
                <w:sz w:val="20"/>
              </w:rPr>
              <w:t>Optimal Risk-Taking</w:t>
            </w:r>
          </w:p>
        </w:tc>
      </w:tr>
      <w:tr w:rsidR="00974968" w14:paraId="0CBB4D3A" w14:textId="77777777" w:rsidTr="00A56AB6">
        <w:trPr>
          <w:trHeight w:val="2547"/>
        </w:trPr>
        <w:tc>
          <w:tcPr>
            <w:tcW w:w="8064" w:type="dxa"/>
            <w:gridSpan w:val="2"/>
          </w:tcPr>
          <w:p w14:paraId="4CEBCA43" w14:textId="0E092C7A" w:rsidR="00974968" w:rsidRDefault="00974968" w:rsidP="00A56AB6">
            <w:pPr>
              <w:jc w:val="center"/>
            </w:pPr>
            <w:r>
              <w:rPr>
                <w:noProof/>
              </w:rPr>
              <w:drawing>
                <wp:inline distT="0" distB="0" distL="0" distR="0" wp14:anchorId="10FC06DC" wp14:editId="12864A1B">
                  <wp:extent cx="4566773" cy="300799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175" r="8254"/>
                          <a:stretch/>
                        </pic:blipFill>
                        <pic:spPr bwMode="auto">
                          <a:xfrm>
                            <a:off x="0" y="0"/>
                            <a:ext cx="4580949" cy="3017332"/>
                          </a:xfrm>
                          <a:prstGeom prst="rect">
                            <a:avLst/>
                          </a:prstGeom>
                          <a:ln>
                            <a:noFill/>
                          </a:ln>
                          <a:extLst>
                            <a:ext uri="{53640926-AAD7-44D8-BBD7-CCE9431645EC}">
                              <a14:shadowObscured xmlns:a14="http://schemas.microsoft.com/office/drawing/2010/main"/>
                            </a:ext>
                          </a:extLst>
                        </pic:spPr>
                      </pic:pic>
                    </a:graphicData>
                  </a:graphic>
                </wp:inline>
              </w:drawing>
            </w:r>
          </w:p>
        </w:tc>
      </w:tr>
      <w:tr w:rsidR="00974968" w:rsidRPr="009C6099" w14:paraId="1A98FD90" w14:textId="77777777" w:rsidTr="00A56AB6">
        <w:trPr>
          <w:trHeight w:val="85"/>
        </w:trPr>
        <w:tc>
          <w:tcPr>
            <w:tcW w:w="2448" w:type="dxa"/>
            <w:tcBorders>
              <w:bottom w:val="single" w:sz="8" w:space="0" w:color="33006F"/>
            </w:tcBorders>
          </w:tcPr>
          <w:p w14:paraId="088E583B" w14:textId="77777777" w:rsidR="00974968" w:rsidRPr="009C6099" w:rsidRDefault="00974968" w:rsidP="00A56AB6">
            <w:pPr>
              <w:rPr>
                <w:sz w:val="8"/>
              </w:rPr>
            </w:pPr>
          </w:p>
        </w:tc>
        <w:tc>
          <w:tcPr>
            <w:tcW w:w="5616" w:type="dxa"/>
          </w:tcPr>
          <w:p w14:paraId="57DB7EB6" w14:textId="77777777" w:rsidR="00974968" w:rsidRPr="009C6099" w:rsidRDefault="00974968" w:rsidP="00A56AB6">
            <w:pPr>
              <w:rPr>
                <w:sz w:val="8"/>
              </w:rPr>
            </w:pPr>
          </w:p>
        </w:tc>
      </w:tr>
      <w:tr w:rsidR="00974968" w14:paraId="251646CC" w14:textId="77777777" w:rsidTr="00A56AB6">
        <w:trPr>
          <w:trHeight w:val="612"/>
        </w:trPr>
        <w:tc>
          <w:tcPr>
            <w:tcW w:w="8064" w:type="dxa"/>
            <w:gridSpan w:val="2"/>
          </w:tcPr>
          <w:p w14:paraId="7A4430EF" w14:textId="2DCB7882" w:rsidR="00974968" w:rsidRPr="00961CC7" w:rsidRDefault="00974968" w:rsidP="00A56AB6">
            <w:pPr>
              <w:spacing w:line="240" w:lineRule="auto"/>
              <w:jc w:val="both"/>
              <w:rPr>
                <w:rFonts w:ascii="Open Sans" w:hAnsi="Open Sans" w:cs="Open Sans"/>
                <w:sz w:val="16"/>
                <w:szCs w:val="20"/>
              </w:rPr>
            </w:pPr>
            <w:r w:rsidRPr="00961CC7">
              <w:rPr>
                <w:rFonts w:ascii="Open Sans" w:hAnsi="Open Sans" w:cs="Open Sans"/>
                <w:sz w:val="16"/>
                <w:szCs w:val="20"/>
              </w:rPr>
              <w:t xml:space="preserve">Notes: This figure is </w:t>
            </w:r>
            <w:r w:rsidR="00283AF3" w:rsidRPr="00961CC7">
              <w:rPr>
                <w:rFonts w:ascii="Open Sans" w:hAnsi="Open Sans" w:cs="Open Sans"/>
                <w:sz w:val="16"/>
                <w:szCs w:val="20"/>
              </w:rPr>
              <w:t>taken from “Risk Assessment in Practice” by Deloitte.</w:t>
            </w:r>
          </w:p>
        </w:tc>
      </w:tr>
    </w:tbl>
    <w:p w14:paraId="2C55A777" w14:textId="589E4EE5" w:rsidR="00974968" w:rsidRDefault="00C1508C" w:rsidP="00EC4EFA">
      <w:pPr>
        <w:spacing w:before="120" w:after="120" w:line="360" w:lineRule="auto"/>
        <w:jc w:val="both"/>
        <w:rPr>
          <w:rFonts w:ascii="Open Sans" w:hAnsi="Open Sans" w:cs="Open Sans"/>
          <w:sz w:val="20"/>
          <w:szCs w:val="20"/>
        </w:rPr>
      </w:pPr>
      <w:r>
        <w:rPr>
          <w:rFonts w:ascii="Open Sans" w:hAnsi="Open Sans" w:cs="Open Sans"/>
          <w:sz w:val="20"/>
          <w:szCs w:val="20"/>
        </w:rPr>
        <w:t xml:space="preserve">As these risks are tied very closely to growth, the distinction between </w:t>
      </w:r>
      <w:r w:rsidR="00283AF3">
        <w:rPr>
          <w:rFonts w:ascii="Open Sans" w:hAnsi="Open Sans" w:cs="Open Sans"/>
          <w:sz w:val="20"/>
          <w:szCs w:val="20"/>
        </w:rPr>
        <w:t>optimal risk-taking and excessive risk-taking will be difficult to judge for high-growth firms (including recent IPOs). Some questions to keep in mind and develop include</w:t>
      </w:r>
      <w:r>
        <w:rPr>
          <w:rFonts w:ascii="Open Sans" w:hAnsi="Open Sans" w:cs="Open Sans"/>
          <w:sz w:val="20"/>
          <w:szCs w:val="20"/>
        </w:rPr>
        <w:t>: is the company taking excessive risks?</w:t>
      </w:r>
      <w:r w:rsidR="00283AF3">
        <w:rPr>
          <w:rFonts w:ascii="Open Sans" w:hAnsi="Open Sans" w:cs="Open Sans"/>
          <w:sz w:val="20"/>
          <w:szCs w:val="20"/>
        </w:rPr>
        <w:t xml:space="preserve"> How do we measure excessive?</w:t>
      </w:r>
      <w:r>
        <w:rPr>
          <w:rFonts w:ascii="Open Sans" w:hAnsi="Open Sans" w:cs="Open Sans"/>
          <w:sz w:val="20"/>
          <w:szCs w:val="20"/>
        </w:rPr>
        <w:t xml:space="preserve"> Are there sufficient controls in place over the estimates of various revenue-related estimates (including contra-revenue accounts for returns)? </w:t>
      </w:r>
      <w:r w:rsidR="00283AF3">
        <w:rPr>
          <w:rFonts w:ascii="Open Sans" w:hAnsi="Open Sans" w:cs="Open Sans"/>
          <w:sz w:val="20"/>
          <w:szCs w:val="20"/>
        </w:rPr>
        <w:t>How is growth affecting inventory systems, or quality controls? And perhaps most fundamentally, from a financial reporting perspective, what are the accounts that are most tied to revenue? And are controls over these estimates being sufficiently monitored and updated as necessary?</w:t>
      </w:r>
    </w:p>
    <w:p w14:paraId="4C4597E2" w14:textId="64EB9991" w:rsidR="00283AF3" w:rsidRDefault="00283AF3" w:rsidP="00EC4EFA">
      <w:pPr>
        <w:spacing w:before="120" w:after="120" w:line="360" w:lineRule="auto"/>
        <w:jc w:val="both"/>
        <w:rPr>
          <w:rFonts w:ascii="Open Sans" w:hAnsi="Open Sans" w:cs="Open Sans"/>
          <w:sz w:val="20"/>
          <w:szCs w:val="20"/>
        </w:rPr>
      </w:pPr>
      <w:r w:rsidRPr="00FD51E4">
        <w:rPr>
          <w:rFonts w:ascii="Open Sans" w:hAnsi="Open Sans" w:cs="Open Sans"/>
          <w:b/>
          <w:color w:val="33006F"/>
          <w:sz w:val="20"/>
          <w:szCs w:val="20"/>
        </w:rPr>
        <w:t xml:space="preserve">AS 2501 “Auditing Estimates” </w:t>
      </w:r>
      <w:r>
        <w:rPr>
          <w:rFonts w:ascii="Open Sans" w:hAnsi="Open Sans" w:cs="Open Sans"/>
          <w:sz w:val="20"/>
          <w:szCs w:val="20"/>
        </w:rPr>
        <w:t>defines an accounting estimate as “</w:t>
      </w:r>
      <w:r w:rsidRPr="00283AF3">
        <w:rPr>
          <w:rFonts w:ascii="Open Sans" w:hAnsi="Open Sans" w:cs="Open Sans"/>
          <w:sz w:val="20"/>
          <w:szCs w:val="20"/>
        </w:rPr>
        <w:t>an approximation of a financial statement element, item, or account</w:t>
      </w:r>
      <w:r>
        <w:rPr>
          <w:rFonts w:ascii="Open Sans" w:hAnsi="Open Sans" w:cs="Open Sans"/>
          <w:sz w:val="20"/>
          <w:szCs w:val="20"/>
        </w:rPr>
        <w:t xml:space="preserve">” </w:t>
      </w:r>
      <w:r w:rsidR="00FD51E4">
        <w:rPr>
          <w:rFonts w:ascii="Open Sans" w:hAnsi="Open Sans" w:cs="Open Sans"/>
          <w:sz w:val="20"/>
          <w:szCs w:val="20"/>
        </w:rPr>
        <w:t>and are estimates because either:</w:t>
      </w:r>
    </w:p>
    <w:p w14:paraId="4BB11893" w14:textId="4589DF44" w:rsidR="00FD51E4" w:rsidRPr="00FD51E4" w:rsidRDefault="00FD51E4" w:rsidP="00FD51E4">
      <w:pPr>
        <w:spacing w:before="120" w:after="120" w:line="240" w:lineRule="auto"/>
        <w:ind w:left="720" w:right="648"/>
        <w:jc w:val="both"/>
        <w:rPr>
          <w:rFonts w:ascii="Calibri" w:eastAsia="Calibri" w:hAnsi="Calibri" w:cs="Times New Roman"/>
          <w:sz w:val="20"/>
          <w:szCs w:val="20"/>
        </w:rPr>
      </w:pPr>
      <w:r>
        <w:rPr>
          <w:rFonts w:ascii="Calibri" w:eastAsia="Calibri" w:hAnsi="Calibri" w:cs="Times New Roman"/>
          <w:sz w:val="20"/>
          <w:szCs w:val="20"/>
        </w:rPr>
        <w:t>“</w:t>
      </w:r>
      <w:r w:rsidRPr="00FD51E4">
        <w:rPr>
          <w:rFonts w:ascii="Calibri" w:eastAsia="Calibri" w:hAnsi="Calibri" w:cs="Times New Roman"/>
          <w:sz w:val="20"/>
          <w:szCs w:val="20"/>
        </w:rPr>
        <w:t>a. The measurement of some amounts or the valuation of some accounts is uncertain, pending the outcome of future events.</w:t>
      </w:r>
    </w:p>
    <w:p w14:paraId="3D6F4191" w14:textId="0BF2BDDF" w:rsidR="00FD51E4" w:rsidRDefault="00FD51E4" w:rsidP="00FD51E4">
      <w:pPr>
        <w:spacing w:before="120" w:after="120" w:line="240" w:lineRule="auto"/>
        <w:ind w:left="720" w:right="648"/>
        <w:jc w:val="both"/>
        <w:rPr>
          <w:rFonts w:ascii="Calibri" w:eastAsia="Calibri" w:hAnsi="Calibri" w:cs="Times New Roman"/>
          <w:sz w:val="20"/>
          <w:szCs w:val="20"/>
        </w:rPr>
      </w:pPr>
      <w:r w:rsidRPr="00FD51E4">
        <w:rPr>
          <w:rFonts w:ascii="Calibri" w:eastAsia="Calibri" w:hAnsi="Calibri" w:cs="Times New Roman"/>
          <w:sz w:val="20"/>
          <w:szCs w:val="20"/>
        </w:rPr>
        <w:lastRenderedPageBreak/>
        <w:t>b. Relevant data concerning events that have already occurred cannot be accumulated on a timely, cost-effective basis.</w:t>
      </w:r>
      <w:r>
        <w:rPr>
          <w:rFonts w:ascii="Calibri" w:eastAsia="Calibri" w:hAnsi="Calibri" w:cs="Times New Roman"/>
          <w:sz w:val="20"/>
          <w:szCs w:val="20"/>
        </w:rPr>
        <w:t>”</w:t>
      </w:r>
    </w:p>
    <w:p w14:paraId="3C46BF8C" w14:textId="537E2E03" w:rsidR="00FD51E4" w:rsidRDefault="00B80F7D" w:rsidP="00FD51E4">
      <w:pPr>
        <w:spacing w:before="120" w:after="120" w:line="360" w:lineRule="auto"/>
        <w:jc w:val="both"/>
        <w:rPr>
          <w:rFonts w:ascii="Open Sans" w:hAnsi="Open Sans" w:cs="Open Sans"/>
          <w:sz w:val="20"/>
          <w:szCs w:val="20"/>
        </w:rPr>
      </w:pPr>
      <w:r w:rsidRPr="00F7244B">
        <w:rPr>
          <w:rFonts w:ascii="Open Sans" w:eastAsiaTheme="majorEastAsia" w:hAnsi="Open Sans" w:cs="Open Sans"/>
          <w:b/>
          <w:bCs/>
          <w:smallCaps/>
          <w:color w:val="33006F"/>
          <w:szCs w:val="28"/>
        </w:rPr>
        <w:t>Revenue</w:t>
      </w:r>
      <w:r w:rsidR="00FD51E4" w:rsidRPr="00FD51E4">
        <w:rPr>
          <w:rFonts w:ascii="Open Sans" w:hAnsi="Open Sans" w:cs="Open Sans"/>
          <w:b/>
          <w:color w:val="33006F"/>
          <w:sz w:val="20"/>
          <w:szCs w:val="20"/>
        </w:rPr>
        <w:t xml:space="preserve"> </w:t>
      </w:r>
      <w:r>
        <w:rPr>
          <w:rFonts w:ascii="Open Sans" w:hAnsi="Open Sans" w:cs="Open Sans"/>
          <w:sz w:val="20"/>
          <w:szCs w:val="20"/>
        </w:rPr>
        <w:t xml:space="preserve">which is an accounting estimate as it is generally reported as </w:t>
      </w:r>
      <w:r w:rsidRPr="00B80F7D">
        <w:rPr>
          <w:rFonts w:ascii="Open Sans" w:hAnsi="Open Sans" w:cs="Open Sans"/>
          <w:b/>
          <w:color w:val="33006F"/>
          <w:sz w:val="20"/>
          <w:szCs w:val="20"/>
        </w:rPr>
        <w:t>net revenue</w:t>
      </w:r>
      <w:r>
        <w:rPr>
          <w:rFonts w:ascii="Open Sans" w:hAnsi="Open Sans" w:cs="Open Sans"/>
          <w:sz w:val="20"/>
          <w:szCs w:val="20"/>
        </w:rPr>
        <w:t>, as it is net of reserves. For growth firms, revenue and the related reserves are an important account that represents a misstatement risk. Usually, when the company sells goods with a right to return, or I the case of software services that include updating rights. With revenue recognition undergoing changes due to the FASB’s passing of Section 606 into the codification, revenue recognition is becoming more complex for firms that have contracts with customers. The recent PCAOB Staff Audit Practice Alert No. 15 (SAPA 15), provides details about important audit matters for revenue recognition under ASC 606.</w:t>
      </w:r>
    </w:p>
    <w:p w14:paraId="345B3DDC" w14:textId="4C13CDD9" w:rsidR="00FD51E4" w:rsidRPr="00FD51E4" w:rsidRDefault="00547A41" w:rsidP="00B80F7D">
      <w:pPr>
        <w:spacing w:before="120" w:after="120" w:line="360" w:lineRule="auto"/>
        <w:jc w:val="both"/>
        <w:rPr>
          <w:rFonts w:ascii="Calibri" w:eastAsia="Calibri" w:hAnsi="Calibri" w:cs="Times New Roman"/>
          <w:sz w:val="20"/>
          <w:szCs w:val="20"/>
        </w:rPr>
      </w:pPr>
      <w:r>
        <w:rPr>
          <w:rFonts w:ascii="Open Sans" w:hAnsi="Open Sans" w:cs="Open Sans"/>
          <w:sz w:val="20"/>
          <w:szCs w:val="20"/>
        </w:rPr>
        <w:t>The e</w:t>
      </w:r>
      <w:r w:rsidR="00B80F7D">
        <w:rPr>
          <w:rFonts w:ascii="Open Sans" w:hAnsi="Open Sans" w:cs="Open Sans"/>
          <w:sz w:val="20"/>
          <w:szCs w:val="20"/>
        </w:rPr>
        <w:t xml:space="preserve">conomics of growth firms, can make the audit planning process more challenging, as </w:t>
      </w:r>
      <w:r>
        <w:rPr>
          <w:rFonts w:ascii="Open Sans" w:hAnsi="Open Sans" w:cs="Open Sans"/>
          <w:sz w:val="20"/>
          <w:szCs w:val="20"/>
        </w:rPr>
        <w:t xml:space="preserve">growth companies are </w:t>
      </w:r>
      <w:r w:rsidR="00B80F7D">
        <w:rPr>
          <w:rFonts w:ascii="Open Sans" w:hAnsi="Open Sans" w:cs="Open Sans"/>
          <w:sz w:val="20"/>
          <w:szCs w:val="20"/>
        </w:rPr>
        <w:t>more challenging to understand (they could be in new markets, advancing new technologies, or disrupting familiar industries).</w:t>
      </w:r>
      <w:r>
        <w:rPr>
          <w:rFonts w:ascii="Open Sans" w:hAnsi="Open Sans" w:cs="Open Sans"/>
          <w:sz w:val="20"/>
          <w:szCs w:val="20"/>
        </w:rPr>
        <w:t xml:space="preserve"> To understand these firms, we will work through the forecasting and valuation processes and discuss what makes the application of these standard financial statement analysis tools more challenging for growth companies.</w:t>
      </w:r>
    </w:p>
    <w:p w14:paraId="4DABF117" w14:textId="7FCB3AAC" w:rsidR="004E68EB" w:rsidRPr="00802737" w:rsidRDefault="004E68EB" w:rsidP="00AB170C">
      <w:pPr>
        <w:pStyle w:val="Heading1"/>
        <w:rPr>
          <w:rFonts w:ascii="Open Sans" w:hAnsi="Open Sans" w:cs="Open Sans"/>
          <w:smallCaps/>
          <w:color w:val="33006F"/>
        </w:rPr>
      </w:pPr>
      <w:r>
        <w:rPr>
          <w:rFonts w:ascii="Open Sans" w:hAnsi="Open Sans" w:cs="Open Sans"/>
          <w:smallCaps/>
          <w:color w:val="33006F"/>
        </w:rPr>
        <w:t>Forecasting</w:t>
      </w:r>
    </w:p>
    <w:p w14:paraId="6E99057D" w14:textId="77777777" w:rsidR="001E2250" w:rsidRDefault="004E68EB" w:rsidP="009E3EF0">
      <w:pPr>
        <w:spacing w:before="120" w:after="120" w:line="360" w:lineRule="auto"/>
        <w:jc w:val="both"/>
        <w:rPr>
          <w:rFonts w:ascii="Open Sans" w:hAnsi="Open Sans" w:cs="Open Sans"/>
          <w:sz w:val="20"/>
          <w:szCs w:val="20"/>
        </w:rPr>
      </w:pPr>
      <w:r w:rsidRPr="00974968">
        <w:rPr>
          <w:rFonts w:ascii="Open Sans" w:hAnsi="Open Sans" w:cs="Open Sans"/>
          <w:sz w:val="20"/>
          <w:szCs w:val="20"/>
        </w:rPr>
        <w:t>Every financial statement forecast begins with a sales estimate. Typically</w:t>
      </w:r>
      <w:r w:rsidR="00974968">
        <w:rPr>
          <w:rFonts w:ascii="Open Sans" w:hAnsi="Open Sans" w:cs="Open Sans"/>
          <w:sz w:val="20"/>
          <w:szCs w:val="20"/>
        </w:rPr>
        <w:t>,</w:t>
      </w:r>
      <w:r w:rsidRPr="00974968">
        <w:rPr>
          <w:rFonts w:ascii="Open Sans" w:hAnsi="Open Sans" w:cs="Open Sans"/>
          <w:sz w:val="20"/>
          <w:szCs w:val="20"/>
        </w:rPr>
        <w:t xml:space="preserve"> the sales estimate is then combined with margin forecasts to estimate future income, and combined with turnover forecasts to estimate future assets, but the entire process </w:t>
      </w:r>
      <w:r w:rsidR="00547A41">
        <w:rPr>
          <w:rFonts w:ascii="Open Sans" w:hAnsi="Open Sans" w:cs="Open Sans"/>
          <w:sz w:val="20"/>
          <w:szCs w:val="20"/>
        </w:rPr>
        <w:t>relies</w:t>
      </w:r>
      <w:r w:rsidR="001E2250">
        <w:rPr>
          <w:rFonts w:ascii="Open Sans" w:hAnsi="Open Sans" w:cs="Open Sans"/>
          <w:sz w:val="20"/>
          <w:szCs w:val="20"/>
        </w:rPr>
        <w:t xml:space="preserve"> on</w:t>
      </w:r>
      <w:r w:rsidRPr="00974968">
        <w:rPr>
          <w:rFonts w:ascii="Open Sans" w:hAnsi="Open Sans" w:cs="Open Sans"/>
          <w:sz w:val="20"/>
          <w:szCs w:val="20"/>
        </w:rPr>
        <w:t xml:space="preserve"> </w:t>
      </w:r>
      <w:r w:rsidR="00547A41">
        <w:rPr>
          <w:rFonts w:ascii="Open Sans" w:hAnsi="Open Sans" w:cs="Open Sans"/>
          <w:sz w:val="20"/>
          <w:szCs w:val="20"/>
        </w:rPr>
        <w:t xml:space="preserve">the </w:t>
      </w:r>
      <w:r w:rsidRPr="00974968">
        <w:rPr>
          <w:rFonts w:ascii="Open Sans" w:hAnsi="Open Sans" w:cs="Open Sans"/>
          <w:sz w:val="20"/>
          <w:szCs w:val="20"/>
        </w:rPr>
        <w:t xml:space="preserve">sales forecast. </w:t>
      </w:r>
    </w:p>
    <w:p w14:paraId="4369702A" w14:textId="51D2953C" w:rsidR="004E68EB" w:rsidRDefault="001E2250" w:rsidP="009E3EF0">
      <w:pPr>
        <w:spacing w:before="120" w:after="120" w:line="360" w:lineRule="auto"/>
        <w:jc w:val="both"/>
        <w:rPr>
          <w:rFonts w:ascii="Open Sans" w:hAnsi="Open Sans" w:cs="Open Sans"/>
          <w:sz w:val="20"/>
          <w:szCs w:val="20"/>
        </w:rPr>
      </w:pPr>
      <w:r>
        <w:rPr>
          <w:rFonts w:ascii="Open Sans" w:hAnsi="Open Sans" w:cs="Open Sans"/>
          <w:sz w:val="20"/>
          <w:szCs w:val="20"/>
        </w:rPr>
        <w:t xml:space="preserve">At a high-level, there are two sources of sales growth: (1) </w:t>
      </w:r>
      <w:r w:rsidR="004E68EB" w:rsidRPr="00974968">
        <w:rPr>
          <w:rFonts w:ascii="Open Sans" w:hAnsi="Open Sans" w:cs="Open Sans"/>
          <w:sz w:val="20"/>
          <w:szCs w:val="20"/>
        </w:rPr>
        <w:t xml:space="preserve">changes in the number of sales-generating units (e.g. </w:t>
      </w:r>
      <w:r>
        <w:rPr>
          <w:rFonts w:ascii="Open Sans" w:hAnsi="Open Sans" w:cs="Open Sans"/>
          <w:sz w:val="20"/>
          <w:szCs w:val="20"/>
        </w:rPr>
        <w:t>attracting/losing customers, and changes in the frequency of customer purchases</w:t>
      </w:r>
      <w:r w:rsidR="004E68EB" w:rsidRPr="00974968">
        <w:rPr>
          <w:rFonts w:ascii="Open Sans" w:hAnsi="Open Sans" w:cs="Open Sans"/>
          <w:sz w:val="20"/>
          <w:szCs w:val="20"/>
        </w:rPr>
        <w:t xml:space="preserve">) and </w:t>
      </w:r>
      <w:r>
        <w:rPr>
          <w:rFonts w:ascii="Open Sans" w:hAnsi="Open Sans" w:cs="Open Sans"/>
          <w:sz w:val="20"/>
          <w:szCs w:val="20"/>
        </w:rPr>
        <w:t xml:space="preserve">(2) </w:t>
      </w:r>
      <w:r w:rsidR="004E68EB" w:rsidRPr="00974968">
        <w:rPr>
          <w:rFonts w:ascii="Open Sans" w:hAnsi="Open Sans" w:cs="Open Sans"/>
          <w:sz w:val="20"/>
          <w:szCs w:val="20"/>
        </w:rPr>
        <w:t xml:space="preserve">changes in the rate of sales per unit (e.g. </w:t>
      </w:r>
      <w:r>
        <w:rPr>
          <w:rFonts w:ascii="Open Sans" w:hAnsi="Open Sans" w:cs="Open Sans"/>
          <w:sz w:val="20"/>
          <w:szCs w:val="20"/>
        </w:rPr>
        <w:t>changes in the price the company can charge</w:t>
      </w:r>
      <w:r w:rsidR="004E68EB" w:rsidRPr="00974968">
        <w:rPr>
          <w:rFonts w:ascii="Open Sans" w:hAnsi="Open Sans" w:cs="Open Sans"/>
          <w:sz w:val="20"/>
          <w:szCs w:val="20"/>
        </w:rPr>
        <w:t>).</w:t>
      </w:r>
      <w:r w:rsidR="00A56AB6">
        <w:rPr>
          <w:rFonts w:ascii="Open Sans" w:hAnsi="Open Sans" w:cs="Open Sans"/>
          <w:sz w:val="20"/>
          <w:szCs w:val="20"/>
        </w:rPr>
        <w:t xml:space="preserve"> We will start by defining sales growth in percentages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1E2250" w14:paraId="39FF1339" w14:textId="77777777" w:rsidTr="00A56AB6">
        <w:tc>
          <w:tcPr>
            <w:tcW w:w="828" w:type="dxa"/>
          </w:tcPr>
          <w:p w14:paraId="02275A4C" w14:textId="77777777" w:rsidR="001E2250" w:rsidRDefault="001E2250" w:rsidP="00A56AB6">
            <w:pPr>
              <w:spacing w:line="360" w:lineRule="auto"/>
              <w:jc w:val="both"/>
              <w:rPr>
                <w:rFonts w:eastAsia="Times New Roman"/>
                <w:sz w:val="24"/>
                <w:szCs w:val="24"/>
              </w:rPr>
            </w:pPr>
          </w:p>
        </w:tc>
        <w:tc>
          <w:tcPr>
            <w:tcW w:w="7920" w:type="dxa"/>
            <w:vAlign w:val="center"/>
          </w:tcPr>
          <w:p w14:paraId="3ABFDA2B" w14:textId="161AD385" w:rsidR="001E2250" w:rsidRDefault="001E2250" w:rsidP="00A56AB6">
            <w:pPr>
              <w:spacing w:line="360" w:lineRule="auto"/>
              <w:jc w:val="center"/>
              <w:rPr>
                <w:rFonts w:eastAsia="Times New Roman"/>
                <w:sz w:val="24"/>
                <w:szCs w:val="24"/>
              </w:rPr>
            </w:pPr>
            <m:oMathPara>
              <m:oMath>
                <m:r>
                  <w:rPr>
                    <w:rFonts w:ascii="Cambria Math" w:eastAsia="Times New Roman" w:hAnsi="Cambria Math"/>
                    <w:sz w:val="24"/>
                    <w:szCs w:val="24"/>
                  </w:rPr>
                  <m:t>%Sales Growth=</m:t>
                </m:r>
                <m:d>
                  <m:dPr>
                    <m:ctrlPr>
                      <w:rPr>
                        <w:rFonts w:ascii="Cambria Math" w:eastAsia="Times New Roman" w:hAnsi="Cambria Math"/>
                        <w:i/>
                        <w:sz w:val="24"/>
                        <w:szCs w:val="24"/>
                      </w:rPr>
                    </m:ctrlPr>
                  </m:dPr>
                  <m:e>
                    <m:r>
                      <w:rPr>
                        <w:rFonts w:ascii="Cambria Math" w:eastAsia="Times New Roman" w:hAnsi="Cambria Math"/>
                        <w:sz w:val="24"/>
                        <w:szCs w:val="24"/>
                      </w:rPr>
                      <m:t>1+%growth in #units</m:t>
                    </m:r>
                  </m:e>
                </m:d>
                <m:r>
                  <w:rPr>
                    <w:rFonts w:ascii="Cambria Math" w:eastAsia="Times New Roman" w:hAnsi="Cambria Math"/>
                    <w:sz w:val="24"/>
                    <w:szCs w:val="24"/>
                  </w:rPr>
                  <m:t>×</m:t>
                </m:r>
                <m:d>
                  <m:dPr>
                    <m:ctrlPr>
                      <w:rPr>
                        <w:rFonts w:ascii="Cambria Math" w:eastAsia="Times New Roman" w:hAnsi="Cambria Math"/>
                        <w:i/>
                        <w:sz w:val="24"/>
                        <w:szCs w:val="24"/>
                      </w:rPr>
                    </m:ctrlPr>
                  </m:dPr>
                  <m:e>
                    <m:r>
                      <w:rPr>
                        <w:rFonts w:ascii="Cambria Math" w:eastAsia="Times New Roman" w:hAnsi="Cambria Math"/>
                        <w:sz w:val="24"/>
                        <w:szCs w:val="24"/>
                      </w:rPr>
                      <m:t>1+%growth in revenue/unit</m:t>
                    </m:r>
                  </m:e>
                </m:d>
              </m:oMath>
            </m:oMathPara>
          </w:p>
        </w:tc>
        <w:tc>
          <w:tcPr>
            <w:tcW w:w="828" w:type="dxa"/>
            <w:vAlign w:val="center"/>
          </w:tcPr>
          <w:p w14:paraId="6D21852D" w14:textId="68D5D460" w:rsidR="001E2250" w:rsidRDefault="001E2250" w:rsidP="00A56AB6">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8D3733">
              <w:rPr>
                <w:rFonts w:eastAsia="Times New Roman"/>
                <w:noProof/>
                <w:sz w:val="24"/>
                <w:szCs w:val="24"/>
              </w:rPr>
              <w:t>1</w:t>
            </w:r>
            <w:r>
              <w:rPr>
                <w:rFonts w:eastAsia="Times New Roman"/>
                <w:sz w:val="24"/>
                <w:szCs w:val="24"/>
              </w:rPr>
              <w:fldChar w:fldCharType="end"/>
            </w:r>
            <w:r>
              <w:rPr>
                <w:rFonts w:eastAsia="Times New Roman"/>
                <w:sz w:val="24"/>
                <w:szCs w:val="24"/>
              </w:rPr>
              <w:t>)</w:t>
            </w:r>
          </w:p>
        </w:tc>
      </w:tr>
    </w:tbl>
    <w:p w14:paraId="4DA0940F" w14:textId="0B1BDE28" w:rsidR="00A56AB6" w:rsidRDefault="001E2250" w:rsidP="00A56AB6">
      <w:pPr>
        <w:spacing w:before="120" w:after="120" w:line="360" w:lineRule="auto"/>
        <w:jc w:val="both"/>
        <w:rPr>
          <w:rFonts w:ascii="Open Sans" w:hAnsi="Open Sans" w:cs="Open Sans"/>
          <w:sz w:val="20"/>
          <w:szCs w:val="20"/>
        </w:rPr>
      </w:pPr>
      <w:r w:rsidRPr="00974968">
        <w:rPr>
          <w:rFonts w:ascii="Open Sans" w:hAnsi="Open Sans" w:cs="Open Sans"/>
          <w:sz w:val="20"/>
          <w:szCs w:val="20"/>
        </w:rPr>
        <w:t>Note that all the terms are in percentages,</w:t>
      </w:r>
      <w:r w:rsidR="00A56AB6">
        <w:rPr>
          <w:rFonts w:ascii="Open Sans" w:hAnsi="Open Sans" w:cs="Open Sans"/>
          <w:sz w:val="20"/>
          <w:szCs w:val="20"/>
        </w:rPr>
        <w:t xml:space="preserve"> and the units are common across both terms. The percentages can be considered as year-over-year growth rates. As it is based on unit-specific inputs, it is often referred to as a bottom-up forecast. An example could be the sales growth in revenue generated by the iPhone </w:t>
      </w:r>
      <w:r w:rsidR="00A56AB6">
        <w:rPr>
          <w:rFonts w:ascii="Open Sans" w:hAnsi="Open Sans" w:cs="Open Sans"/>
          <w:sz w:val="20"/>
          <w:szCs w:val="20"/>
        </w:rPr>
        <w:lastRenderedPageBreak/>
        <w:t xml:space="preserve">for Apple, in which case, </w:t>
      </w:r>
      <m:oMath>
        <m:r>
          <w:rPr>
            <w:rFonts w:ascii="Cambria Math" w:eastAsia="Times New Roman" w:hAnsi="Cambria Math"/>
            <w:sz w:val="24"/>
            <w:szCs w:val="24"/>
          </w:rPr>
          <m:t>%growth in #units</m:t>
        </m:r>
      </m:oMath>
      <w:r w:rsidR="00A56AB6">
        <w:rPr>
          <w:rFonts w:ascii="Open Sans" w:hAnsi="Open Sans" w:cs="Open Sans"/>
          <w:sz w:val="20"/>
          <w:szCs w:val="20"/>
        </w:rPr>
        <w:t xml:space="preserve"> is the percentage growth in the number of iPhones sold and </w:t>
      </w:r>
      <m:oMath>
        <m:r>
          <w:rPr>
            <w:rFonts w:ascii="Cambria Math" w:eastAsia="Times New Roman" w:hAnsi="Cambria Math"/>
            <w:sz w:val="24"/>
            <w:szCs w:val="24"/>
          </w:rPr>
          <m:t>%growth in revenue/unit</m:t>
        </m:r>
      </m:oMath>
      <w:r w:rsidR="00A56AB6">
        <w:rPr>
          <w:rFonts w:ascii="Open Sans" w:hAnsi="Open Sans" w:cs="Open Sans"/>
          <w:sz w:val="20"/>
          <w:szCs w:val="20"/>
        </w:rPr>
        <w:t xml:space="preserve"> is the amount of revenue that Apple recognizes</w:t>
      </w:r>
      <w:r w:rsidR="003224F7">
        <w:rPr>
          <w:rFonts w:ascii="Open Sans" w:hAnsi="Open Sans" w:cs="Open Sans"/>
          <w:sz w:val="20"/>
          <w:szCs w:val="20"/>
        </w:rPr>
        <w:t xml:space="preserve"> from each iPhone sale.</w:t>
      </w:r>
    </w:p>
    <w:p w14:paraId="21957DDD" w14:textId="0001C6B2" w:rsidR="00A56AB6" w:rsidRDefault="00A56AB6" w:rsidP="001E2250">
      <w:pPr>
        <w:spacing w:before="120" w:after="120" w:line="360" w:lineRule="auto"/>
        <w:jc w:val="both"/>
        <w:rPr>
          <w:rFonts w:ascii="Open Sans" w:hAnsi="Open Sans" w:cs="Open Sans"/>
          <w:sz w:val="20"/>
          <w:szCs w:val="20"/>
        </w:rPr>
      </w:pPr>
      <w:r>
        <w:rPr>
          <w:rFonts w:ascii="Open Sans" w:hAnsi="Open Sans" w:cs="Open Sans"/>
          <w:sz w:val="20"/>
          <w:szCs w:val="20"/>
        </w:rPr>
        <w:t>Equation (1) can be written for a forecast of sales, in dollars, based on the difference between the expected outcome and the historical revenue. For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A56AB6" w14:paraId="7D90E508" w14:textId="77777777" w:rsidTr="00A56AB6">
        <w:tc>
          <w:tcPr>
            <w:tcW w:w="828" w:type="dxa"/>
          </w:tcPr>
          <w:p w14:paraId="29343DAB" w14:textId="77777777" w:rsidR="00A56AB6" w:rsidRDefault="00A56AB6" w:rsidP="00A56AB6">
            <w:pPr>
              <w:spacing w:line="360" w:lineRule="auto"/>
              <w:jc w:val="both"/>
              <w:rPr>
                <w:rFonts w:eastAsia="Times New Roman"/>
                <w:sz w:val="24"/>
                <w:szCs w:val="24"/>
              </w:rPr>
            </w:pPr>
          </w:p>
        </w:tc>
        <w:tc>
          <w:tcPr>
            <w:tcW w:w="7920" w:type="dxa"/>
            <w:vAlign w:val="center"/>
          </w:tcPr>
          <w:p w14:paraId="542E9A0B" w14:textId="0403B84E" w:rsidR="00A56AB6" w:rsidRDefault="00A56AB6" w:rsidP="00A56AB6">
            <w:pPr>
              <w:spacing w:line="360" w:lineRule="auto"/>
              <w:jc w:val="center"/>
              <w:rPr>
                <w:rFonts w:eastAsia="Times New Roman"/>
                <w:sz w:val="24"/>
                <w:szCs w:val="24"/>
              </w:rPr>
            </w:pPr>
            <m:oMathPara>
              <m:oMath>
                <m:r>
                  <w:rPr>
                    <w:rFonts w:ascii="Cambria Math" w:eastAsia="Times New Roman" w:hAnsi="Cambria Math"/>
                    <w:sz w:val="24"/>
                    <w:szCs w:val="24"/>
                  </w:rPr>
                  <m:t>$Sales Growt</m:t>
                </m:r>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t+1</m:t>
                    </m:r>
                  </m:sub>
                </m:sSub>
                <m:r>
                  <w:rPr>
                    <w:rFonts w:ascii="Cambria Math" w:eastAsia="Times New Roman" w:hAnsi="Cambria Math"/>
                    <w:sz w:val="24"/>
                    <w:szCs w:val="24"/>
                  </w:rPr>
                  <m:t xml:space="preserve"> =Expected</m:t>
                </m:r>
                <m:d>
                  <m:dPr>
                    <m:ctrlPr>
                      <w:rPr>
                        <w:rFonts w:ascii="Cambria Math" w:eastAsia="Times New Roman" w:hAnsi="Cambria Math"/>
                        <w:i/>
                        <w:sz w:val="24"/>
                        <w:szCs w:val="24"/>
                      </w:rPr>
                    </m:ctrlPr>
                  </m:dPr>
                  <m:e>
                    <m:r>
                      <w:rPr>
                        <w:rFonts w:ascii="Cambria Math" w:eastAsia="Times New Roman" w:hAnsi="Cambria Math"/>
                        <w:sz w:val="24"/>
                        <w:szCs w:val="24"/>
                      </w:rPr>
                      <m:t>#unit</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t+1</m:t>
                        </m:r>
                      </m:sub>
                    </m:sSub>
                    <m:r>
                      <w:rPr>
                        <w:rFonts w:ascii="Cambria Math" w:eastAsia="Times New Roman" w:hAnsi="Cambria Math"/>
                        <w:sz w:val="24"/>
                        <w:szCs w:val="24"/>
                      </w:rPr>
                      <m:t>×revenue/</m:t>
                    </m:r>
                    <m:sSub>
                      <m:sSubPr>
                        <m:ctrlPr>
                          <w:rPr>
                            <w:rFonts w:ascii="Cambria Math" w:eastAsia="Times New Roman" w:hAnsi="Cambria Math"/>
                            <w:i/>
                            <w:sz w:val="24"/>
                            <w:szCs w:val="24"/>
                          </w:rPr>
                        </m:ctrlPr>
                      </m:sSubPr>
                      <m:e>
                        <m:r>
                          <w:rPr>
                            <w:rFonts w:ascii="Cambria Math" w:eastAsia="Times New Roman" w:hAnsi="Cambria Math"/>
                            <w:sz w:val="24"/>
                            <w:szCs w:val="24"/>
                          </w:rPr>
                          <m:t>unit</m:t>
                        </m:r>
                      </m:e>
                      <m:sub>
                        <m:r>
                          <w:rPr>
                            <w:rFonts w:ascii="Cambria Math" w:eastAsia="Times New Roman" w:hAnsi="Cambria Math"/>
                            <w:sz w:val="24"/>
                            <w:szCs w:val="24"/>
                          </w:rPr>
                          <m:t>t+1</m:t>
                        </m:r>
                      </m:sub>
                    </m:sSub>
                  </m:e>
                </m:d>
                <m:r>
                  <w:rPr>
                    <w:rFonts w:ascii="Cambria Math" w:eastAsia="Times New Roman" w:hAnsi="Cambria Math"/>
                    <w:sz w:val="24"/>
                    <w:szCs w:val="24"/>
                  </w:rPr>
                  <m:t>-Actual</m:t>
                </m:r>
                <m:d>
                  <m:dPr>
                    <m:ctrlPr>
                      <w:rPr>
                        <w:rFonts w:ascii="Cambria Math" w:eastAsia="Times New Roman" w:hAnsi="Cambria Math"/>
                        <w:i/>
                        <w:sz w:val="24"/>
                        <w:szCs w:val="24"/>
                      </w:rPr>
                    </m:ctrlPr>
                  </m:dPr>
                  <m:e>
                    <m:r>
                      <w:rPr>
                        <w:rFonts w:ascii="Cambria Math" w:eastAsia="Times New Roman" w:hAnsi="Cambria Math"/>
                        <w:sz w:val="24"/>
                        <w:szCs w:val="24"/>
                      </w:rPr>
                      <m:t>#unit</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m:t>
                        </m:r>
                      </m:sub>
                    </m:sSub>
                    <m:r>
                      <w:rPr>
                        <w:rFonts w:ascii="Cambria Math" w:eastAsia="Times New Roman" w:hAnsi="Cambria Math"/>
                        <w:sz w:val="24"/>
                        <w:szCs w:val="24"/>
                      </w:rPr>
                      <m:t>×revenue/</m:t>
                    </m:r>
                    <m:sSub>
                      <m:sSubPr>
                        <m:ctrlPr>
                          <w:rPr>
                            <w:rFonts w:ascii="Cambria Math" w:eastAsia="Times New Roman" w:hAnsi="Cambria Math"/>
                            <w:i/>
                            <w:sz w:val="24"/>
                            <w:szCs w:val="24"/>
                          </w:rPr>
                        </m:ctrlPr>
                      </m:sSubPr>
                      <m:e>
                        <m:r>
                          <w:rPr>
                            <w:rFonts w:ascii="Cambria Math" w:eastAsia="Times New Roman" w:hAnsi="Cambria Math"/>
                            <w:sz w:val="24"/>
                            <w:szCs w:val="24"/>
                          </w:rPr>
                          <m:t>unit</m:t>
                        </m:r>
                      </m:e>
                      <m:sub>
                        <m:r>
                          <w:rPr>
                            <w:rFonts w:ascii="Cambria Math" w:eastAsia="Times New Roman" w:hAnsi="Cambria Math"/>
                            <w:sz w:val="24"/>
                            <w:szCs w:val="24"/>
                          </w:rPr>
                          <m:t>t</m:t>
                        </m:r>
                      </m:sub>
                    </m:sSub>
                  </m:e>
                </m:d>
              </m:oMath>
            </m:oMathPara>
          </w:p>
        </w:tc>
        <w:tc>
          <w:tcPr>
            <w:tcW w:w="828" w:type="dxa"/>
            <w:vAlign w:val="center"/>
          </w:tcPr>
          <w:p w14:paraId="1AD8786E" w14:textId="58DAF876" w:rsidR="00A56AB6" w:rsidRDefault="00A56AB6" w:rsidP="00A56AB6">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8D3733">
              <w:rPr>
                <w:rFonts w:eastAsia="Times New Roman"/>
                <w:noProof/>
                <w:sz w:val="24"/>
                <w:szCs w:val="24"/>
              </w:rPr>
              <w:t>2</w:t>
            </w:r>
            <w:r>
              <w:rPr>
                <w:rFonts w:eastAsia="Times New Roman"/>
                <w:sz w:val="24"/>
                <w:szCs w:val="24"/>
              </w:rPr>
              <w:fldChar w:fldCharType="end"/>
            </w:r>
            <w:r>
              <w:rPr>
                <w:rFonts w:eastAsia="Times New Roman"/>
                <w:sz w:val="24"/>
                <w:szCs w:val="24"/>
              </w:rPr>
              <w:t>)</w:t>
            </w:r>
          </w:p>
        </w:tc>
      </w:tr>
    </w:tbl>
    <w:p w14:paraId="6F569119" w14:textId="0F0E167E" w:rsidR="001E2250" w:rsidRDefault="00A56AB6" w:rsidP="009E3EF0">
      <w:pPr>
        <w:spacing w:before="120" w:after="120" w:line="360" w:lineRule="auto"/>
        <w:jc w:val="both"/>
        <w:rPr>
          <w:rFonts w:ascii="Open Sans" w:hAnsi="Open Sans" w:cs="Open Sans"/>
          <w:sz w:val="20"/>
          <w:szCs w:val="20"/>
        </w:rPr>
      </w:pPr>
      <w:r>
        <w:rPr>
          <w:rFonts w:ascii="Open Sans" w:hAnsi="Open Sans" w:cs="Open Sans"/>
          <w:sz w:val="20"/>
          <w:szCs w:val="20"/>
        </w:rPr>
        <w:t xml:space="preserve">Where the subscript </w:t>
      </w:r>
      <w:r w:rsidRPr="00A56AB6">
        <w:rPr>
          <w:rFonts w:ascii="Open Sans" w:hAnsi="Open Sans" w:cs="Open Sans"/>
          <w:i/>
          <w:sz w:val="20"/>
          <w:szCs w:val="20"/>
        </w:rPr>
        <w:t>t</w:t>
      </w:r>
      <w:r>
        <w:rPr>
          <w:rFonts w:ascii="Open Sans" w:hAnsi="Open Sans" w:cs="Open Sans"/>
          <w:sz w:val="20"/>
          <w:szCs w:val="20"/>
        </w:rPr>
        <w:t xml:space="preserve"> refers to the most recent historical information.</w:t>
      </w:r>
      <w:r w:rsidR="00603792">
        <w:rPr>
          <w:rFonts w:ascii="Open Sans" w:hAnsi="Open Sans" w:cs="Open Sans"/>
          <w:sz w:val="20"/>
          <w:szCs w:val="20"/>
        </w:rPr>
        <w:t xml:space="preserve"> Writing sales growth in this way reminds us that it is relative to last year’s actual outcomes.</w:t>
      </w:r>
      <w:r w:rsidR="00335B66">
        <w:rPr>
          <w:rFonts w:ascii="Open Sans" w:hAnsi="Open Sans" w:cs="Open Sans"/>
          <w:sz w:val="20"/>
          <w:szCs w:val="20"/>
        </w:rPr>
        <w:t xml:space="preserve"> The simple point here is that the easier it is to expect how many customers are going to purchase a good or service from the firm relative to last year, the easier it is to forecast sales growth rates accurately. Data analysis provides some insight into what to expect: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7002"/>
      </w:tblGrid>
      <w:tr w:rsidR="00603792" w14:paraId="703D34B5" w14:textId="77777777" w:rsidTr="00603792">
        <w:tc>
          <w:tcPr>
            <w:tcW w:w="9450" w:type="dxa"/>
            <w:gridSpan w:val="2"/>
          </w:tcPr>
          <w:p w14:paraId="38C16AE6" w14:textId="73FAFFD6" w:rsidR="00603792" w:rsidRPr="00603792" w:rsidRDefault="00603792" w:rsidP="008569CE">
            <w:pPr>
              <w:jc w:val="center"/>
              <w:rPr>
                <w:rFonts w:ascii="Open Sans" w:hAnsi="Open Sans" w:cs="Open Sans"/>
                <w:b/>
                <w:sz w:val="20"/>
              </w:rPr>
            </w:pPr>
            <w:r w:rsidRPr="00603792">
              <w:rPr>
                <w:rFonts w:ascii="Open Sans" w:hAnsi="Open Sans" w:cs="Open Sans"/>
                <w:b/>
                <w:sz w:val="20"/>
              </w:rPr>
              <w:t xml:space="preserve">Figure </w:t>
            </w:r>
            <w:r w:rsidRPr="00603792">
              <w:rPr>
                <w:rFonts w:ascii="Open Sans" w:hAnsi="Open Sans" w:cs="Open Sans"/>
                <w:b/>
                <w:sz w:val="20"/>
              </w:rPr>
              <w:fldChar w:fldCharType="begin"/>
            </w:r>
            <w:r w:rsidRPr="00603792">
              <w:rPr>
                <w:rFonts w:ascii="Open Sans" w:hAnsi="Open Sans" w:cs="Open Sans"/>
                <w:b/>
                <w:sz w:val="20"/>
              </w:rPr>
              <w:instrText xml:space="preserve"> SEQ Figures \* MERGEFORMAT </w:instrText>
            </w:r>
            <w:r w:rsidRPr="00603792">
              <w:rPr>
                <w:rFonts w:ascii="Open Sans" w:hAnsi="Open Sans" w:cs="Open Sans"/>
                <w:b/>
                <w:sz w:val="20"/>
              </w:rPr>
              <w:fldChar w:fldCharType="separate"/>
            </w:r>
            <w:r w:rsidR="008D3733">
              <w:rPr>
                <w:rFonts w:ascii="Open Sans" w:hAnsi="Open Sans" w:cs="Open Sans"/>
                <w:b/>
                <w:noProof/>
                <w:sz w:val="20"/>
              </w:rPr>
              <w:t>2</w:t>
            </w:r>
            <w:r w:rsidRPr="00603792">
              <w:rPr>
                <w:rFonts w:ascii="Open Sans" w:hAnsi="Open Sans" w:cs="Open Sans"/>
                <w:b/>
                <w:sz w:val="20"/>
              </w:rPr>
              <w:fldChar w:fldCharType="end"/>
            </w:r>
          </w:p>
          <w:p w14:paraId="6F2EC4B5" w14:textId="77777777" w:rsidR="00603792" w:rsidRDefault="00603792" w:rsidP="008569CE">
            <w:pPr>
              <w:jc w:val="center"/>
            </w:pPr>
            <w:r w:rsidRPr="00603792">
              <w:rPr>
                <w:rFonts w:ascii="Open Sans" w:hAnsi="Open Sans" w:cs="Open Sans"/>
                <w:b/>
                <w:sz w:val="20"/>
              </w:rPr>
              <w:t>Evidence of Mean-Reversion in Sales Growth</w:t>
            </w:r>
          </w:p>
        </w:tc>
      </w:tr>
      <w:tr w:rsidR="00603792" w14:paraId="09159CA7" w14:textId="77777777" w:rsidTr="00603792">
        <w:trPr>
          <w:trHeight w:val="3915"/>
        </w:trPr>
        <w:tc>
          <w:tcPr>
            <w:tcW w:w="9450" w:type="dxa"/>
            <w:gridSpan w:val="2"/>
          </w:tcPr>
          <w:p w14:paraId="771C05C0" w14:textId="77777777" w:rsidR="00603792" w:rsidRDefault="00603792" w:rsidP="008569CE">
            <w:pPr>
              <w:jc w:val="center"/>
            </w:pPr>
            <w:r w:rsidRPr="00623BB3">
              <w:rPr>
                <w:noProof/>
              </w:rPr>
              <w:drawing>
                <wp:inline distT="0" distB="0" distL="0" distR="0" wp14:anchorId="48E854CB" wp14:editId="21DFE706">
                  <wp:extent cx="4772660" cy="2455817"/>
                  <wp:effectExtent l="0" t="0" r="8890" b="1905"/>
                  <wp:docPr id="36867" name="Picture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6867" name="Picture 8"/>
                          <pic:cNvPicPr>
                            <a:picLocks noGrp="1" noChangeAspect="1" noChangeArrowheads="1"/>
                          </pic:cNvPicPr>
                        </pic:nvPicPr>
                        <pic:blipFill rotWithShape="1">
                          <a:blip r:embed="rId12" cstate="print">
                            <a:extLst>
                              <a:ext uri="{28A0092B-C50C-407E-A947-70E740481C1C}">
                                <a14:useLocalDpi xmlns:a14="http://schemas.microsoft.com/office/drawing/2010/main" val="0"/>
                              </a:ext>
                            </a:extLst>
                          </a:blip>
                          <a:srcRect t="14478" b="7752"/>
                          <a:stretch/>
                        </pic:blipFill>
                        <pic:spPr bwMode="auto">
                          <a:xfrm>
                            <a:off x="0" y="0"/>
                            <a:ext cx="4773336" cy="2456165"/>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r w:rsidR="00603792" w:rsidRPr="009C6099" w14:paraId="259207AB" w14:textId="77777777" w:rsidTr="00603792">
        <w:trPr>
          <w:trHeight w:val="85"/>
        </w:trPr>
        <w:tc>
          <w:tcPr>
            <w:tcW w:w="2448" w:type="dxa"/>
            <w:tcBorders>
              <w:bottom w:val="single" w:sz="8" w:space="0" w:color="33006F"/>
            </w:tcBorders>
          </w:tcPr>
          <w:p w14:paraId="1D275690" w14:textId="77777777" w:rsidR="00603792" w:rsidRPr="009C6099" w:rsidRDefault="00603792" w:rsidP="008569CE">
            <w:pPr>
              <w:rPr>
                <w:sz w:val="8"/>
              </w:rPr>
            </w:pPr>
          </w:p>
        </w:tc>
        <w:tc>
          <w:tcPr>
            <w:tcW w:w="7002" w:type="dxa"/>
          </w:tcPr>
          <w:p w14:paraId="09308604" w14:textId="77777777" w:rsidR="00603792" w:rsidRPr="009C6099" w:rsidRDefault="00603792" w:rsidP="008569CE">
            <w:pPr>
              <w:rPr>
                <w:sz w:val="8"/>
              </w:rPr>
            </w:pPr>
          </w:p>
        </w:tc>
      </w:tr>
      <w:tr w:rsidR="00603792" w14:paraId="34089928" w14:textId="77777777" w:rsidTr="00603792">
        <w:trPr>
          <w:trHeight w:val="612"/>
        </w:trPr>
        <w:tc>
          <w:tcPr>
            <w:tcW w:w="9450" w:type="dxa"/>
            <w:gridSpan w:val="2"/>
          </w:tcPr>
          <w:p w14:paraId="6E3CF825" w14:textId="3FBAF73E" w:rsidR="00603792" w:rsidRPr="00603792" w:rsidRDefault="00603792" w:rsidP="008569CE">
            <w:pPr>
              <w:spacing w:line="240" w:lineRule="auto"/>
              <w:jc w:val="both"/>
              <w:rPr>
                <w:rFonts w:ascii="Open Sans" w:hAnsi="Open Sans" w:cs="Open Sans"/>
                <w:sz w:val="16"/>
                <w:szCs w:val="20"/>
              </w:rPr>
            </w:pPr>
            <w:r w:rsidRPr="00603792">
              <w:rPr>
                <w:rFonts w:ascii="Open Sans" w:hAnsi="Open Sans" w:cs="Open Sans"/>
                <w:sz w:val="16"/>
                <w:szCs w:val="20"/>
              </w:rPr>
              <w:t xml:space="preserve">Notes: This figure is based on </w:t>
            </w:r>
            <w:r w:rsidRPr="00603792">
              <w:rPr>
                <w:rFonts w:ascii="Open Sans" w:hAnsi="Open Sans" w:cs="Open Sans"/>
                <w:sz w:val="16"/>
                <w:szCs w:val="20"/>
              </w:rPr>
              <w:fldChar w:fldCharType="begin"/>
            </w:r>
            <w:r w:rsidRPr="00603792">
              <w:rPr>
                <w:rFonts w:ascii="Open Sans" w:hAnsi="Open Sans" w:cs="Open Sans"/>
                <w:sz w:val="16"/>
                <w:szCs w:val="20"/>
              </w:rPr>
              <w:instrText xml:space="preserve"> ADDIN EN.CITE &lt;EndNote&gt;&lt;Cite AuthorYear="1"&gt;&lt;Author&gt;Nissim&lt;/Author&gt;&lt;Year&gt;2001&lt;/Year&gt;&lt;RecNum&gt;353&lt;/RecNum&gt;&lt;DisplayText&gt;Nissim and Penman (2001)&lt;/DisplayText&gt;&lt;record&gt;&lt;rec-number&gt;353&lt;/rec-number&gt;&lt;foreign-keys&gt;&lt;key app="EN" db-id="5wddtwtdltavvheer5vvrda5pftspd2zre9e" timestamp="1481582536"&gt;353&lt;/key&gt;&lt;/foreign-keys&gt;&lt;ref-type name="Journal Article"&gt;17&lt;/ref-type&gt;&lt;contributors&gt;&lt;authors&gt;&lt;author&gt;Nissim, Doron&lt;/author&gt;&lt;author&gt;Penman, Stephen H.&lt;/author&gt;&lt;/authors&gt;&lt;/contributors&gt;&lt;titles&gt;&lt;title&gt;Ratio Analysis and Equity Valuation: From Research to Practice&lt;/title&gt;&lt;secondary-title&gt;Review of Accounting Studies&lt;/secondary-title&gt;&lt;/titles&gt;&lt;periodical&gt;&lt;full-title&gt;Review of Accounting Studies&lt;/full-title&gt;&lt;/periodical&gt;&lt;pages&gt;109-154&lt;/pages&gt;&lt;volume&gt;6&lt;/volume&gt;&lt;number&gt;1&lt;/number&gt;&lt;dates&gt;&lt;year&gt;2001&lt;/year&gt;&lt;/dates&gt;&lt;isbn&gt;1573-7136&lt;/isbn&gt;&lt;label&gt;Nissim2001&lt;/label&gt;&lt;work-type&gt;journal article&lt;/work-type&gt;&lt;urls&gt;&lt;related-urls&gt;&lt;url&gt;http://dx.doi.org/10.1023/A:1011338221623&lt;/url&gt;&lt;/related-urls&gt;&lt;/urls&gt;&lt;electronic-resource-num&gt;10.1023/a:1011338221623&lt;/electronic-resource-num&gt;&lt;/record&gt;&lt;/Cite&gt;&lt;/EndNote&gt;</w:instrText>
            </w:r>
            <w:r w:rsidRPr="00603792">
              <w:rPr>
                <w:rFonts w:ascii="Open Sans" w:hAnsi="Open Sans" w:cs="Open Sans"/>
                <w:sz w:val="16"/>
                <w:szCs w:val="20"/>
              </w:rPr>
              <w:fldChar w:fldCharType="separate"/>
            </w:r>
            <w:r w:rsidRPr="00603792">
              <w:rPr>
                <w:rFonts w:ascii="Open Sans" w:hAnsi="Open Sans" w:cs="Open Sans"/>
                <w:noProof/>
                <w:sz w:val="16"/>
                <w:szCs w:val="20"/>
              </w:rPr>
              <w:t>Nissim and Penman (2001)</w:t>
            </w:r>
            <w:r w:rsidRPr="00603792">
              <w:rPr>
                <w:rFonts w:ascii="Open Sans" w:hAnsi="Open Sans" w:cs="Open Sans"/>
                <w:sz w:val="16"/>
                <w:szCs w:val="20"/>
              </w:rPr>
              <w:fldChar w:fldCharType="end"/>
            </w:r>
            <w:r w:rsidRPr="00603792">
              <w:rPr>
                <w:rFonts w:ascii="Open Sans" w:hAnsi="Open Sans" w:cs="Open Sans"/>
                <w:sz w:val="16"/>
                <w:szCs w:val="20"/>
              </w:rPr>
              <w:t>. Each line represents the average sales growth rate for a portfolio of firms. Each of the 10 portfolios are formed in year 1 based on the level of sales growth. The top group represents the top 10% of firms ranked on sales growth in year 1, and the bottom line represents the bottom 10% of firms ranked on sales growth in year 1. Over the subsequent five years, t</w:t>
            </w:r>
            <w:r>
              <w:rPr>
                <w:rFonts w:ascii="Open Sans" w:hAnsi="Open Sans" w:cs="Open Sans"/>
                <w:sz w:val="16"/>
                <w:szCs w:val="20"/>
              </w:rPr>
              <w:t>he differences betwe</w:t>
            </w:r>
            <w:r w:rsidRPr="00603792">
              <w:rPr>
                <w:rFonts w:ascii="Open Sans" w:hAnsi="Open Sans" w:cs="Open Sans"/>
                <w:sz w:val="16"/>
                <w:szCs w:val="20"/>
              </w:rPr>
              <w:t xml:space="preserve">en the portfolios narrows, with all portfolios moving closer to the mean; we label this </w:t>
            </w:r>
            <w:r>
              <w:rPr>
                <w:rFonts w:ascii="Open Sans" w:hAnsi="Open Sans" w:cs="Open Sans"/>
                <w:sz w:val="16"/>
                <w:szCs w:val="20"/>
              </w:rPr>
              <w:t>regularity as “mean-reversion.”</w:t>
            </w:r>
          </w:p>
        </w:tc>
      </w:tr>
    </w:tbl>
    <w:p w14:paraId="3728C5D9" w14:textId="6E56C71C" w:rsidR="003224F7" w:rsidRDefault="003224F7" w:rsidP="003224F7">
      <w:pPr>
        <w:spacing w:before="120" w:after="120" w:line="360" w:lineRule="auto"/>
        <w:jc w:val="both"/>
        <w:rPr>
          <w:rFonts w:ascii="Open Sans" w:hAnsi="Open Sans" w:cs="Open Sans"/>
          <w:sz w:val="20"/>
          <w:szCs w:val="20"/>
        </w:rPr>
      </w:pPr>
      <w:bookmarkStart w:id="4" w:name="_Toc470871952"/>
      <w:bookmarkStart w:id="5" w:name="_Toc471463072"/>
      <w:r w:rsidRPr="00F7244B">
        <w:rPr>
          <w:rFonts w:ascii="Open Sans" w:eastAsiaTheme="majorEastAsia" w:hAnsi="Open Sans" w:cs="Open Sans"/>
          <w:b/>
          <w:bCs/>
          <w:smallCaps/>
          <w:color w:val="33006F"/>
          <w:szCs w:val="28"/>
        </w:rPr>
        <w:t>What the data says:</w:t>
      </w:r>
      <w:r w:rsidRPr="00974968">
        <w:rPr>
          <w:rFonts w:ascii="Open Sans" w:hAnsi="Open Sans" w:cs="Open Sans"/>
          <w:sz w:val="20"/>
          <w:szCs w:val="20"/>
        </w:rPr>
        <w:t xml:space="preserve"> Successful </w:t>
      </w:r>
      <w:r>
        <w:rPr>
          <w:rFonts w:ascii="Open Sans" w:hAnsi="Open Sans" w:cs="Open Sans"/>
          <w:sz w:val="20"/>
          <w:szCs w:val="20"/>
        </w:rPr>
        <w:t>h</w:t>
      </w:r>
      <w:r>
        <w:rPr>
          <w:rFonts w:ascii="Open Sans" w:hAnsi="Open Sans" w:cs="Open Sans"/>
          <w:sz w:val="20"/>
          <w:szCs w:val="20"/>
        </w:rPr>
        <w:t>igh-</w:t>
      </w:r>
      <w:r>
        <w:rPr>
          <w:rFonts w:ascii="Open Sans" w:hAnsi="Open Sans" w:cs="Open Sans"/>
          <w:sz w:val="20"/>
          <w:szCs w:val="20"/>
        </w:rPr>
        <w:t xml:space="preserve">growth </w:t>
      </w:r>
      <w:r w:rsidRPr="00974968">
        <w:rPr>
          <w:rFonts w:ascii="Open Sans" w:hAnsi="Open Sans" w:cs="Open Sans"/>
          <w:sz w:val="20"/>
          <w:szCs w:val="20"/>
        </w:rPr>
        <w:t xml:space="preserve">companies </w:t>
      </w:r>
      <w:r>
        <w:rPr>
          <w:rFonts w:ascii="Open Sans" w:hAnsi="Open Sans" w:cs="Open Sans"/>
          <w:sz w:val="20"/>
          <w:szCs w:val="20"/>
        </w:rPr>
        <w:t>can</w:t>
      </w:r>
      <w:r w:rsidRPr="00974968">
        <w:rPr>
          <w:rFonts w:ascii="Open Sans" w:hAnsi="Open Sans" w:cs="Open Sans"/>
          <w:sz w:val="20"/>
          <w:szCs w:val="20"/>
        </w:rPr>
        <w:t xml:space="preserve"> have extremely high growth rates in their early years due to the small number denominators (i.e., </w:t>
      </w:r>
      <w:r>
        <w:rPr>
          <w:rFonts w:ascii="Open Sans" w:hAnsi="Open Sans" w:cs="Open Sans"/>
          <w:sz w:val="20"/>
          <w:szCs w:val="20"/>
        </w:rPr>
        <w:t>a</w:t>
      </w:r>
      <w:r w:rsidRPr="00974968">
        <w:rPr>
          <w:rFonts w:ascii="Open Sans" w:hAnsi="Open Sans" w:cs="Open Sans"/>
          <w:sz w:val="20"/>
          <w:szCs w:val="20"/>
        </w:rPr>
        <w:t xml:space="preserve"> small number of </w:t>
      </w:r>
      <w:r>
        <w:rPr>
          <w:rFonts w:ascii="Open Sans" w:hAnsi="Open Sans" w:cs="Open Sans"/>
          <w:sz w:val="20"/>
          <w:szCs w:val="20"/>
        </w:rPr>
        <w:t xml:space="preserve">customers </w:t>
      </w:r>
      <w:r w:rsidRPr="00974968">
        <w:rPr>
          <w:rFonts w:ascii="Open Sans" w:hAnsi="Open Sans" w:cs="Open Sans"/>
          <w:sz w:val="20"/>
          <w:szCs w:val="20"/>
        </w:rPr>
        <w:t xml:space="preserve">in the early years). </w:t>
      </w:r>
      <w:r>
        <w:rPr>
          <w:rFonts w:ascii="Open Sans" w:hAnsi="Open Sans" w:cs="Open Sans"/>
          <w:sz w:val="20"/>
          <w:szCs w:val="20"/>
        </w:rPr>
        <w:lastRenderedPageBreak/>
        <w:t>As a company matures, however, s</w:t>
      </w:r>
      <w:r w:rsidRPr="00974968">
        <w:rPr>
          <w:rFonts w:ascii="Open Sans" w:hAnsi="Open Sans" w:cs="Open Sans"/>
          <w:sz w:val="20"/>
          <w:szCs w:val="20"/>
        </w:rPr>
        <w:t xml:space="preserve">ales growth rates have a strong tendency to mean-revert. </w:t>
      </w:r>
      <w:r>
        <w:rPr>
          <w:rFonts w:ascii="Open Sans" w:hAnsi="Open Sans" w:cs="Open Sans"/>
          <w:sz w:val="20"/>
          <w:szCs w:val="20"/>
        </w:rPr>
        <w:t xml:space="preserve">The movement of all portfolios of growth firms towards the mean, over the five-year period is </w:t>
      </w:r>
      <w:r>
        <w:rPr>
          <w:rFonts w:ascii="Open Sans" w:hAnsi="Open Sans" w:cs="Open Sans"/>
          <w:sz w:val="20"/>
          <w:szCs w:val="20"/>
        </w:rPr>
        <w:t xml:space="preserve">evidence of </w:t>
      </w:r>
      <w:r w:rsidRPr="00974968">
        <w:rPr>
          <w:rFonts w:ascii="Open Sans" w:hAnsi="Open Sans" w:cs="Open Sans"/>
          <w:sz w:val="20"/>
          <w:szCs w:val="20"/>
        </w:rPr>
        <w:t xml:space="preserve">mean-reversion for </w:t>
      </w:r>
      <w:r>
        <w:rPr>
          <w:rFonts w:ascii="Open Sans" w:hAnsi="Open Sans" w:cs="Open Sans"/>
          <w:sz w:val="20"/>
          <w:szCs w:val="20"/>
        </w:rPr>
        <w:t xml:space="preserve">the sample of </w:t>
      </w:r>
      <w:r w:rsidRPr="00974968">
        <w:rPr>
          <w:rFonts w:ascii="Open Sans" w:hAnsi="Open Sans" w:cs="Open Sans"/>
          <w:sz w:val="20"/>
          <w:szCs w:val="20"/>
        </w:rPr>
        <w:t>large sample of publicly traded firms</w:t>
      </w:r>
      <w:r>
        <w:rPr>
          <w:rFonts w:ascii="Open Sans" w:hAnsi="Open Sans" w:cs="Open Sans"/>
          <w:sz w:val="20"/>
          <w:szCs w:val="20"/>
        </w:rPr>
        <w:t xml:space="preserve"> considered in the study</w:t>
      </w:r>
      <w:r w:rsidRPr="00974968">
        <w:rPr>
          <w:rFonts w:ascii="Open Sans" w:hAnsi="Open Sans" w:cs="Open Sans"/>
          <w:sz w:val="20"/>
          <w:szCs w:val="20"/>
        </w:rPr>
        <w:t>.</w:t>
      </w:r>
      <w:r>
        <w:rPr>
          <w:rFonts w:ascii="Open Sans" w:hAnsi="Open Sans" w:cs="Open Sans"/>
          <w:sz w:val="20"/>
          <w:szCs w:val="20"/>
        </w:rPr>
        <w:t xml:space="preserve"> It is a robust pattern, and confirms that the theory of competition (which implies that firms cannot sustain abnormally high growth rates as they will attract competitors) is seen in the data.</w:t>
      </w:r>
    </w:p>
    <w:p w14:paraId="15A785F8" w14:textId="69FC6BA0" w:rsidR="003224F7" w:rsidRDefault="003224F7" w:rsidP="003224F7">
      <w:pPr>
        <w:spacing w:before="120" w:after="120" w:line="360" w:lineRule="auto"/>
        <w:jc w:val="both"/>
        <w:rPr>
          <w:rFonts w:ascii="Open Sans" w:hAnsi="Open Sans" w:cs="Open Sans"/>
          <w:sz w:val="20"/>
          <w:szCs w:val="20"/>
        </w:rPr>
      </w:pPr>
      <w:r w:rsidRPr="003224F7">
        <w:rPr>
          <w:rFonts w:ascii="Open Sans" w:hAnsi="Open Sans" w:cs="Open Sans"/>
          <w:sz w:val="20"/>
          <w:szCs w:val="20"/>
        </w:rPr>
        <w:t xml:space="preserve">As mentioned earlier, sales forecasts create the basis </w:t>
      </w:r>
      <w:r>
        <w:rPr>
          <w:rFonts w:ascii="Open Sans" w:hAnsi="Open Sans" w:cs="Open Sans"/>
          <w:sz w:val="20"/>
          <w:szCs w:val="20"/>
        </w:rPr>
        <w:t>for</w:t>
      </w:r>
      <w:r w:rsidRPr="003224F7">
        <w:rPr>
          <w:rFonts w:ascii="Open Sans" w:hAnsi="Open Sans" w:cs="Open Sans"/>
          <w:sz w:val="20"/>
          <w:szCs w:val="20"/>
        </w:rPr>
        <w:t xml:space="preserve"> other forecasts. Sales forecasts </w:t>
      </w:r>
      <w:r>
        <w:rPr>
          <w:rFonts w:ascii="Open Sans" w:hAnsi="Open Sans" w:cs="Open Sans"/>
          <w:sz w:val="20"/>
          <w:szCs w:val="20"/>
        </w:rPr>
        <w:t>are naturally tied to the operations of the firm as part of the budgeting process. Managers will use their expected sales to consider the required scale of operations needed to meet the</w:t>
      </w:r>
      <w:r w:rsidR="006C18D4">
        <w:rPr>
          <w:rFonts w:ascii="Open Sans" w:hAnsi="Open Sans" w:cs="Open Sans"/>
          <w:sz w:val="20"/>
          <w:szCs w:val="20"/>
        </w:rPr>
        <w:t xml:space="preserve"> expected</w:t>
      </w:r>
      <w:r>
        <w:rPr>
          <w:rFonts w:ascii="Open Sans" w:hAnsi="Open Sans" w:cs="Open Sans"/>
          <w:sz w:val="20"/>
          <w:szCs w:val="20"/>
        </w:rPr>
        <w:t xml:space="preserve"> sal</w:t>
      </w:r>
      <w:r w:rsidR="009B2188">
        <w:rPr>
          <w:rFonts w:ascii="Open Sans" w:hAnsi="Open Sans" w:cs="Open Sans"/>
          <w:sz w:val="20"/>
          <w:szCs w:val="20"/>
        </w:rPr>
        <w:t>es demand.</w:t>
      </w:r>
      <w:r w:rsidR="006C18D4">
        <w:rPr>
          <w:rFonts w:ascii="Open Sans" w:hAnsi="Open Sans" w:cs="Open Sans"/>
          <w:sz w:val="20"/>
          <w:szCs w:val="20"/>
        </w:rPr>
        <w:t xml:space="preserve"> For example, the company will estimate production plans that will include inventory levels and capital expenditures. If these demand forecasts end up being too high, there are risks of overproduction and returns. If there is an unexpected adverse demand shock level of overproduction and returns, accounting estimates can be affected (return provisions are set too low, inventory is overpriced)</w:t>
      </w:r>
      <w:r w:rsidR="006265CA">
        <w:rPr>
          <w:rFonts w:ascii="Open Sans" w:hAnsi="Open Sans" w:cs="Open Sans"/>
          <w:sz w:val="20"/>
          <w:szCs w:val="20"/>
        </w:rPr>
        <w:t>.</w:t>
      </w:r>
    </w:p>
    <w:p w14:paraId="67158FCA" w14:textId="42FFB20C" w:rsidR="006C18D4" w:rsidRPr="003224F7" w:rsidRDefault="006C18D4" w:rsidP="003224F7">
      <w:pPr>
        <w:spacing w:before="120" w:after="120" w:line="360" w:lineRule="auto"/>
        <w:jc w:val="both"/>
        <w:rPr>
          <w:rFonts w:ascii="Open Sans" w:hAnsi="Open Sans" w:cs="Open Sans"/>
          <w:sz w:val="20"/>
          <w:szCs w:val="20"/>
        </w:rPr>
      </w:pPr>
      <w:r w:rsidRPr="00767941">
        <w:rPr>
          <w:rFonts w:ascii="Open Sans" w:eastAsiaTheme="majorEastAsia" w:hAnsi="Open Sans" w:cs="Open Sans"/>
          <w:b/>
          <w:bCs/>
          <w:smallCaps/>
          <w:color w:val="33006F"/>
          <w:szCs w:val="28"/>
        </w:rPr>
        <w:t>The simplest way to generate forecasts of sales-related accounts</w:t>
      </w:r>
      <w:r w:rsidRPr="00285E36">
        <w:rPr>
          <w:rFonts w:ascii="Open Sans" w:hAnsi="Open Sans" w:cs="Open Sans"/>
          <w:color w:val="33006F"/>
          <w:sz w:val="20"/>
          <w:szCs w:val="20"/>
        </w:rPr>
        <w:t xml:space="preserve"> </w:t>
      </w:r>
      <w:r>
        <w:rPr>
          <w:rFonts w:ascii="Open Sans" w:hAnsi="Open Sans" w:cs="Open Sans"/>
          <w:sz w:val="20"/>
          <w:szCs w:val="20"/>
        </w:rPr>
        <w:t xml:space="preserve">is to start with historical ratios of each account divided by sales. Which is often implemented by the calculation of common-size financial statements where all </w:t>
      </w:r>
      <w:r w:rsidR="006265CA">
        <w:rPr>
          <w:rFonts w:ascii="Open Sans" w:hAnsi="Open Sans" w:cs="Open Sans"/>
          <w:sz w:val="20"/>
          <w:szCs w:val="20"/>
        </w:rPr>
        <w:t>sales-related accounts</w:t>
      </w:r>
      <w:r>
        <w:rPr>
          <w:rFonts w:ascii="Open Sans" w:hAnsi="Open Sans" w:cs="Open Sans"/>
          <w:sz w:val="20"/>
          <w:szCs w:val="20"/>
        </w:rPr>
        <w:t xml:space="preserve"> are divided by sales. </w:t>
      </w:r>
      <w:r w:rsidR="006265CA">
        <w:rPr>
          <w:rFonts w:ascii="Open Sans" w:hAnsi="Open Sans" w:cs="Open Sans"/>
          <w:sz w:val="20"/>
          <w:szCs w:val="20"/>
        </w:rPr>
        <w:t xml:space="preserve">A natural example is the ratio of cost-of-goods sold to sales. As we know from bookkeeping, when the accounting system records a sale, it will also record the cost of goods sold related to that sale. As such, cost of goods sold is naturally tied to sales. </w:t>
      </w:r>
    </w:p>
    <w:p w14:paraId="7AB0C479" w14:textId="68002143" w:rsidR="00335B66" w:rsidRDefault="008F216B" w:rsidP="008F216B">
      <w:pPr>
        <w:spacing w:before="120" w:after="120" w:line="360" w:lineRule="auto"/>
        <w:jc w:val="both"/>
        <w:rPr>
          <w:rFonts w:ascii="Open Sans" w:hAnsi="Open Sans" w:cs="Open Sans"/>
          <w:sz w:val="20"/>
          <w:szCs w:val="20"/>
        </w:rPr>
      </w:pPr>
      <w:r w:rsidRPr="00767941">
        <w:rPr>
          <w:rFonts w:ascii="Open Sans" w:eastAsiaTheme="majorEastAsia" w:hAnsi="Open Sans" w:cs="Open Sans"/>
          <w:b/>
          <w:bCs/>
          <w:smallCaps/>
          <w:color w:val="33006F"/>
          <w:szCs w:val="28"/>
        </w:rPr>
        <w:t>The main challenges relating to these forecasts for growth firms</w:t>
      </w:r>
      <w:r>
        <w:rPr>
          <w:rFonts w:ascii="Open Sans" w:hAnsi="Open Sans" w:cs="Open Sans"/>
          <w:sz w:val="20"/>
          <w:szCs w:val="20"/>
        </w:rPr>
        <w:t xml:space="preserve"> arises as the historical relations between sales and the expense item is not a good predictor of the future. For example, cost of sales might be relatively low for a company that is growing strongly when they are the only player (or a disruptor) in the industry, being able to charge high premiums, but these margins may compress and lead to higher cost of sales as more competitors enter the industry or adapt to the </w:t>
      </w:r>
      <w:r w:rsidR="00F7244B">
        <w:rPr>
          <w:rFonts w:ascii="Open Sans" w:hAnsi="Open Sans" w:cs="Open Sans"/>
          <w:sz w:val="20"/>
          <w:szCs w:val="20"/>
        </w:rPr>
        <w:t>disruption.</w:t>
      </w:r>
    </w:p>
    <w:tbl>
      <w:tblPr>
        <w:tblStyle w:val="TableGrid"/>
        <w:tblW w:w="0" w:type="auto"/>
        <w:tblLook w:val="04A0" w:firstRow="1" w:lastRow="0" w:firstColumn="1" w:lastColumn="0" w:noHBand="0" w:noVBand="1"/>
      </w:tblPr>
      <w:tblGrid>
        <w:gridCol w:w="9450"/>
      </w:tblGrid>
      <w:tr w:rsidR="00767941" w14:paraId="28CC66F3" w14:textId="77777777" w:rsidTr="00767941">
        <w:trPr>
          <w:trHeight w:val="1052"/>
        </w:trPr>
        <w:tc>
          <w:tcPr>
            <w:tcW w:w="9450" w:type="dxa"/>
          </w:tcPr>
          <w:p w14:paraId="1374AF77" w14:textId="77777777" w:rsidR="00767941" w:rsidRDefault="00767941" w:rsidP="008569CE">
            <w:pPr>
              <w:spacing w:before="120" w:after="120" w:line="240" w:lineRule="auto"/>
              <w:jc w:val="both"/>
              <w:rPr>
                <w:rFonts w:ascii="Open Sans" w:hAnsi="Open Sans" w:cs="Open Sans"/>
                <w:color w:val="37246A" w:themeColor="text2"/>
                <w:sz w:val="18"/>
                <w:szCs w:val="20"/>
              </w:rPr>
            </w:pPr>
            <w:r w:rsidRPr="00460C5F">
              <w:rPr>
                <w:rFonts w:ascii="Open Sans" w:hAnsi="Open Sans" w:cs="Open Sans"/>
                <w:b/>
                <w:color w:val="37246A" w:themeColor="text2"/>
                <w:sz w:val="18"/>
                <w:szCs w:val="20"/>
              </w:rPr>
              <w:t>Consider Netflix:</w:t>
            </w:r>
            <w:r>
              <w:rPr>
                <w:rFonts w:ascii="Open Sans" w:hAnsi="Open Sans" w:cs="Open Sans"/>
                <w:color w:val="37246A" w:themeColor="text2"/>
                <w:sz w:val="18"/>
                <w:szCs w:val="20"/>
              </w:rPr>
              <w:t xml:space="preserve"> </w:t>
            </w:r>
            <w:r w:rsidRPr="00460C5F">
              <w:rPr>
                <w:rFonts w:ascii="Open Sans" w:hAnsi="Open Sans" w:cs="Open Sans"/>
                <w:color w:val="37246A" w:themeColor="text2"/>
                <w:sz w:val="18"/>
                <w:szCs w:val="20"/>
              </w:rPr>
              <w:t>Netflix is a subscription service and their revenues can be considered most simply as a function of the number of subscribers they are able to retain</w:t>
            </w:r>
            <w:r>
              <w:rPr>
                <w:rFonts w:ascii="Open Sans" w:hAnsi="Open Sans" w:cs="Open Sans"/>
                <w:color w:val="37246A" w:themeColor="text2"/>
                <w:sz w:val="18"/>
                <w:szCs w:val="20"/>
              </w:rPr>
              <w:t xml:space="preserve"> and acquire </w:t>
            </w:r>
            <w:r w:rsidRPr="00460C5F">
              <w:rPr>
                <w:rFonts w:ascii="Open Sans" w:hAnsi="Open Sans" w:cs="Open Sans"/>
                <w:color w:val="37246A" w:themeColor="text2"/>
                <w:sz w:val="18"/>
                <w:szCs w:val="20"/>
              </w:rPr>
              <w:t>times the subscription fee they are able to charge</w:t>
            </w:r>
            <w:r>
              <w:rPr>
                <w:rFonts w:ascii="Open Sans" w:hAnsi="Open Sans" w:cs="Open Sans"/>
                <w:color w:val="37246A" w:themeColor="text2"/>
                <w:sz w:val="18"/>
                <w:szCs w:val="20"/>
              </w:rPr>
              <w:t>. This makes forecasting their sales growth a relatively simple task</w:t>
            </w:r>
            <w:r w:rsidRPr="00460C5F">
              <w:rPr>
                <w:rFonts w:ascii="Open Sans" w:hAnsi="Open Sans" w:cs="Open Sans"/>
                <w:color w:val="37246A" w:themeColor="text2"/>
                <w:sz w:val="18"/>
                <w:szCs w:val="20"/>
              </w:rPr>
              <w:t xml:space="preserve">, </w:t>
            </w:r>
            <w:r>
              <w:rPr>
                <w:rFonts w:ascii="Open Sans" w:hAnsi="Open Sans" w:cs="Open Sans"/>
                <w:color w:val="37246A" w:themeColor="text2"/>
                <w:sz w:val="18"/>
                <w:szCs w:val="20"/>
              </w:rPr>
              <w:t>as we do not have to consider multiple different sales generating units, just one – the subscriber. Thus, for Netflix as a company we can rewrite Equation (1) as</w:t>
            </w:r>
            <w:r w:rsidRPr="007B5561">
              <w:rPr>
                <w:rFonts w:ascii="Open Sans" w:hAnsi="Open Sans" w:cs="Open Sans"/>
                <w:color w:val="37246A" w:themeColor="text2"/>
                <w:sz w:val="18"/>
                <w:szCs w:val="20"/>
              </w:rPr>
              <w:drawing>
                <wp:anchor distT="0" distB="0" distL="114300" distR="114300" simplePos="0" relativeHeight="251659264" behindDoc="1" locked="0" layoutInCell="1" allowOverlap="1" wp14:anchorId="4496435B" wp14:editId="53A2D40C">
                  <wp:simplePos x="0" y="0"/>
                  <wp:positionH relativeFrom="column">
                    <wp:posOffset>-3810</wp:posOffset>
                  </wp:positionH>
                  <wp:positionV relativeFrom="paragraph">
                    <wp:posOffset>79375</wp:posOffset>
                  </wp:positionV>
                  <wp:extent cx="603504" cy="603504"/>
                  <wp:effectExtent l="0" t="0" r="0" b="0"/>
                  <wp:wrapSquare wrapText="bothSides"/>
                  <wp:docPr id="15" name="Graphic 15" descr="Head with G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provider=MicrosoftIcon&amp;fileName=HeadWithGears.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03504" cy="603504"/>
                          </a:xfrm>
                          <a:prstGeom prst="rect">
                            <a:avLst/>
                          </a:prstGeom>
                        </pic:spPr>
                      </pic:pic>
                    </a:graphicData>
                  </a:graphic>
                  <wp14:sizeRelH relativeFrom="margin">
                    <wp14:pctWidth>0</wp14:pctWidth>
                  </wp14:sizeRelH>
                  <wp14:sizeRelV relativeFrom="margin">
                    <wp14:pctHeight>0</wp14:pctHeight>
                  </wp14:sizeRelV>
                </wp:anchor>
              </w:drawing>
            </w:r>
            <w:r>
              <w:rPr>
                <w:rFonts w:ascii="Open Sans" w:hAnsi="Open Sans" w:cs="Open Sans"/>
                <w:color w:val="37246A" w:themeColor="text2"/>
                <w:sz w:val="18"/>
                <w:szCs w:val="20"/>
              </w:rPr>
              <w:t>:</w:t>
            </w:r>
          </w:p>
          <w:p w14:paraId="7E7C24D8" w14:textId="77777777" w:rsidR="00767941" w:rsidRDefault="00767941" w:rsidP="008569CE">
            <w:pPr>
              <w:spacing w:before="120" w:after="120" w:line="240" w:lineRule="auto"/>
              <w:jc w:val="both"/>
              <w:rPr>
                <w:rFonts w:ascii="Open Sans" w:hAnsi="Open Sans" w:cs="Open Sans"/>
                <w:color w:val="37246A" w:themeColor="text2"/>
                <w:sz w:val="18"/>
                <w:szCs w:val="20"/>
              </w:rPr>
            </w:pPr>
            <w:r w:rsidRPr="00460C5F">
              <w:rPr>
                <w:rFonts w:ascii="Open Sans" w:hAnsi="Open Sans" w:cs="Open Sans"/>
                <w:color w:val="37246A" w:themeColor="text2"/>
                <w:sz w:val="18"/>
                <w:szCs w:val="20"/>
              </w:rPr>
              <w:t>%Sales Growth</w:t>
            </w:r>
            <w:proofErr w:type="gramStart"/>
            <w:r w:rsidRPr="00460C5F">
              <w:rPr>
                <w:rFonts w:ascii="Open Sans" w:hAnsi="Open Sans" w:cs="Open Sans"/>
                <w:color w:val="37246A" w:themeColor="text2"/>
                <w:sz w:val="18"/>
                <w:szCs w:val="20"/>
              </w:rPr>
              <w:t>=(</w:t>
            </w:r>
            <w:proofErr w:type="gramEnd"/>
            <w:r w:rsidRPr="00460C5F">
              <w:rPr>
                <w:rFonts w:ascii="Open Sans" w:hAnsi="Open Sans" w:cs="Open Sans"/>
                <w:color w:val="37246A" w:themeColor="text2"/>
                <w:sz w:val="18"/>
                <w:szCs w:val="20"/>
              </w:rPr>
              <w:t>1+%growth in #subscribers)×(1+%growth in revenue/subscriber)</w:t>
            </w:r>
          </w:p>
          <w:p w14:paraId="7B9E70A5" w14:textId="77777777" w:rsidR="00767941" w:rsidRDefault="00767941" w:rsidP="008569CE">
            <w:pPr>
              <w:spacing w:before="120" w:after="120" w:line="240" w:lineRule="auto"/>
              <w:jc w:val="both"/>
              <w:rPr>
                <w:rFonts w:ascii="Open Sans" w:hAnsi="Open Sans" w:cs="Open Sans"/>
                <w:color w:val="37246A" w:themeColor="text2"/>
                <w:sz w:val="18"/>
                <w:szCs w:val="20"/>
              </w:rPr>
            </w:pPr>
            <w:r>
              <w:rPr>
                <w:rFonts w:ascii="Open Sans" w:hAnsi="Open Sans" w:cs="Open Sans"/>
                <w:color w:val="37246A" w:themeColor="text2"/>
                <w:sz w:val="18"/>
                <w:szCs w:val="20"/>
              </w:rPr>
              <w:t xml:space="preserve">When Netflix was a young high growth company, they were increasing subscribers at a much faster rate than they do these days as the base number of subscribers was lower. If we made the mistake and assumed that Netflix could grow subscribers at a constant rate from these early years, we’d have assumed that Netflix would have more subscribers than the US population by 2017, whereas by April 2017, they had about 100 Million </w:t>
            </w:r>
            <w:r>
              <w:rPr>
                <w:rFonts w:ascii="Open Sans" w:hAnsi="Open Sans" w:cs="Open Sans"/>
                <w:color w:val="37246A" w:themeColor="text2"/>
                <w:sz w:val="18"/>
                <w:szCs w:val="20"/>
              </w:rPr>
              <w:lastRenderedPageBreak/>
              <w:t xml:space="preserve">subscriptions, as the growth rates naturally slow down as most individuals who know about Netflix have likely made their decision on whether to subscribe or not. </w:t>
            </w:r>
          </w:p>
          <w:p w14:paraId="085465A7" w14:textId="5FC2A301" w:rsidR="00767941" w:rsidRPr="00460C5F" w:rsidRDefault="00767941" w:rsidP="008569CE">
            <w:pPr>
              <w:spacing w:before="120" w:after="120" w:line="240" w:lineRule="auto"/>
              <w:jc w:val="both"/>
              <w:rPr>
                <w:rFonts w:ascii="Open Sans" w:hAnsi="Open Sans" w:cs="Open Sans"/>
                <w:color w:val="37246A" w:themeColor="text2"/>
                <w:sz w:val="18"/>
                <w:szCs w:val="20"/>
              </w:rPr>
            </w:pPr>
            <w:r>
              <w:rPr>
                <w:rFonts w:ascii="Open Sans" w:hAnsi="Open Sans" w:cs="Open Sans"/>
                <w:color w:val="37246A" w:themeColor="text2"/>
                <w:sz w:val="18"/>
                <w:szCs w:val="20"/>
              </w:rPr>
              <w:t>Think about what are the key accounts that will be affected by revenue? How does Netflix measure their cost of sales?</w:t>
            </w:r>
            <w:r>
              <w:rPr>
                <w:rFonts w:ascii="Open Sans" w:hAnsi="Open Sans" w:cs="Open Sans"/>
                <w:color w:val="37246A" w:themeColor="text2"/>
                <w:sz w:val="18"/>
                <w:szCs w:val="20"/>
              </w:rPr>
              <w:t xml:space="preserve"> How is this cost changing over time? How has the change Netflix’s cost structure (from a third party to a producer of shows) affected the estimation of cost of sales? What controls are in place to review the way in which these costs are measured and written to cost of sales?</w:t>
            </w:r>
          </w:p>
        </w:tc>
      </w:tr>
    </w:tbl>
    <w:p w14:paraId="405E5058" w14:textId="75E8AFE4" w:rsidR="004E68EB" w:rsidRPr="00F7244B" w:rsidRDefault="004E68EB" w:rsidP="00F7244B">
      <w:pPr>
        <w:pStyle w:val="Heading1"/>
        <w:rPr>
          <w:rFonts w:ascii="Open Sans" w:hAnsi="Open Sans" w:cs="Open Sans"/>
          <w:smallCaps/>
          <w:color w:val="33006F"/>
        </w:rPr>
      </w:pPr>
      <w:r w:rsidRPr="00F7244B">
        <w:rPr>
          <w:rFonts w:ascii="Open Sans" w:hAnsi="Open Sans" w:cs="Open Sans"/>
          <w:smallCaps/>
          <w:color w:val="33006F"/>
        </w:rPr>
        <w:lastRenderedPageBreak/>
        <w:t>Growth Strategies and Accounting</w:t>
      </w:r>
      <w:bookmarkEnd w:id="4"/>
      <w:bookmarkEnd w:id="5"/>
    </w:p>
    <w:p w14:paraId="7D3D17A2" w14:textId="30582BDB" w:rsidR="004E68EB" w:rsidRPr="006265CA" w:rsidRDefault="00767941" w:rsidP="003A6FC4">
      <w:pPr>
        <w:spacing w:before="120" w:after="120" w:line="360" w:lineRule="auto"/>
        <w:jc w:val="both"/>
        <w:rPr>
          <w:rFonts w:ascii="Open Sans" w:hAnsi="Open Sans" w:cs="Open Sans"/>
          <w:sz w:val="20"/>
        </w:rPr>
      </w:pPr>
      <w:r>
        <w:rPr>
          <w:rFonts w:ascii="Open Sans" w:hAnsi="Open Sans" w:cs="Open Sans"/>
          <w:sz w:val="20"/>
        </w:rPr>
        <w:t xml:space="preserve">As we explore the risks associated with growth firms, we need to pause and consider </w:t>
      </w:r>
      <w:r w:rsidRPr="00767941">
        <w:rPr>
          <w:rFonts w:ascii="Open Sans" w:hAnsi="Open Sans" w:cs="Open Sans"/>
          <w:b/>
          <w:color w:val="33006F"/>
          <w:sz w:val="20"/>
        </w:rPr>
        <w:t>how a company is growing</w:t>
      </w:r>
      <w:r>
        <w:rPr>
          <w:rFonts w:ascii="Open Sans" w:hAnsi="Open Sans" w:cs="Open Sans"/>
          <w:sz w:val="20"/>
        </w:rPr>
        <w:t xml:space="preserve">. </w:t>
      </w:r>
      <w:r w:rsidR="004E68EB" w:rsidRPr="006265CA">
        <w:rPr>
          <w:rFonts w:ascii="Open Sans" w:hAnsi="Open Sans" w:cs="Open Sans"/>
          <w:sz w:val="20"/>
        </w:rPr>
        <w:t xml:space="preserve">Companies can grow operations “organically” through undertaking research and development activities and through acquisition. Historically, R&amp;D predicts future sales and is perceived favorably by the market, resulting in high abnormal market returns </w:t>
      </w:r>
      <w:r w:rsidR="004E68EB" w:rsidRPr="006265CA">
        <w:rPr>
          <w:rFonts w:ascii="Open Sans" w:hAnsi="Open Sans" w:cs="Open Sans"/>
          <w:sz w:val="20"/>
        </w:rPr>
        <w:fldChar w:fldCharType="begin"/>
      </w:r>
      <w:r w:rsidR="004E68EB" w:rsidRPr="006265CA">
        <w:rPr>
          <w:rFonts w:ascii="Open Sans" w:hAnsi="Open Sans" w:cs="Open Sans"/>
          <w:sz w:val="20"/>
        </w:rPr>
        <w:instrText xml:space="preserve"> ADDIN EN.CITE &lt;EndNote&gt;&lt;Cite&gt;&lt;Author&gt;Louis&lt;/Author&gt;&lt;Year&gt;2001&lt;/Year&gt;&lt;RecNum&gt;362&lt;/RecNum&gt;&lt;DisplayText&gt;(Louis et al. 2001)&lt;/DisplayText&gt;&lt;record&gt;&lt;rec-number&gt;362&lt;/rec-number&gt;&lt;foreign-keys&gt;&lt;key app="EN" db-id="5wddtwtdltavvheer5vvrda5pftspd2zre9e" timestamp="1483740881"&gt;362&lt;/key&gt;&lt;/foreign-keys&gt;&lt;ref-type name="Journal Article"&gt;17&lt;/ref-type&gt;&lt;contributors&gt;&lt;authors&gt;&lt;author&gt;Louis, K. C. Chan&lt;/author&gt;&lt;author&gt;Lakonishok, Josef&lt;/author&gt;&lt;author&gt;Sougiannis, Theodore&lt;/author&gt;&lt;/authors&gt;&lt;/contributors&gt;&lt;titles&gt;&lt;title&gt;The Stock Market Valuation of Research and Development Expenditures&lt;/title&gt;&lt;secondary-title&gt;The Journal of Finance&lt;/secondary-title&gt;&lt;/titles&gt;&lt;periodical&gt;&lt;full-title&gt;The Journal of Finance&lt;/full-title&gt;&lt;/periodical&gt;&lt;pages&gt;2431-2456&lt;/pages&gt;&lt;volume&gt;56&lt;/volume&gt;&lt;number&gt;6&lt;/number&gt;&lt;dates&gt;&lt;year&gt;2001&lt;/year&gt;&lt;/dates&gt;&lt;publisher&gt;[American Finance Association, Wiley]&lt;/publisher&gt;&lt;isbn&gt;00221082, 15406261&lt;/isbn&gt;&lt;urls&gt;&lt;related-urls&gt;&lt;url&gt;http://www.jstor.org/stable/2697829&lt;/url&gt;&lt;/related-urls&gt;&lt;/urls&gt;&lt;custom1&gt;Full publication date: Dec., 2001&lt;/custom1&gt;&lt;/record&gt;&lt;/Cite&gt;&lt;/EndNote&gt;</w:instrText>
      </w:r>
      <w:r w:rsidR="004E68EB" w:rsidRPr="006265CA">
        <w:rPr>
          <w:rFonts w:ascii="Open Sans" w:hAnsi="Open Sans" w:cs="Open Sans"/>
          <w:sz w:val="20"/>
        </w:rPr>
        <w:fldChar w:fldCharType="separate"/>
      </w:r>
      <w:r w:rsidR="004E68EB" w:rsidRPr="006265CA">
        <w:rPr>
          <w:rFonts w:ascii="Open Sans" w:hAnsi="Open Sans" w:cs="Open Sans"/>
          <w:noProof/>
          <w:sz w:val="20"/>
        </w:rPr>
        <w:t>(Louis et al. 2001)</w:t>
      </w:r>
      <w:r w:rsidR="004E68EB" w:rsidRPr="006265CA">
        <w:rPr>
          <w:rFonts w:ascii="Open Sans" w:hAnsi="Open Sans" w:cs="Open Sans"/>
          <w:sz w:val="20"/>
        </w:rPr>
        <w:fldChar w:fldCharType="end"/>
      </w:r>
      <w:r w:rsidR="004E68EB" w:rsidRPr="006265CA">
        <w:rPr>
          <w:rFonts w:ascii="Open Sans" w:hAnsi="Open Sans" w:cs="Open Sans"/>
          <w:sz w:val="20"/>
        </w:rPr>
        <w:t>.</w:t>
      </w:r>
      <w:r w:rsidR="004E68EB" w:rsidRPr="006265CA">
        <w:rPr>
          <w:rFonts w:ascii="Open Sans" w:hAnsi="Open Sans" w:cs="Open Sans"/>
          <w:sz w:val="20"/>
          <w:vertAlign w:val="superscript"/>
        </w:rPr>
        <w:endnoteReference w:id="2"/>
      </w:r>
      <w:r w:rsidR="004E68EB" w:rsidRPr="006265CA">
        <w:rPr>
          <w:rFonts w:ascii="Open Sans" w:hAnsi="Open Sans" w:cs="Open Sans"/>
          <w:sz w:val="20"/>
        </w:rPr>
        <w:t xml:space="preserve"> Conversely, historical evidence suggests firms who grow operations through acquisition tend to do poorly, both in terms of operating performance and stock market performance </w:t>
      </w:r>
      <w:r w:rsidR="004E68EB" w:rsidRPr="006265CA">
        <w:rPr>
          <w:rFonts w:ascii="Open Sans" w:hAnsi="Open Sans" w:cs="Open Sans"/>
          <w:sz w:val="20"/>
        </w:rPr>
        <w:fldChar w:fldCharType="begin"/>
      </w:r>
      <w:r w:rsidR="004E68EB" w:rsidRPr="006265CA">
        <w:rPr>
          <w:rFonts w:ascii="Open Sans" w:hAnsi="Open Sans" w:cs="Open Sans"/>
          <w:sz w:val="20"/>
        </w:rPr>
        <w:instrText xml:space="preserve"> ADDIN EN.CITE &lt;EndNote&gt;&lt;Cite&gt;&lt;Author&gt;Loughran&lt;/Author&gt;&lt;Year&gt;1997&lt;/Year&gt;&lt;RecNum&gt;361&lt;/RecNum&gt;&lt;DisplayText&gt;(Loughran and Vijh 1997)&lt;/DisplayText&gt;&lt;record&gt;&lt;rec-number&gt;361&lt;/rec-number&gt;&lt;foreign-keys&gt;&lt;key app="EN" db-id="5wddtwtdltavvheer5vvrda5pftspd2zre9e" timestamp="1483740803"&gt;361&lt;/key&gt;&lt;/foreign-keys&gt;&lt;ref-type name="Journal Article"&gt;17&lt;/ref-type&gt;&lt;contributors&gt;&lt;authors&gt;&lt;author&gt;Loughran, T. I. M.&lt;/author&gt;&lt;author&gt;Vijh, Anand M.&lt;/author&gt;&lt;/authors&gt;&lt;/contributors&gt;&lt;titles&gt;&lt;title&gt;Do Long-Term Shareholders Benefit From Corporate Acquisitions?&lt;/title&gt;&lt;secondary-title&gt;The Journal of Finance&lt;/secondary-title&gt;&lt;/titles&gt;&lt;periodical&gt;&lt;full-title&gt;The Journal of Finance&lt;/full-title&gt;&lt;/periodical&gt;&lt;pages&gt;1765-1790&lt;/pages&gt;&lt;volume&gt;52&lt;/volume&gt;&lt;number&gt;5&lt;/number&gt;&lt;dates&gt;&lt;year&gt;1997&lt;/year&gt;&lt;/dates&gt;&lt;publisher&gt;Blackwell Publishing Ltd&lt;/publisher&gt;&lt;isbn&gt;1540-6261&lt;/isbn&gt;&lt;urls&gt;&lt;related-urls&gt;&lt;url&gt;http://dx.doi.org/10.1111/j.1540-6261.1997.tb02741.x&lt;/url&gt;&lt;/related-urls&gt;&lt;/urls&gt;&lt;electronic-resource-num&gt;10.1111/j.1540-6261.1997.tb02741.x&lt;/electronic-resource-num&gt;&lt;/record&gt;&lt;/Cite&gt;&lt;/EndNote&gt;</w:instrText>
      </w:r>
      <w:r w:rsidR="004E68EB" w:rsidRPr="006265CA">
        <w:rPr>
          <w:rFonts w:ascii="Open Sans" w:hAnsi="Open Sans" w:cs="Open Sans"/>
          <w:sz w:val="20"/>
        </w:rPr>
        <w:fldChar w:fldCharType="separate"/>
      </w:r>
      <w:r w:rsidR="004E68EB" w:rsidRPr="006265CA">
        <w:rPr>
          <w:rFonts w:ascii="Open Sans" w:hAnsi="Open Sans" w:cs="Open Sans"/>
          <w:noProof/>
          <w:sz w:val="20"/>
        </w:rPr>
        <w:t>(Loughran and Vijh 1997)</w:t>
      </w:r>
      <w:r w:rsidR="004E68EB" w:rsidRPr="006265CA">
        <w:rPr>
          <w:rFonts w:ascii="Open Sans" w:hAnsi="Open Sans" w:cs="Open Sans"/>
          <w:sz w:val="20"/>
        </w:rPr>
        <w:fldChar w:fldCharType="end"/>
      </w:r>
      <w:r w:rsidR="004E68EB" w:rsidRPr="006265CA">
        <w:rPr>
          <w:rFonts w:ascii="Open Sans" w:hAnsi="Open Sans" w:cs="Open Sans"/>
          <w:sz w:val="20"/>
        </w:rPr>
        <w:t xml:space="preserve">. Two well-known features of accounting measurement are of interest to us – R&amp;D is typically expensed when incurred, and acquisitions give rise to the recognition of goodwill as the difference between the purchase price and the net realizable value of the acquired assets. Understanding R&amp;D and acquisition accounting are central to the forecasting process, as investments made today are expected to generate payoffs in the future, but begs the question as to </w:t>
      </w:r>
      <w:r w:rsidR="004E68EB" w:rsidRPr="006265CA">
        <w:rPr>
          <w:rFonts w:ascii="Open Sans" w:hAnsi="Open Sans" w:cs="Open Sans"/>
          <w:i/>
          <w:sz w:val="20"/>
        </w:rPr>
        <w:t>how long</w:t>
      </w:r>
      <w:r w:rsidR="004E68EB" w:rsidRPr="006265CA">
        <w:rPr>
          <w:rFonts w:ascii="Open Sans" w:hAnsi="Open Sans" w:cs="Open Sans"/>
          <w:sz w:val="20"/>
        </w:rPr>
        <w:t xml:space="preserve"> in the future…?</w:t>
      </w:r>
      <w:r w:rsidR="009E5AF4">
        <w:rPr>
          <w:rFonts w:ascii="Open Sans" w:hAnsi="Open Sans" w:cs="Open Sans"/>
          <w:sz w:val="20"/>
        </w:rPr>
        <w:t xml:space="preserve"> And what are the risks associated with each growth strategy…?</w:t>
      </w:r>
    </w:p>
    <w:p w14:paraId="28BBA40A" w14:textId="31D32DB4" w:rsidR="004E68EB" w:rsidRPr="00767941" w:rsidRDefault="00974968" w:rsidP="00767941">
      <w:pPr>
        <w:pStyle w:val="Heading1"/>
        <w:rPr>
          <w:rFonts w:ascii="Open Sans" w:hAnsi="Open Sans" w:cs="Open Sans"/>
          <w:smallCaps/>
          <w:color w:val="33006F"/>
        </w:rPr>
      </w:pPr>
      <w:r w:rsidRPr="00767941">
        <w:rPr>
          <w:rFonts w:ascii="Open Sans" w:hAnsi="Open Sans" w:cs="Open Sans"/>
          <w:smallCaps/>
          <w:color w:val="33006F"/>
        </w:rPr>
        <w:t>Valuing Companies</w:t>
      </w:r>
    </w:p>
    <w:p w14:paraId="4190D4BF"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In the ongoing search for bargains in the stock market, analysts and investors rely on models to estimate the intrinsic value of a firm’s shareholders’ equity. By comparing the valuation suggested by their model to the actual value in the marketplace, they form opinions as to whether a given stock is under or overvalued. Valuation models are also used by investment bankers as an aid to </w:t>
      </w:r>
      <w:proofErr w:type="gramStart"/>
      <w:r w:rsidRPr="006265CA">
        <w:rPr>
          <w:rFonts w:ascii="Open Sans" w:hAnsi="Open Sans" w:cs="Open Sans"/>
          <w:sz w:val="20"/>
          <w:szCs w:val="20"/>
        </w:rPr>
        <w:t>pricing</w:t>
      </w:r>
      <w:proofErr w:type="gramEnd"/>
      <w:r w:rsidRPr="006265CA">
        <w:rPr>
          <w:rFonts w:ascii="Open Sans" w:hAnsi="Open Sans" w:cs="Open Sans"/>
          <w:sz w:val="20"/>
          <w:szCs w:val="20"/>
        </w:rPr>
        <w:t xml:space="preserve"> initial public offerings, and to inform parties involved in assorted private transactions such as selling a business or division, dividing property among owners, and settling estates. In this section, we introduce a relatively simple but powerful model of equity (common stock) valuation.</w:t>
      </w:r>
      <w:r w:rsidRPr="006265CA">
        <w:rPr>
          <w:rFonts w:ascii="Open Sans" w:hAnsi="Open Sans" w:cs="Open Sans"/>
          <w:sz w:val="20"/>
          <w:szCs w:val="20"/>
          <w:vertAlign w:val="superscript"/>
        </w:rPr>
        <w:endnoteReference w:id="3"/>
      </w:r>
    </w:p>
    <w:p w14:paraId="6C3E774E" w14:textId="77777777" w:rsidR="004E68EB" w:rsidRPr="006265CA" w:rsidRDefault="004E68EB" w:rsidP="003A6FC4">
      <w:pPr>
        <w:spacing w:before="120" w:after="120" w:line="360" w:lineRule="auto"/>
        <w:jc w:val="both"/>
        <w:rPr>
          <w:rFonts w:ascii="Open Sans" w:hAnsi="Open Sans" w:cs="Open Sans"/>
          <w:sz w:val="20"/>
          <w:szCs w:val="20"/>
        </w:rPr>
      </w:pPr>
      <w:r w:rsidRPr="00767941">
        <w:rPr>
          <w:rFonts w:ascii="Open Sans" w:eastAsiaTheme="majorEastAsia" w:hAnsi="Open Sans" w:cs="Open Sans"/>
          <w:b/>
          <w:bCs/>
          <w:smallCaps/>
          <w:color w:val="33006F"/>
          <w:szCs w:val="28"/>
        </w:rPr>
        <w:t xml:space="preserve">Should valuation be based on future cash flows, future dividends or future earnings? </w:t>
      </w:r>
      <w:r w:rsidRPr="006265CA">
        <w:rPr>
          <w:rFonts w:ascii="Open Sans" w:hAnsi="Open Sans" w:cs="Open Sans"/>
          <w:sz w:val="20"/>
          <w:szCs w:val="20"/>
        </w:rPr>
        <w:t xml:space="preserve">Modeling a company’s stock price requires predictions of the future. Valuation models are typically based on </w:t>
      </w:r>
      <w:r w:rsidRPr="006265CA">
        <w:rPr>
          <w:rFonts w:ascii="Open Sans" w:hAnsi="Open Sans" w:cs="Open Sans"/>
          <w:sz w:val="20"/>
          <w:szCs w:val="20"/>
        </w:rPr>
        <w:lastRenderedPageBreak/>
        <w:t>discounted future cash flows, discounted future dividends, or discounted (residual) earnings.</w:t>
      </w:r>
      <w:r w:rsidRPr="006265CA">
        <w:rPr>
          <w:rFonts w:ascii="Open Sans" w:hAnsi="Open Sans" w:cs="Open Sans"/>
          <w:sz w:val="20"/>
          <w:szCs w:val="20"/>
          <w:vertAlign w:val="superscript"/>
        </w:rPr>
        <w:endnoteReference w:id="4"/>
      </w:r>
      <w:r w:rsidRPr="006265CA">
        <w:rPr>
          <w:rFonts w:ascii="Open Sans" w:hAnsi="Open Sans" w:cs="Open Sans"/>
          <w:sz w:val="20"/>
          <w:szCs w:val="20"/>
        </w:rPr>
        <w:t xml:space="preserve"> The benefits of using accounting inputs, especially residual earnings models are:</w:t>
      </w:r>
    </w:p>
    <w:p w14:paraId="3373D5F6" w14:textId="77777777" w:rsidR="004E68EB" w:rsidRPr="006265CA" w:rsidRDefault="004E68EB" w:rsidP="003A6FC4">
      <w:pPr>
        <w:numPr>
          <w:ilvl w:val="0"/>
          <w:numId w:val="17"/>
        </w:numPr>
        <w:spacing w:before="120" w:after="120" w:line="360" w:lineRule="auto"/>
        <w:jc w:val="both"/>
        <w:rPr>
          <w:rFonts w:ascii="Open Sans" w:hAnsi="Open Sans" w:cs="Open Sans"/>
          <w:sz w:val="20"/>
          <w:szCs w:val="20"/>
        </w:rPr>
      </w:pPr>
      <w:r w:rsidRPr="006265CA">
        <w:rPr>
          <w:rFonts w:ascii="Open Sans" w:hAnsi="Open Sans" w:cs="Open Sans"/>
          <w:sz w:val="20"/>
          <w:szCs w:val="20"/>
        </w:rPr>
        <w:t>Benchmarks for quarterly and annual performance are almost always given in earnings per share (</w:t>
      </w:r>
      <w:r w:rsidRPr="006265CA">
        <w:rPr>
          <w:rFonts w:ascii="Open Sans" w:hAnsi="Open Sans" w:cs="Open Sans"/>
          <w:i/>
          <w:sz w:val="20"/>
          <w:szCs w:val="20"/>
        </w:rPr>
        <w:t>EPS</w:t>
      </w:r>
      <w:r w:rsidRPr="006265CA">
        <w:rPr>
          <w:rFonts w:ascii="Open Sans" w:hAnsi="Open Sans" w:cs="Open Sans"/>
          <w:sz w:val="20"/>
          <w:szCs w:val="20"/>
        </w:rPr>
        <w:t>) – not in cash flows or dividends. Earnings generally receive far more attention from the business press, investors and analysts. Analysts typically forecast earnings as the value driver (rather than cash flows or dividends), and their earnings forecasts are often readily available data sources.</w:t>
      </w:r>
      <w:r w:rsidRPr="006265CA">
        <w:rPr>
          <w:rFonts w:ascii="Open Sans" w:hAnsi="Open Sans" w:cs="Open Sans"/>
          <w:sz w:val="20"/>
          <w:szCs w:val="20"/>
          <w:vertAlign w:val="superscript"/>
        </w:rPr>
        <w:endnoteReference w:id="5"/>
      </w:r>
    </w:p>
    <w:p w14:paraId="7DE4041F" w14:textId="77777777" w:rsidR="004E68EB" w:rsidRPr="006265CA" w:rsidRDefault="004E68EB" w:rsidP="003A6FC4">
      <w:pPr>
        <w:numPr>
          <w:ilvl w:val="0"/>
          <w:numId w:val="17"/>
        </w:num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Analysts’ forecasting horizons are finite (generally 5 years or less). Many firms do not pay dividends and others have dividend payout policies that tend to be stable for long periods. </w:t>
      </w:r>
      <w:proofErr w:type="gramStart"/>
      <w:r w:rsidRPr="006265CA">
        <w:rPr>
          <w:rFonts w:ascii="Open Sans" w:hAnsi="Open Sans" w:cs="Open Sans"/>
          <w:sz w:val="20"/>
          <w:szCs w:val="20"/>
        </w:rPr>
        <w:t>Thus</w:t>
      </w:r>
      <w:proofErr w:type="gramEnd"/>
      <w:r w:rsidRPr="006265CA">
        <w:rPr>
          <w:rFonts w:ascii="Open Sans" w:hAnsi="Open Sans" w:cs="Open Sans"/>
          <w:sz w:val="20"/>
          <w:szCs w:val="20"/>
        </w:rPr>
        <w:t xml:space="preserve"> valuation models based on dividends tend to be less useful for modeling equity values.</w:t>
      </w:r>
    </w:p>
    <w:p w14:paraId="2F7F1D96" w14:textId="77777777" w:rsidR="004E68EB" w:rsidRPr="006265CA" w:rsidRDefault="004E68EB" w:rsidP="003A6FC4">
      <w:pPr>
        <w:numPr>
          <w:ilvl w:val="0"/>
          <w:numId w:val="17"/>
        </w:numPr>
        <w:spacing w:before="120" w:after="120" w:line="360" w:lineRule="auto"/>
        <w:jc w:val="both"/>
        <w:rPr>
          <w:rFonts w:ascii="Open Sans" w:hAnsi="Open Sans" w:cs="Open Sans"/>
          <w:sz w:val="20"/>
          <w:szCs w:val="20"/>
        </w:rPr>
      </w:pPr>
      <w:r w:rsidRPr="006265CA">
        <w:rPr>
          <w:rFonts w:ascii="Open Sans" w:hAnsi="Open Sans" w:cs="Open Sans"/>
          <w:sz w:val="20"/>
          <w:szCs w:val="20"/>
        </w:rPr>
        <w:t>Evidence from academic research suggests that analysts and investors tend to rely on earnings to assess performance (more so than cash flows or dividends).</w:t>
      </w:r>
    </w:p>
    <w:p w14:paraId="3A9ED4F1" w14:textId="77777777" w:rsidR="004E68EB" w:rsidRPr="006265CA" w:rsidRDefault="004E68EB" w:rsidP="003A6FC4">
      <w:pPr>
        <w:numPr>
          <w:ilvl w:val="0"/>
          <w:numId w:val="17"/>
        </w:numPr>
        <w:spacing w:before="120" w:after="120" w:line="360" w:lineRule="auto"/>
        <w:jc w:val="both"/>
        <w:rPr>
          <w:rFonts w:ascii="Open Sans" w:hAnsi="Open Sans" w:cs="Open Sans"/>
          <w:sz w:val="20"/>
          <w:szCs w:val="20"/>
        </w:rPr>
      </w:pPr>
      <w:r w:rsidRPr="006265CA">
        <w:rPr>
          <w:rFonts w:ascii="Open Sans" w:hAnsi="Open Sans" w:cs="Open Sans"/>
          <w:sz w:val="20"/>
          <w:szCs w:val="20"/>
        </w:rPr>
        <w:t>Evidence from academic research suggests that residual-income valuation models tend to be more accurate than cash flow or dividend-based models.</w:t>
      </w:r>
    </w:p>
    <w:p w14:paraId="7A5BE608" w14:textId="77777777" w:rsidR="004E68EB" w:rsidRPr="006265CA" w:rsidRDefault="004E68EB" w:rsidP="003A6FC4">
      <w:pPr>
        <w:numPr>
          <w:ilvl w:val="0"/>
          <w:numId w:val="17"/>
        </w:numPr>
        <w:spacing w:before="120" w:after="120" w:line="360" w:lineRule="auto"/>
        <w:jc w:val="both"/>
        <w:rPr>
          <w:rFonts w:ascii="Open Sans" w:hAnsi="Open Sans" w:cs="Open Sans"/>
          <w:sz w:val="20"/>
          <w:szCs w:val="20"/>
        </w:rPr>
      </w:pPr>
      <w:r w:rsidRPr="006265CA">
        <w:rPr>
          <w:rFonts w:ascii="Open Sans" w:hAnsi="Open Sans" w:cs="Open Sans"/>
          <w:sz w:val="20"/>
          <w:szCs w:val="20"/>
        </w:rPr>
        <w:fldChar w:fldCharType="begin"/>
      </w:r>
      <w:r w:rsidRPr="006265CA">
        <w:rPr>
          <w:rFonts w:ascii="Open Sans" w:hAnsi="Open Sans" w:cs="Open Sans"/>
          <w:sz w:val="20"/>
          <w:szCs w:val="20"/>
        </w:rPr>
        <w:instrText xml:space="preserve"> ADDIN EN.CITE &lt;EndNote&gt;&lt;Cite AuthorYear="1"&gt;&lt;Author&gt;Frankel&lt;/Author&gt;&lt;Year&gt;1998&lt;/Year&gt;&lt;RecNum&gt;383&lt;/RecNum&gt;&lt;DisplayText&gt;Frankel and Lee (1998)&lt;/DisplayText&gt;&lt;record&gt;&lt;rec-number&gt;383&lt;/rec-number&gt;&lt;foreign-keys&gt;&lt;key app="EN" db-id="5wddtwtdltavvheer5vvrda5pftspd2zre9e" timestamp="1486556311"&gt;383&lt;/key&gt;&lt;/foreign-keys&gt;&lt;ref-type name="Journal Article"&gt;17&lt;/ref-type&gt;&lt;contributors&gt;&lt;authors&gt;&lt;author&gt;Frankel, Richard&lt;/author&gt;&lt;author&gt;Lee, Charles M. C.&lt;/author&gt;&lt;/authors&gt;&lt;/contributors&gt;&lt;titles&gt;&lt;title&gt;Accounting valuation, market expectation, and cross-sectional stock returns&lt;/title&gt;&lt;secondary-title&gt;Journal of Accounting and Economics&lt;/secondary-title&gt;&lt;/titles&gt;&lt;periodical&gt;&lt;full-title&gt;Journal of accounting and economics&lt;/full-title&gt;&lt;/periodical&gt;&lt;pages&gt;283-319&lt;/pages&gt;&lt;volume&gt;25&lt;/volume&gt;&lt;number&gt;3&lt;/number&gt;&lt;keywords&gt;&lt;keyword&gt;Capital markets&lt;/keyword&gt;&lt;keyword&gt;Market expectations&lt;/keyword&gt;&lt;keyword&gt;Market efficiency&lt;/keyword&gt;&lt;keyword&gt;Valuation&lt;/keyword&gt;&lt;keyword&gt;Analyst forecasts&lt;/keyword&gt;&lt;/keywords&gt;&lt;dates&gt;&lt;year&gt;1998&lt;/year&gt;&lt;pub-dates&gt;&lt;date&gt;6/30/&lt;/date&gt;&lt;/pub-dates&gt;&lt;/dates&gt;&lt;isbn&gt;0165-4101&lt;/isbn&gt;&lt;urls&gt;&lt;related-urls&gt;&lt;url&gt;//www.sciencedirect.com/science/article/pii/S0165410198000263&lt;/url&gt;&lt;/related-urls&gt;&lt;/urls&gt;&lt;electronic-resource-num&gt;http://dx.doi.org/10.1016/S0165-4101(98)00026-3&lt;/electronic-resource-num&gt;&lt;/record&gt;&lt;/Cite&gt;&lt;/EndNote&gt;</w:instrText>
      </w:r>
      <w:r w:rsidRPr="006265CA">
        <w:rPr>
          <w:rFonts w:ascii="Open Sans" w:hAnsi="Open Sans" w:cs="Open Sans"/>
          <w:sz w:val="20"/>
          <w:szCs w:val="20"/>
        </w:rPr>
        <w:fldChar w:fldCharType="separate"/>
      </w:r>
      <w:r w:rsidRPr="006265CA">
        <w:rPr>
          <w:rFonts w:ascii="Open Sans" w:hAnsi="Open Sans" w:cs="Open Sans"/>
          <w:noProof/>
          <w:sz w:val="20"/>
          <w:szCs w:val="20"/>
        </w:rPr>
        <w:t>Frankel and Lee (1998)</w:t>
      </w:r>
      <w:r w:rsidRPr="006265CA">
        <w:rPr>
          <w:rFonts w:ascii="Open Sans" w:hAnsi="Open Sans" w:cs="Open Sans"/>
          <w:sz w:val="20"/>
          <w:szCs w:val="20"/>
        </w:rPr>
        <w:fldChar w:fldCharType="end"/>
      </w:r>
      <w:r w:rsidRPr="006265CA">
        <w:rPr>
          <w:rFonts w:ascii="Open Sans" w:hAnsi="Open Sans" w:cs="Open Sans"/>
          <w:sz w:val="20"/>
          <w:szCs w:val="20"/>
        </w:rPr>
        <w:t xml:space="preserve"> provide evidence that the ratio of the residual-income valuation model to price predicts future returns (that is, the model appears to be able to identify mispriced stock).</w:t>
      </w:r>
    </w:p>
    <w:p w14:paraId="3294C1DC" w14:textId="77777777" w:rsidR="004E68EB" w:rsidRPr="00767941" w:rsidRDefault="004E68EB" w:rsidP="003A6FC4">
      <w:pPr>
        <w:keepNext/>
        <w:keepLines/>
        <w:spacing w:before="200"/>
        <w:outlineLvl w:val="1"/>
        <w:rPr>
          <w:rFonts w:ascii="Open Sans" w:eastAsiaTheme="majorEastAsia" w:hAnsi="Open Sans" w:cs="Open Sans"/>
          <w:b/>
          <w:bCs/>
          <w:smallCaps/>
          <w:color w:val="33006F"/>
          <w:szCs w:val="28"/>
        </w:rPr>
      </w:pPr>
      <w:bookmarkStart w:id="6" w:name="_Toc474290746"/>
      <w:r w:rsidRPr="00767941">
        <w:rPr>
          <w:rFonts w:ascii="Open Sans" w:eastAsiaTheme="majorEastAsia" w:hAnsi="Open Sans" w:cs="Open Sans"/>
          <w:b/>
          <w:bCs/>
          <w:smallCaps/>
          <w:color w:val="33006F"/>
          <w:szCs w:val="28"/>
        </w:rPr>
        <w:t>The basics of equity valuation</w:t>
      </w:r>
      <w:bookmarkEnd w:id="6"/>
    </w:p>
    <w:p w14:paraId="0FDDDFA1" w14:textId="77777777" w:rsidR="004E68EB" w:rsidRPr="006265CA" w:rsidRDefault="004E68EB" w:rsidP="003A6FC4">
      <w:pPr>
        <w:spacing w:before="120" w:after="120" w:line="360" w:lineRule="auto"/>
        <w:jc w:val="both"/>
        <w:rPr>
          <w:rFonts w:ascii="Open Sans" w:hAnsi="Open Sans" w:cs="Open Sans"/>
          <w:sz w:val="20"/>
          <w:szCs w:val="20"/>
        </w:rPr>
      </w:pPr>
      <w:r w:rsidRPr="00767941">
        <w:rPr>
          <w:rFonts w:ascii="Open Sans" w:hAnsi="Open Sans" w:cs="Open Sans"/>
          <w:b/>
          <w:color w:val="33006F"/>
          <w:sz w:val="20"/>
          <w:szCs w:val="20"/>
        </w:rPr>
        <w:t>A simple perpetuity valuation model:</w:t>
      </w:r>
      <w:r w:rsidRPr="006265CA">
        <w:rPr>
          <w:rFonts w:ascii="Open Sans" w:hAnsi="Open Sans" w:cs="Open Sans"/>
          <w:b/>
          <w:i/>
          <w:sz w:val="20"/>
          <w:szCs w:val="20"/>
        </w:rPr>
        <w:t xml:space="preserve"> </w:t>
      </w:r>
      <w:r w:rsidRPr="006265CA">
        <w:rPr>
          <w:rFonts w:ascii="Open Sans" w:hAnsi="Open Sans" w:cs="Open Sans"/>
          <w:sz w:val="20"/>
          <w:szCs w:val="20"/>
        </w:rPr>
        <w:t>We start with a highly simplified model that assumes earnings, cash flows and dividends are equivalent and that earnings continue at the same amount each period in perpetuity.</w:t>
      </w:r>
      <w:r w:rsidRPr="006265CA">
        <w:rPr>
          <w:rFonts w:ascii="Open Sans" w:hAnsi="Open Sans" w:cs="Open Sans"/>
          <w:sz w:val="20"/>
          <w:szCs w:val="20"/>
          <w:vertAlign w:val="superscript"/>
        </w:rPr>
        <w:endnoteReference w:id="6"/>
      </w:r>
      <w:r w:rsidRPr="006265CA">
        <w:rPr>
          <w:rFonts w:ascii="Open Sans" w:hAnsi="Open Sans" w:cs="Open Sans"/>
          <w:sz w:val="20"/>
          <w:szCs w:val="20"/>
        </w:rPr>
        <w:t xml:space="preserve"> Using this perpetuity model, the present value (PV) of a stream of future earnings is:</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4E68EB" w:rsidRPr="006265CA" w14:paraId="268AC05D" w14:textId="77777777" w:rsidTr="003A6FC4">
        <w:tc>
          <w:tcPr>
            <w:tcW w:w="828" w:type="dxa"/>
          </w:tcPr>
          <w:p w14:paraId="4DD8DAA3" w14:textId="77777777" w:rsidR="004E68EB" w:rsidRPr="006265CA" w:rsidRDefault="004E68EB" w:rsidP="003A6FC4">
            <w:pPr>
              <w:spacing w:line="360" w:lineRule="auto"/>
              <w:jc w:val="both"/>
              <w:rPr>
                <w:rFonts w:ascii="Open Sans" w:eastAsia="Times New Roman" w:hAnsi="Open Sans" w:cs="Open Sans"/>
                <w:sz w:val="20"/>
                <w:szCs w:val="20"/>
              </w:rPr>
            </w:pPr>
          </w:p>
        </w:tc>
        <w:tc>
          <w:tcPr>
            <w:tcW w:w="7920" w:type="dxa"/>
            <w:vAlign w:val="center"/>
          </w:tcPr>
          <w:p w14:paraId="13486D12" w14:textId="77777777" w:rsidR="004E68EB" w:rsidRPr="006265CA" w:rsidRDefault="004E68EB" w:rsidP="003A6FC4">
            <w:pPr>
              <w:spacing w:line="360" w:lineRule="auto"/>
              <w:jc w:val="center"/>
              <w:rPr>
                <w:rFonts w:ascii="Open Sans" w:eastAsia="Times New Roman" w:hAnsi="Open Sans" w:cs="Open Sans"/>
                <w:sz w:val="20"/>
                <w:szCs w:val="20"/>
              </w:rPr>
            </w:pPr>
            <m:oMathPara>
              <m:oMath>
                <m:r>
                  <w:rPr>
                    <w:rFonts w:ascii="Cambria Math" w:eastAsia="Times New Roman" w:hAnsi="Cambria Math" w:cs="Open Sans"/>
                    <w:sz w:val="20"/>
                    <w:szCs w:val="20"/>
                  </w:rPr>
                  <m:t>PV=NI/r</m:t>
                </m:r>
              </m:oMath>
            </m:oMathPara>
          </w:p>
        </w:tc>
        <w:tc>
          <w:tcPr>
            <w:tcW w:w="828" w:type="dxa"/>
            <w:vAlign w:val="center"/>
          </w:tcPr>
          <w:p w14:paraId="5C8CF473" w14:textId="46D962C9" w:rsidR="004E68EB" w:rsidRPr="006265CA" w:rsidRDefault="004E68EB" w:rsidP="003A6FC4">
            <w:pPr>
              <w:spacing w:line="360" w:lineRule="auto"/>
              <w:jc w:val="right"/>
              <w:rPr>
                <w:rFonts w:ascii="Open Sans" w:eastAsia="Times New Roman" w:hAnsi="Open Sans" w:cs="Open Sans"/>
                <w:sz w:val="20"/>
                <w:szCs w:val="20"/>
              </w:rPr>
            </w:pPr>
            <w:r w:rsidRPr="006265CA">
              <w:rPr>
                <w:rFonts w:ascii="Open Sans" w:eastAsia="Times New Roman" w:hAnsi="Open Sans" w:cs="Open Sans"/>
                <w:sz w:val="20"/>
                <w:szCs w:val="20"/>
              </w:rPr>
              <w:t>(</w:t>
            </w:r>
            <w:r w:rsidRPr="006265CA">
              <w:rPr>
                <w:rFonts w:ascii="Open Sans" w:eastAsia="Times New Roman" w:hAnsi="Open Sans" w:cs="Open Sans"/>
                <w:sz w:val="20"/>
                <w:szCs w:val="20"/>
              </w:rPr>
              <w:fldChar w:fldCharType="begin"/>
            </w:r>
            <w:r w:rsidRPr="006265CA">
              <w:rPr>
                <w:rFonts w:ascii="Open Sans" w:eastAsia="Times New Roman" w:hAnsi="Open Sans" w:cs="Open Sans"/>
                <w:sz w:val="20"/>
                <w:szCs w:val="20"/>
              </w:rPr>
              <w:instrText xml:space="preserve"> SEQ Eq \* MERGEFORMAT </w:instrText>
            </w:r>
            <w:r w:rsidRPr="006265CA">
              <w:rPr>
                <w:rFonts w:ascii="Open Sans" w:eastAsia="Times New Roman" w:hAnsi="Open Sans" w:cs="Open Sans"/>
                <w:sz w:val="20"/>
                <w:szCs w:val="20"/>
              </w:rPr>
              <w:fldChar w:fldCharType="separate"/>
            </w:r>
            <w:r w:rsidR="008D3733">
              <w:rPr>
                <w:rFonts w:ascii="Open Sans" w:eastAsia="Times New Roman" w:hAnsi="Open Sans" w:cs="Open Sans"/>
                <w:noProof/>
                <w:sz w:val="20"/>
                <w:szCs w:val="20"/>
              </w:rPr>
              <w:t>3</w:t>
            </w:r>
            <w:r w:rsidRPr="006265CA">
              <w:rPr>
                <w:rFonts w:ascii="Open Sans" w:eastAsia="Times New Roman" w:hAnsi="Open Sans" w:cs="Open Sans"/>
                <w:sz w:val="20"/>
                <w:szCs w:val="20"/>
              </w:rPr>
              <w:fldChar w:fldCharType="end"/>
            </w:r>
            <w:r w:rsidRPr="006265CA">
              <w:rPr>
                <w:rFonts w:ascii="Open Sans" w:eastAsia="Times New Roman" w:hAnsi="Open Sans" w:cs="Open Sans"/>
                <w:sz w:val="20"/>
                <w:szCs w:val="20"/>
              </w:rPr>
              <w:t>)</w:t>
            </w:r>
          </w:p>
        </w:tc>
      </w:tr>
    </w:tbl>
    <w:p w14:paraId="3402686F"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where, NI = earnings assumed to continue in perpetuity, and r = discount rate. Below we consider three simple applications of this so-called perpetuity valuation model.</w:t>
      </w:r>
    </w:p>
    <w:p w14:paraId="5B6D2A16"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t>Example 1:  A savings account.</w:t>
      </w:r>
      <w:r w:rsidRPr="006265CA">
        <w:rPr>
          <w:rFonts w:ascii="Open Sans" w:hAnsi="Open Sans" w:cs="Open Sans"/>
          <w:sz w:val="20"/>
          <w:szCs w:val="20"/>
        </w:rPr>
        <w:t xml:space="preserve"> Assume we put $100 into a savings account that has an expected annual return of 2%.  What is expected earnings for next year?  The answer is $2 (= 0.02 * $100). Now let’s use our perpetuity valuation model to arrive at the </w:t>
      </w:r>
      <w:r w:rsidRPr="006265CA">
        <w:rPr>
          <w:rFonts w:ascii="Open Sans" w:hAnsi="Open Sans" w:cs="Open Sans"/>
          <w:i/>
          <w:sz w:val="20"/>
          <w:szCs w:val="20"/>
        </w:rPr>
        <w:t>present value</w:t>
      </w:r>
      <w:r w:rsidRPr="006265CA">
        <w:rPr>
          <w:rFonts w:ascii="Open Sans" w:hAnsi="Open Sans" w:cs="Open Sans"/>
          <w:sz w:val="20"/>
          <w:szCs w:val="20"/>
        </w:rPr>
        <w:t xml:space="preserve"> of our savings account assuming it would continue to pay 2% interest each period into the future and that all earnings are always paid out in cash.  (Note that we are using ‘market value’ and ‘present value’ as synonyms.)  If our model works, we know </w:t>
      </w:r>
      <w:r w:rsidRPr="006265CA">
        <w:rPr>
          <w:rFonts w:ascii="Open Sans" w:hAnsi="Open Sans" w:cs="Open Sans"/>
          <w:sz w:val="20"/>
          <w:szCs w:val="20"/>
        </w:rPr>
        <w:lastRenderedPageBreak/>
        <w:t>the answer should be $100 since this is the initial amount we invested in the savings account.  Applying our perpetuity valuation model above, the present (or market) value should be our annual earnings divided by the discount rate, our expected annual interest rate:</w:t>
      </w:r>
    </w:p>
    <w:p w14:paraId="05F47DF0"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object w:dxaOrig="1100" w:dyaOrig="940" w14:anchorId="19BE2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85pt;height:47.3pt" o:ole="">
            <v:imagedata r:id="rId15" o:title=""/>
          </v:shape>
          <o:OLEObject Type="Embed" ProgID="Equation.3" ShapeID="_x0000_i1025" DrawAspect="Content" ObjectID="_1569493252" r:id="rId16"/>
        </w:object>
      </w:r>
    </w:p>
    <w:p w14:paraId="0F9021E7"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Our model ‘worked’ in that it yielded the known present value of our investment, $100.</w:t>
      </w:r>
    </w:p>
    <w:p w14:paraId="277159DC"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t>Example 2:  Claude’s Coffeehouse.</w:t>
      </w:r>
      <w:r w:rsidRPr="006265CA">
        <w:rPr>
          <w:rFonts w:ascii="Open Sans" w:hAnsi="Open Sans" w:cs="Open Sans"/>
          <w:sz w:val="20"/>
          <w:szCs w:val="20"/>
        </w:rPr>
        <w:t xml:space="preserve"> Assume that Claude’s Coffeehouse expects to earn $120,000 next year – and on into perpetuity.  Assume a discount rate or ‘cost of capital’ of 10%, we can again use our perpetuity valuation model to estimate the current market value of the company’s stock.  </w:t>
      </w:r>
    </w:p>
    <w:p w14:paraId="42911694"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object w:dxaOrig="1760" w:dyaOrig="960" w14:anchorId="30036C29">
          <v:shape id="_x0000_i1026" type="#_x0000_t75" style="width:88.45pt;height:48pt" o:ole="" fillcolor="window">
            <v:imagedata r:id="rId17" o:title=""/>
          </v:shape>
          <o:OLEObject Type="Embed" ProgID="Equation.3" ShapeID="_x0000_i1026" DrawAspect="Content" ObjectID="_1569493253" r:id="rId18"/>
        </w:object>
      </w:r>
    </w:p>
    <w:p w14:paraId="531BF472"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Our model suggests that Claude’s Coffeehouse is worth $1.2 million.</w:t>
      </w:r>
    </w:p>
    <w:p w14:paraId="727D9A98"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t>Example 3:  Starbucks.</w:t>
      </w:r>
      <w:r w:rsidRPr="006265CA">
        <w:rPr>
          <w:rFonts w:ascii="Open Sans" w:hAnsi="Open Sans" w:cs="Open Sans"/>
          <w:sz w:val="20"/>
          <w:szCs w:val="20"/>
        </w:rPr>
        <w:t xml:space="preserve"> According to the consensus analyst estimate provided by Yahoo Finance in early September 2011, Starbucks (SBUX) is expected to earn $1.82 per share in the fiscal year ended September 30, 2012.  (We discuss where these numbers come from later.)  Assuming a discount rate or ‘cost of equity capital’ of 7%, we again apply our perpetuity valuation model to estimate the current market price of Starbucks’ common stock. (Here, we express the present market value as the price </w:t>
      </w:r>
      <w:r w:rsidRPr="006265CA">
        <w:rPr>
          <w:rFonts w:ascii="Open Sans" w:hAnsi="Open Sans" w:cs="Open Sans"/>
          <w:i/>
          <w:sz w:val="20"/>
          <w:szCs w:val="20"/>
        </w:rPr>
        <w:t>per share</w:t>
      </w:r>
      <w:r w:rsidRPr="006265CA">
        <w:rPr>
          <w:rFonts w:ascii="Open Sans" w:hAnsi="Open Sans" w:cs="Open Sans"/>
          <w:sz w:val="20"/>
          <w:szCs w:val="20"/>
        </w:rPr>
        <w:t xml:space="preserve">, </w:t>
      </w:r>
      <w:r w:rsidRPr="006265CA">
        <w:rPr>
          <w:rFonts w:ascii="Open Sans" w:hAnsi="Open Sans" w:cs="Open Sans"/>
          <w:i/>
          <w:sz w:val="20"/>
          <w:szCs w:val="20"/>
        </w:rPr>
        <w:t>P</w:t>
      </w:r>
      <w:r w:rsidRPr="006265CA">
        <w:rPr>
          <w:rFonts w:ascii="Open Sans" w:hAnsi="Open Sans" w:cs="Open Sans"/>
          <w:sz w:val="20"/>
          <w:szCs w:val="20"/>
        </w:rPr>
        <w:t>.)</w:t>
      </w:r>
    </w:p>
    <w:p w14:paraId="57A0A99C"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i/>
          <w:sz w:val="20"/>
          <w:szCs w:val="20"/>
        </w:rPr>
        <w:t xml:space="preserve">P </w:t>
      </w:r>
      <w:r w:rsidRPr="006265CA">
        <w:rPr>
          <w:rFonts w:ascii="Open Sans" w:hAnsi="Open Sans" w:cs="Open Sans"/>
          <w:sz w:val="20"/>
          <w:szCs w:val="20"/>
        </w:rPr>
        <w:t>= $1.82/0.07</w:t>
      </w:r>
    </w:p>
    <w:p w14:paraId="4997B132"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i/>
          <w:sz w:val="20"/>
          <w:szCs w:val="20"/>
        </w:rPr>
        <w:t>P</w:t>
      </w:r>
      <w:r w:rsidRPr="006265CA">
        <w:rPr>
          <w:rFonts w:ascii="Open Sans" w:hAnsi="Open Sans" w:cs="Open Sans"/>
          <w:sz w:val="20"/>
          <w:szCs w:val="20"/>
        </w:rPr>
        <w:t xml:space="preserve"> = $26.00</w:t>
      </w:r>
    </w:p>
    <w:p w14:paraId="5B7597BD" w14:textId="7393DA60"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Our model suggests that Starbucks shares are each worth $26.  However, Starbucks’ stock price in early September 2011 was approximately $38, which is $12 or over 45% higher than our perpetuity model predicted.</w:t>
      </w:r>
      <w:r w:rsidR="005D5BE6">
        <w:rPr>
          <w:rFonts w:ascii="Open Sans" w:hAnsi="Open Sans" w:cs="Open Sans"/>
          <w:sz w:val="20"/>
          <w:szCs w:val="20"/>
        </w:rPr>
        <w:t xml:space="preserve"> Why was the estimate so low relative to the price? The answer is due to expected growth.</w:t>
      </w:r>
    </w:p>
    <w:p w14:paraId="494B1FED" w14:textId="77777777" w:rsidR="004E68EB" w:rsidRPr="006265CA" w:rsidRDefault="004E68EB" w:rsidP="003A6FC4">
      <w:pPr>
        <w:spacing w:before="120" w:after="120" w:line="360" w:lineRule="auto"/>
        <w:jc w:val="both"/>
        <w:rPr>
          <w:rFonts w:ascii="Open Sans" w:hAnsi="Open Sans" w:cs="Open Sans"/>
          <w:b/>
          <w:sz w:val="20"/>
          <w:szCs w:val="20"/>
        </w:rPr>
      </w:pPr>
      <w:r w:rsidRPr="00767941">
        <w:rPr>
          <w:rFonts w:ascii="Open Sans" w:hAnsi="Open Sans" w:cs="Open Sans"/>
          <w:b/>
          <w:color w:val="33006F"/>
          <w:sz w:val="20"/>
          <w:szCs w:val="20"/>
        </w:rPr>
        <w:t xml:space="preserve">A general model for equity valuation: </w:t>
      </w:r>
      <w:r w:rsidRPr="006265CA">
        <w:rPr>
          <w:rFonts w:ascii="Open Sans" w:hAnsi="Open Sans" w:cs="Open Sans"/>
          <w:sz w:val="20"/>
          <w:szCs w:val="20"/>
        </w:rPr>
        <w:t xml:space="preserve">Next, we introduce our general model to estimate the total market value of a firm’s equity (a.k.a. its ‘market cap’). This model improves on the perpetuity model by allowing for growth in earnings and introducing the wealth-building concept of ‘abnormal’ versus ‘normal’ earnings.  The </w:t>
      </w:r>
      <w:r w:rsidRPr="006265CA">
        <w:rPr>
          <w:rFonts w:ascii="Open Sans" w:hAnsi="Open Sans" w:cs="Open Sans"/>
          <w:i/>
          <w:sz w:val="20"/>
          <w:szCs w:val="20"/>
        </w:rPr>
        <w:t>estimated</w:t>
      </w:r>
      <w:r w:rsidRPr="006265CA">
        <w:rPr>
          <w:rFonts w:ascii="Open Sans" w:hAnsi="Open Sans" w:cs="Open Sans"/>
          <w:sz w:val="20"/>
          <w:szCs w:val="20"/>
        </w:rPr>
        <w:t xml:space="preserve"> intrinsic market value of a firm’s equity at time t (</w:t>
      </w:r>
      <w:proofErr w:type="spellStart"/>
      <w:r w:rsidRPr="006265CA">
        <w:rPr>
          <w:rFonts w:ascii="Open Sans" w:hAnsi="Open Sans" w:cs="Open Sans"/>
          <w:i/>
          <w:sz w:val="20"/>
          <w:szCs w:val="20"/>
        </w:rPr>
        <w:t>MVE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is:</w:t>
      </w:r>
      <w:r w:rsidRPr="006265CA">
        <w:rPr>
          <w:rFonts w:ascii="Open Sans" w:hAnsi="Open Sans" w:cs="Open Sans"/>
          <w:sz w:val="20"/>
          <w:szCs w:val="20"/>
          <w:vertAlign w:val="superscript"/>
        </w:rPr>
        <w:endnoteReference w:id="7"/>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4E68EB" w:rsidRPr="006265CA" w14:paraId="476C307E" w14:textId="77777777" w:rsidTr="003A6FC4">
        <w:tc>
          <w:tcPr>
            <w:tcW w:w="828" w:type="dxa"/>
          </w:tcPr>
          <w:p w14:paraId="6214A103" w14:textId="77777777" w:rsidR="004E68EB" w:rsidRPr="006265CA" w:rsidRDefault="004E68EB" w:rsidP="003A6FC4">
            <w:pPr>
              <w:spacing w:line="360" w:lineRule="auto"/>
              <w:jc w:val="both"/>
              <w:rPr>
                <w:rFonts w:ascii="Open Sans" w:eastAsia="Times New Roman" w:hAnsi="Open Sans" w:cs="Open Sans"/>
                <w:sz w:val="20"/>
                <w:szCs w:val="20"/>
              </w:rPr>
            </w:pPr>
          </w:p>
        </w:tc>
        <w:tc>
          <w:tcPr>
            <w:tcW w:w="7920" w:type="dxa"/>
            <w:vAlign w:val="center"/>
          </w:tcPr>
          <w:p w14:paraId="4C71C8BB" w14:textId="77777777" w:rsidR="004E68EB" w:rsidRPr="006265CA" w:rsidRDefault="004E68EB" w:rsidP="003A6FC4">
            <w:pPr>
              <w:spacing w:line="360" w:lineRule="auto"/>
              <w:jc w:val="center"/>
              <w:rPr>
                <w:rFonts w:ascii="Open Sans" w:eastAsia="Times New Roman" w:hAnsi="Open Sans" w:cs="Open Sans"/>
                <w:sz w:val="20"/>
                <w:szCs w:val="20"/>
              </w:rPr>
            </w:pPr>
            <m:oMathPara>
              <m:oMath>
                <m:r>
                  <w:rPr>
                    <w:rFonts w:ascii="Cambria Math" w:eastAsia="Times New Roman" w:hAnsi="Cambria Math" w:cs="Open Sans"/>
                    <w:sz w:val="20"/>
                    <w:szCs w:val="20"/>
                  </w:rPr>
                  <m:t>MV</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E</m:t>
                    </m:r>
                  </m:e>
                  <m:sub>
                    <m:r>
                      <w:rPr>
                        <w:rFonts w:ascii="Cambria Math" w:eastAsia="Times New Roman" w:hAnsi="Cambria Math" w:cs="Open Sans"/>
                        <w:sz w:val="20"/>
                        <w:szCs w:val="20"/>
                      </w:rPr>
                      <m:t>t</m:t>
                    </m:r>
                  </m:sub>
                </m:sSub>
                <m:r>
                  <w:rPr>
                    <w:rFonts w:ascii="Cambria Math" w:eastAsia="Times New Roman" w:hAnsi="Cambria Math" w:cs="Open Sans"/>
                    <w:sz w:val="20"/>
                    <w:szCs w:val="20"/>
                  </w:rPr>
                  <m:t>=BV</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E</m:t>
                    </m:r>
                  </m:e>
                  <m:sub>
                    <m:r>
                      <w:rPr>
                        <w:rFonts w:ascii="Cambria Math" w:eastAsia="Times New Roman" w:hAnsi="Cambria Math" w:cs="Open Sans"/>
                        <w:sz w:val="20"/>
                        <w:szCs w:val="20"/>
                      </w:rPr>
                      <m:t>t</m:t>
                    </m:r>
                  </m:sub>
                </m:sSub>
                <m:r>
                  <w:rPr>
                    <w:rFonts w:ascii="Cambria Math" w:eastAsia="Times New Roman" w:hAnsi="Cambria Math" w:cs="Open Sans"/>
                    <w:sz w:val="20"/>
                    <w:szCs w:val="20"/>
                  </w:rPr>
                  <m:t>+</m:t>
                </m:r>
                <m:nary>
                  <m:naryPr>
                    <m:chr m:val="∑"/>
                    <m:limLoc m:val="undOvr"/>
                    <m:ctrlPr>
                      <w:rPr>
                        <w:rFonts w:ascii="Cambria Math" w:eastAsia="Times New Roman" w:hAnsi="Cambria Math" w:cs="Open Sans"/>
                        <w:i/>
                        <w:sz w:val="20"/>
                        <w:szCs w:val="20"/>
                      </w:rPr>
                    </m:ctrlPr>
                  </m:naryPr>
                  <m:sub>
                    <m:r>
                      <w:rPr>
                        <w:rFonts w:ascii="Cambria Math" w:eastAsia="Times New Roman" w:hAnsi="Cambria Math" w:cs="Open Sans"/>
                        <w:sz w:val="20"/>
                        <w:szCs w:val="20"/>
                      </w:rPr>
                      <m:t>τ=1</m:t>
                    </m:r>
                  </m:sub>
                  <m:sup>
                    <m:r>
                      <w:rPr>
                        <w:rFonts w:ascii="Cambria Math" w:eastAsia="Times New Roman" w:hAnsi="Cambria Math" w:cs="Open Sans"/>
                        <w:sz w:val="20"/>
                        <w:szCs w:val="20"/>
                      </w:rPr>
                      <m:t>τ=∞</m:t>
                    </m:r>
                  </m:sup>
                  <m:e>
                    <m:f>
                      <m:fPr>
                        <m:ctrlPr>
                          <w:rPr>
                            <w:rFonts w:ascii="Cambria Math" w:eastAsia="Times New Roman" w:hAnsi="Cambria Math" w:cs="Open Sans"/>
                            <w:i/>
                            <w:sz w:val="20"/>
                            <w:szCs w:val="20"/>
                          </w:rPr>
                        </m:ctrlPr>
                      </m:fPr>
                      <m:num>
                        <m:r>
                          <w:rPr>
                            <w:rFonts w:ascii="Cambria Math" w:eastAsia="Times New Roman" w:hAnsi="Cambria Math" w:cs="Open Sans"/>
                            <w:sz w:val="20"/>
                            <w:szCs w:val="20"/>
                          </w:rPr>
                          <m:t>N</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I</m:t>
                            </m:r>
                          </m:e>
                          <m:sub>
                            <m:r>
                              <w:rPr>
                                <w:rFonts w:ascii="Cambria Math" w:eastAsia="Times New Roman" w:hAnsi="Cambria Math" w:cs="Open Sans"/>
                                <w:sz w:val="20"/>
                                <w:szCs w:val="20"/>
                              </w:rPr>
                              <m:t>t+τ</m:t>
                            </m:r>
                          </m:sub>
                        </m:sSub>
                        <m:r>
                          <w:rPr>
                            <w:rFonts w:ascii="Cambria Math" w:eastAsia="Times New Roman" w:hAnsi="Cambria Math" w:cs="Open Sans"/>
                            <w:sz w:val="20"/>
                            <w:szCs w:val="20"/>
                          </w:rPr>
                          <m:t>-</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r</m:t>
                            </m:r>
                          </m:e>
                          <m:sub>
                            <m:r>
                              <w:rPr>
                                <w:rFonts w:ascii="Cambria Math" w:eastAsia="Times New Roman" w:hAnsi="Cambria Math" w:cs="Open Sans"/>
                                <w:sz w:val="20"/>
                                <w:szCs w:val="20"/>
                              </w:rPr>
                              <m:t>e</m:t>
                            </m:r>
                          </m:sub>
                        </m:sSub>
                        <m:r>
                          <w:rPr>
                            <w:rFonts w:ascii="Cambria Math" w:eastAsia="Times New Roman" w:hAnsi="Cambria Math" w:cs="Open Sans"/>
                            <w:sz w:val="20"/>
                            <w:szCs w:val="20"/>
                          </w:rPr>
                          <m:t>×BV</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E</m:t>
                            </m:r>
                          </m:e>
                          <m:sub>
                            <m:r>
                              <w:rPr>
                                <w:rFonts w:ascii="Cambria Math" w:eastAsia="Times New Roman" w:hAnsi="Cambria Math" w:cs="Open Sans"/>
                                <w:sz w:val="20"/>
                                <w:szCs w:val="20"/>
                              </w:rPr>
                              <m:t>t+τ-1</m:t>
                            </m:r>
                          </m:sub>
                        </m:sSub>
                      </m:num>
                      <m:den>
                        <m:sSup>
                          <m:sSupPr>
                            <m:ctrlPr>
                              <w:rPr>
                                <w:rFonts w:ascii="Cambria Math" w:eastAsia="Times New Roman" w:hAnsi="Cambria Math" w:cs="Open Sans"/>
                                <w:i/>
                                <w:sz w:val="20"/>
                                <w:szCs w:val="20"/>
                              </w:rPr>
                            </m:ctrlPr>
                          </m:sSupPr>
                          <m:e>
                            <m:d>
                              <m:dPr>
                                <m:ctrlPr>
                                  <w:rPr>
                                    <w:rFonts w:ascii="Cambria Math" w:eastAsia="Times New Roman" w:hAnsi="Cambria Math" w:cs="Open Sans"/>
                                    <w:i/>
                                    <w:sz w:val="20"/>
                                    <w:szCs w:val="20"/>
                                  </w:rPr>
                                </m:ctrlPr>
                              </m:dPr>
                              <m:e>
                                <m:r>
                                  <w:rPr>
                                    <w:rFonts w:ascii="Cambria Math" w:eastAsia="Times New Roman" w:hAnsi="Cambria Math" w:cs="Open Sans"/>
                                    <w:sz w:val="20"/>
                                    <w:szCs w:val="20"/>
                                  </w:rPr>
                                  <m:t>1+</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r</m:t>
                                    </m:r>
                                  </m:e>
                                  <m:sub>
                                    <m:r>
                                      <w:rPr>
                                        <w:rFonts w:ascii="Cambria Math" w:eastAsia="Times New Roman" w:hAnsi="Cambria Math" w:cs="Open Sans"/>
                                        <w:sz w:val="20"/>
                                        <w:szCs w:val="20"/>
                                      </w:rPr>
                                      <m:t>e</m:t>
                                    </m:r>
                                  </m:sub>
                                </m:sSub>
                              </m:e>
                            </m:d>
                          </m:e>
                          <m:sup>
                            <m:r>
                              <w:rPr>
                                <w:rFonts w:ascii="Cambria Math" w:eastAsia="Times New Roman" w:hAnsi="Cambria Math" w:cs="Open Sans"/>
                                <w:sz w:val="20"/>
                                <w:szCs w:val="20"/>
                              </w:rPr>
                              <m:t>τ</m:t>
                            </m:r>
                          </m:sup>
                        </m:sSup>
                      </m:den>
                    </m:f>
                  </m:e>
                </m:nary>
              </m:oMath>
            </m:oMathPara>
          </w:p>
        </w:tc>
        <w:tc>
          <w:tcPr>
            <w:tcW w:w="828" w:type="dxa"/>
            <w:vAlign w:val="center"/>
          </w:tcPr>
          <w:p w14:paraId="442E8334" w14:textId="188A7D9C" w:rsidR="004E68EB" w:rsidRPr="006265CA" w:rsidRDefault="004E68EB" w:rsidP="003A6FC4">
            <w:pPr>
              <w:spacing w:line="360" w:lineRule="auto"/>
              <w:jc w:val="right"/>
              <w:rPr>
                <w:rFonts w:ascii="Open Sans" w:eastAsia="Times New Roman" w:hAnsi="Open Sans" w:cs="Open Sans"/>
                <w:sz w:val="20"/>
                <w:szCs w:val="20"/>
              </w:rPr>
            </w:pPr>
            <w:r w:rsidRPr="006265CA">
              <w:rPr>
                <w:rFonts w:ascii="Open Sans" w:eastAsia="Times New Roman" w:hAnsi="Open Sans" w:cs="Open Sans"/>
                <w:sz w:val="20"/>
                <w:szCs w:val="20"/>
              </w:rPr>
              <w:t>(</w:t>
            </w:r>
            <w:r w:rsidRPr="006265CA">
              <w:rPr>
                <w:rFonts w:ascii="Open Sans" w:eastAsia="Times New Roman" w:hAnsi="Open Sans" w:cs="Open Sans"/>
                <w:sz w:val="20"/>
                <w:szCs w:val="20"/>
              </w:rPr>
              <w:fldChar w:fldCharType="begin"/>
            </w:r>
            <w:r w:rsidRPr="006265CA">
              <w:rPr>
                <w:rFonts w:ascii="Open Sans" w:eastAsia="Times New Roman" w:hAnsi="Open Sans" w:cs="Open Sans"/>
                <w:sz w:val="20"/>
                <w:szCs w:val="20"/>
              </w:rPr>
              <w:instrText xml:space="preserve"> SEQ Eq \* MERGEFORMAT </w:instrText>
            </w:r>
            <w:r w:rsidRPr="006265CA">
              <w:rPr>
                <w:rFonts w:ascii="Open Sans" w:eastAsia="Times New Roman" w:hAnsi="Open Sans" w:cs="Open Sans"/>
                <w:sz w:val="20"/>
                <w:szCs w:val="20"/>
              </w:rPr>
              <w:fldChar w:fldCharType="separate"/>
            </w:r>
            <w:r w:rsidR="008D3733">
              <w:rPr>
                <w:rFonts w:ascii="Open Sans" w:eastAsia="Times New Roman" w:hAnsi="Open Sans" w:cs="Open Sans"/>
                <w:noProof/>
                <w:sz w:val="20"/>
                <w:szCs w:val="20"/>
              </w:rPr>
              <w:t>4</w:t>
            </w:r>
            <w:r w:rsidRPr="006265CA">
              <w:rPr>
                <w:rFonts w:ascii="Open Sans" w:eastAsia="Times New Roman" w:hAnsi="Open Sans" w:cs="Open Sans"/>
                <w:sz w:val="20"/>
                <w:szCs w:val="20"/>
              </w:rPr>
              <w:fldChar w:fldCharType="end"/>
            </w:r>
            <w:r w:rsidRPr="006265CA">
              <w:rPr>
                <w:rFonts w:ascii="Open Sans" w:eastAsia="Times New Roman" w:hAnsi="Open Sans" w:cs="Open Sans"/>
                <w:sz w:val="20"/>
                <w:szCs w:val="20"/>
              </w:rPr>
              <w:t>)</w:t>
            </w:r>
          </w:p>
        </w:tc>
      </w:tr>
    </w:tbl>
    <w:p w14:paraId="1C8D1A02"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where </w:t>
      </w:r>
      <m:oMath>
        <m:r>
          <w:rPr>
            <w:rFonts w:ascii="Cambria Math" w:eastAsia="Times New Roman" w:hAnsi="Cambria Math" w:cs="Open Sans"/>
            <w:sz w:val="20"/>
            <w:szCs w:val="20"/>
          </w:rPr>
          <m:t>BV</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E</m:t>
            </m:r>
          </m:e>
          <m:sub>
            <m:r>
              <w:rPr>
                <w:rFonts w:ascii="Cambria Math" w:eastAsia="Times New Roman" w:hAnsi="Cambria Math" w:cs="Open Sans"/>
                <w:sz w:val="20"/>
                <w:szCs w:val="20"/>
              </w:rPr>
              <m:t>t</m:t>
            </m:r>
          </m:sub>
        </m:sSub>
      </m:oMath>
      <w:r w:rsidRPr="006265CA">
        <w:rPr>
          <w:rFonts w:ascii="Open Sans" w:hAnsi="Open Sans" w:cs="Open Sans"/>
          <w:sz w:val="20"/>
          <w:szCs w:val="20"/>
        </w:rPr>
        <w:t xml:space="preserve"> = the book value of equity at time t, </w:t>
      </w:r>
      <m:oMath>
        <m:r>
          <w:rPr>
            <w:rFonts w:ascii="Cambria Math" w:eastAsia="Times New Roman" w:hAnsi="Cambria Math" w:cs="Open Sans"/>
            <w:sz w:val="20"/>
            <w:szCs w:val="20"/>
          </w:rPr>
          <m:t>N</m:t>
        </m:r>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I</m:t>
            </m:r>
          </m:e>
          <m:sub>
            <m:r>
              <w:rPr>
                <w:rFonts w:ascii="Cambria Math" w:eastAsia="Times New Roman" w:hAnsi="Cambria Math" w:cs="Open Sans"/>
                <w:sz w:val="20"/>
                <w:szCs w:val="20"/>
              </w:rPr>
              <m:t>t+τ</m:t>
            </m:r>
          </m:sub>
        </m:sSub>
      </m:oMath>
      <w:r w:rsidRPr="006265CA">
        <w:rPr>
          <w:rFonts w:ascii="Open Sans" w:eastAsiaTheme="minorEastAsia" w:hAnsi="Open Sans" w:cs="Open Sans"/>
          <w:sz w:val="20"/>
          <w:szCs w:val="20"/>
        </w:rPr>
        <w:t xml:space="preserve"> </w:t>
      </w:r>
      <w:r w:rsidRPr="006265CA">
        <w:rPr>
          <w:rFonts w:ascii="Open Sans" w:hAnsi="Open Sans" w:cs="Open Sans"/>
          <w:sz w:val="20"/>
          <w:szCs w:val="20"/>
        </w:rPr>
        <w:t xml:space="preserve">= forecasted earnings for time t+1 and beyond, and </w:t>
      </w:r>
      <m:oMath>
        <m:sSub>
          <m:sSubPr>
            <m:ctrlPr>
              <w:rPr>
                <w:rFonts w:ascii="Cambria Math" w:eastAsia="Times New Roman" w:hAnsi="Cambria Math" w:cs="Open Sans"/>
                <w:i/>
                <w:sz w:val="20"/>
                <w:szCs w:val="20"/>
              </w:rPr>
            </m:ctrlPr>
          </m:sSubPr>
          <m:e>
            <m:r>
              <w:rPr>
                <w:rFonts w:ascii="Cambria Math" w:eastAsia="Times New Roman" w:hAnsi="Cambria Math" w:cs="Open Sans"/>
                <w:sz w:val="20"/>
                <w:szCs w:val="20"/>
              </w:rPr>
              <m:t>r</m:t>
            </m:r>
          </m:e>
          <m:sub>
            <m:r>
              <w:rPr>
                <w:rFonts w:ascii="Cambria Math" w:eastAsia="Times New Roman" w:hAnsi="Cambria Math" w:cs="Open Sans"/>
                <w:sz w:val="20"/>
                <w:szCs w:val="20"/>
              </w:rPr>
              <m:t>e</m:t>
            </m:r>
          </m:sub>
        </m:sSub>
      </m:oMath>
      <w:r w:rsidRPr="006265CA">
        <w:rPr>
          <w:rFonts w:ascii="Open Sans" w:eastAsiaTheme="minorEastAsia" w:hAnsi="Open Sans" w:cs="Open Sans"/>
          <w:sz w:val="20"/>
          <w:szCs w:val="20"/>
        </w:rPr>
        <w:t xml:space="preserve"> </w:t>
      </w:r>
      <w:r w:rsidRPr="006265CA">
        <w:rPr>
          <w:rFonts w:ascii="Open Sans" w:hAnsi="Open Sans" w:cs="Open Sans"/>
          <w:sz w:val="20"/>
          <w:szCs w:val="20"/>
        </w:rPr>
        <w:t>= the cost of equity capital (which is assumed constant over time).</w:t>
      </w:r>
    </w:p>
    <w:p w14:paraId="6C2B7619" w14:textId="746BBC63"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Whereas this model may look daunting, it is </w:t>
      </w:r>
      <w:r w:rsidR="00767941" w:rsidRPr="006265CA">
        <w:rPr>
          <w:rFonts w:ascii="Open Sans" w:hAnsi="Open Sans" w:cs="Open Sans"/>
          <w:sz w:val="20"/>
          <w:szCs w:val="20"/>
        </w:rPr>
        <w:t>quite</w:t>
      </w:r>
      <w:r w:rsidRPr="006265CA">
        <w:rPr>
          <w:rFonts w:ascii="Open Sans" w:hAnsi="Open Sans" w:cs="Open Sans"/>
          <w:sz w:val="20"/>
          <w:szCs w:val="20"/>
        </w:rPr>
        <w:t xml:space="preserve"> intuitive (really, it is!). Below we discuss how the model is built, the inputs needed to make it work and where you can find the data on the Internet to build your own estimate of the value of a company.</w:t>
      </w:r>
    </w:p>
    <w:p w14:paraId="5A5E7FD6" w14:textId="77777777" w:rsidR="004E68EB" w:rsidRPr="00767941" w:rsidRDefault="004E68EB" w:rsidP="003A6FC4">
      <w:pPr>
        <w:keepNext/>
        <w:keepLines/>
        <w:spacing w:before="200"/>
        <w:outlineLvl w:val="1"/>
        <w:rPr>
          <w:rFonts w:ascii="Open Sans" w:eastAsiaTheme="majorEastAsia" w:hAnsi="Open Sans" w:cs="Open Sans"/>
          <w:b/>
          <w:bCs/>
          <w:smallCaps/>
          <w:color w:val="33006F"/>
          <w:szCs w:val="28"/>
        </w:rPr>
      </w:pPr>
      <w:bookmarkStart w:id="7" w:name="_Toc474290747"/>
      <w:r w:rsidRPr="00767941">
        <w:rPr>
          <w:rFonts w:ascii="Open Sans" w:eastAsiaTheme="majorEastAsia" w:hAnsi="Open Sans" w:cs="Open Sans"/>
          <w:b/>
          <w:bCs/>
          <w:smallCaps/>
          <w:color w:val="33006F"/>
          <w:szCs w:val="28"/>
        </w:rPr>
        <w:t>Residual income valuation models: theory</w:t>
      </w:r>
      <w:bookmarkEnd w:id="7"/>
    </w:p>
    <w:p w14:paraId="765B1E2A" w14:textId="35E928E6"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At the </w:t>
      </w:r>
      <w:r w:rsidR="00767941" w:rsidRPr="006265CA">
        <w:rPr>
          <w:rFonts w:ascii="Open Sans" w:hAnsi="Open Sans" w:cs="Open Sans"/>
          <w:sz w:val="20"/>
          <w:szCs w:val="20"/>
        </w:rPr>
        <w:t>simplest</w:t>
      </w:r>
      <w:r w:rsidRPr="006265CA">
        <w:rPr>
          <w:rFonts w:ascii="Open Sans" w:hAnsi="Open Sans" w:cs="Open Sans"/>
          <w:sz w:val="20"/>
          <w:szCs w:val="20"/>
        </w:rPr>
        <w:t xml:space="preserve"> level, when a firm earns a ‘normal’ economic return on the shareholders’ investment (</w:t>
      </w:r>
      <w:r w:rsidRPr="006265CA">
        <w:rPr>
          <w:rFonts w:ascii="Open Sans" w:hAnsi="Open Sans" w:cs="Open Sans"/>
          <w:i/>
          <w:sz w:val="20"/>
          <w:szCs w:val="20"/>
        </w:rPr>
        <w:t>r</w:t>
      </w:r>
      <w:r w:rsidRPr="006265CA">
        <w:rPr>
          <w:rFonts w:ascii="Open Sans" w:hAnsi="Open Sans" w:cs="Open Sans"/>
          <w:i/>
          <w:sz w:val="20"/>
          <w:szCs w:val="20"/>
          <w:vertAlign w:val="subscript"/>
        </w:rPr>
        <w:t>e</w:t>
      </w:r>
      <w:r w:rsidRPr="006265CA">
        <w:rPr>
          <w:rFonts w:ascii="Open Sans" w:hAnsi="Open Sans" w:cs="Open Sans"/>
          <w:sz w:val="20"/>
          <w:szCs w:val="20"/>
        </w:rPr>
        <w:t>), the firm’s total market capitalization (</w:t>
      </w:r>
      <w:proofErr w:type="spellStart"/>
      <w:r w:rsidRPr="006265CA">
        <w:rPr>
          <w:rFonts w:ascii="Open Sans" w:hAnsi="Open Sans" w:cs="Open Sans"/>
          <w:i/>
          <w:sz w:val="20"/>
          <w:szCs w:val="20"/>
        </w:rPr>
        <w:t>MVE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should be approximately equal to its accounting book value of equity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xml:space="preserve">), i.e., </w:t>
      </w:r>
      <w:proofErr w:type="spellStart"/>
      <w:r w:rsidRPr="006265CA">
        <w:rPr>
          <w:rFonts w:ascii="Open Sans" w:hAnsi="Open Sans" w:cs="Open Sans"/>
          <w:i/>
          <w:sz w:val="20"/>
          <w:szCs w:val="20"/>
        </w:rPr>
        <w:t>MVE</w:t>
      </w:r>
      <w:r w:rsidRPr="006265CA">
        <w:rPr>
          <w:rFonts w:ascii="Open Sans" w:hAnsi="Open Sans" w:cs="Open Sans"/>
          <w:i/>
          <w:sz w:val="20"/>
          <w:szCs w:val="20"/>
          <w:vertAlign w:val="subscript"/>
        </w:rPr>
        <w:t>t</w:t>
      </w:r>
      <w:proofErr w:type="spellEnd"/>
      <w:r w:rsidRPr="006265CA">
        <w:rPr>
          <w:rFonts w:ascii="Open Sans" w:hAnsi="Open Sans" w:cs="Open Sans"/>
          <w:i/>
          <w:sz w:val="20"/>
          <w:szCs w:val="20"/>
        </w:rPr>
        <w:t xml:space="preserve"> =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w:t>
      </w:r>
      <w:r w:rsidRPr="006265CA">
        <w:rPr>
          <w:rFonts w:ascii="Open Sans" w:hAnsi="Open Sans" w:cs="Open Sans"/>
          <w:i/>
          <w:sz w:val="20"/>
          <w:szCs w:val="20"/>
        </w:rPr>
        <w:t xml:space="preserve">  </w:t>
      </w:r>
      <w:r w:rsidRPr="006265CA">
        <w:rPr>
          <w:rFonts w:ascii="Open Sans" w:hAnsi="Open Sans" w:cs="Open Sans"/>
          <w:sz w:val="20"/>
          <w:szCs w:val="20"/>
        </w:rPr>
        <w:t>Book value of equity is the amount contributed by the owners over time, plus the cumulative amount earned by the company, less any dividend payments to the owners.</w:t>
      </w:r>
    </w:p>
    <w:p w14:paraId="20A120E7"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Shareholders hire professional managers to do better than earn normal returns – their goal is to build (some would say maximize) shareholder value. If they are successful, the company earns more on shareholders’ capital than the capital costs, i.e., the company beats the benchmark return (</w:t>
      </w:r>
      <w:r w:rsidRPr="006265CA">
        <w:rPr>
          <w:rFonts w:ascii="Open Sans" w:hAnsi="Open Sans" w:cs="Open Sans"/>
          <w:i/>
          <w:sz w:val="20"/>
          <w:szCs w:val="20"/>
        </w:rPr>
        <w:t>r</w:t>
      </w:r>
      <w:r w:rsidRPr="006265CA">
        <w:rPr>
          <w:rFonts w:ascii="Open Sans" w:hAnsi="Open Sans" w:cs="Open Sans"/>
          <w:i/>
          <w:sz w:val="20"/>
          <w:szCs w:val="20"/>
          <w:vertAlign w:val="subscript"/>
        </w:rPr>
        <w:t>e</w:t>
      </w:r>
      <w:r w:rsidRPr="006265CA">
        <w:rPr>
          <w:rFonts w:ascii="Open Sans" w:hAnsi="Open Sans" w:cs="Open Sans"/>
          <w:sz w:val="20"/>
          <w:szCs w:val="20"/>
        </w:rPr>
        <w:t xml:space="preserve">). As the stock market is forward looking, when success is expected, market values exceed accounting book values, i.e., </w:t>
      </w:r>
      <w:proofErr w:type="spellStart"/>
      <w:r w:rsidRPr="006265CA">
        <w:rPr>
          <w:rFonts w:ascii="Open Sans" w:hAnsi="Open Sans" w:cs="Open Sans"/>
          <w:i/>
          <w:sz w:val="20"/>
          <w:szCs w:val="20"/>
        </w:rPr>
        <w:t>MVE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xml:space="preserve"> exceeds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To model the size of this market-to-book premium (if any), we evaluate each future period and compare the expected earnings (</w:t>
      </w:r>
      <w:r w:rsidRPr="006265CA">
        <w:rPr>
          <w:rFonts w:ascii="Open Sans" w:hAnsi="Open Sans" w:cs="Open Sans"/>
          <w:i/>
          <w:sz w:val="20"/>
          <w:szCs w:val="20"/>
        </w:rPr>
        <w:t>NI</w:t>
      </w:r>
      <w:r w:rsidRPr="006265CA">
        <w:rPr>
          <w:rFonts w:ascii="Open Sans" w:hAnsi="Open Sans" w:cs="Open Sans"/>
          <w:i/>
          <w:sz w:val="20"/>
          <w:szCs w:val="20"/>
          <w:vertAlign w:val="subscript"/>
        </w:rPr>
        <w:t>t+1</w:t>
      </w:r>
      <w:r w:rsidRPr="006265CA">
        <w:rPr>
          <w:rFonts w:ascii="Open Sans" w:hAnsi="Open Sans" w:cs="Open Sans"/>
          <w:sz w:val="20"/>
          <w:szCs w:val="20"/>
        </w:rPr>
        <w:t>) to the minimum earnings required by investors to meet the cost of equity capital target (</w:t>
      </w:r>
      <w:r w:rsidRPr="006265CA">
        <w:rPr>
          <w:rFonts w:ascii="Open Sans" w:hAnsi="Open Sans" w:cs="Open Sans"/>
          <w:i/>
          <w:sz w:val="20"/>
          <w:szCs w:val="20"/>
        </w:rPr>
        <w:t>r</w:t>
      </w:r>
      <w:r w:rsidRPr="006265CA">
        <w:rPr>
          <w:rFonts w:ascii="Open Sans" w:hAnsi="Open Sans" w:cs="Open Sans"/>
          <w:i/>
          <w:sz w:val="20"/>
          <w:szCs w:val="20"/>
          <w:vertAlign w:val="subscript"/>
        </w:rPr>
        <w:t>e</w:t>
      </w:r>
      <w:r w:rsidRPr="006265CA">
        <w:rPr>
          <w:rFonts w:ascii="Open Sans" w:hAnsi="Open Sans" w:cs="Open Sans"/>
          <w:i/>
          <w:sz w:val="20"/>
          <w:szCs w:val="20"/>
        </w:rPr>
        <w:t xml:space="preserve"> times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This period-by-period difference (</w:t>
      </w:r>
      <w:r w:rsidRPr="006265CA">
        <w:rPr>
          <w:rFonts w:ascii="Open Sans" w:hAnsi="Open Sans" w:cs="Open Sans"/>
          <w:i/>
          <w:sz w:val="20"/>
          <w:szCs w:val="20"/>
        </w:rPr>
        <w:t>NI</w:t>
      </w:r>
      <w:r w:rsidRPr="006265CA">
        <w:rPr>
          <w:rFonts w:ascii="Open Sans" w:hAnsi="Open Sans" w:cs="Open Sans"/>
          <w:i/>
          <w:sz w:val="20"/>
          <w:szCs w:val="20"/>
          <w:vertAlign w:val="subscript"/>
        </w:rPr>
        <w:t>t+1</w:t>
      </w:r>
      <w:r w:rsidRPr="006265CA">
        <w:rPr>
          <w:rFonts w:ascii="Open Sans" w:hAnsi="Open Sans" w:cs="Open Sans"/>
          <w:i/>
          <w:sz w:val="20"/>
          <w:szCs w:val="20"/>
        </w:rPr>
        <w:t xml:space="preserve"> - r</w:t>
      </w:r>
      <w:r w:rsidRPr="006265CA">
        <w:rPr>
          <w:rFonts w:ascii="Open Sans" w:hAnsi="Open Sans" w:cs="Open Sans"/>
          <w:i/>
          <w:sz w:val="20"/>
          <w:szCs w:val="20"/>
          <w:vertAlign w:val="subscript"/>
        </w:rPr>
        <w:t>e</w:t>
      </w:r>
      <w:r w:rsidRPr="006265CA">
        <w:rPr>
          <w:rFonts w:ascii="Open Sans" w:hAnsi="Open Sans" w:cs="Open Sans"/>
          <w:i/>
          <w:sz w:val="20"/>
          <w:szCs w:val="20"/>
        </w:rPr>
        <w:t xml:space="preserve"> times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sz w:val="20"/>
          <w:szCs w:val="20"/>
        </w:rPr>
        <w:t>) is often called ‘abnormal’ earnings.</w:t>
      </w:r>
      <w:r w:rsidRPr="006265CA">
        <w:rPr>
          <w:rFonts w:ascii="Open Sans" w:hAnsi="Open Sans" w:cs="Open Sans"/>
          <w:sz w:val="20"/>
          <w:szCs w:val="20"/>
          <w:vertAlign w:val="superscript"/>
        </w:rPr>
        <w:endnoteReference w:id="8"/>
      </w:r>
      <w:r w:rsidRPr="006265CA">
        <w:rPr>
          <w:rFonts w:ascii="Open Sans" w:hAnsi="Open Sans" w:cs="Open Sans"/>
          <w:sz w:val="20"/>
          <w:szCs w:val="20"/>
        </w:rPr>
        <w:t xml:space="preserve">  If a company’s prospects are poor, forecasts of future earnings may even be </w:t>
      </w:r>
      <w:r w:rsidRPr="006265CA">
        <w:rPr>
          <w:rFonts w:ascii="Open Sans" w:hAnsi="Open Sans" w:cs="Open Sans"/>
          <w:i/>
          <w:sz w:val="20"/>
          <w:szCs w:val="20"/>
        </w:rPr>
        <w:t>less</w:t>
      </w:r>
      <w:r w:rsidRPr="006265CA">
        <w:rPr>
          <w:rFonts w:ascii="Open Sans" w:hAnsi="Open Sans" w:cs="Open Sans"/>
          <w:sz w:val="20"/>
          <w:szCs w:val="20"/>
        </w:rPr>
        <w:t xml:space="preserve"> than the required cost of equity capital.  In this case, abnormal earnings are negative – shareholder value is being destroyed.  Either way, the market value of owners’ equity is a function of the magnitude of abnormal earnings, i.e., </w:t>
      </w:r>
      <w:r w:rsidRPr="006265CA">
        <w:rPr>
          <w:rFonts w:ascii="Open Sans" w:hAnsi="Open Sans" w:cs="Open Sans"/>
          <w:i/>
          <w:sz w:val="20"/>
          <w:szCs w:val="20"/>
        </w:rPr>
        <w:t>MVE</w:t>
      </w:r>
      <w:r w:rsidRPr="006265CA">
        <w:rPr>
          <w:rFonts w:ascii="Open Sans" w:hAnsi="Open Sans" w:cs="Open Sans"/>
          <w:sz w:val="20"/>
          <w:szCs w:val="20"/>
        </w:rPr>
        <w:t xml:space="preserve"> is equal to the beginning </w:t>
      </w:r>
      <w:r w:rsidRPr="006265CA">
        <w:rPr>
          <w:rFonts w:ascii="Open Sans" w:hAnsi="Open Sans" w:cs="Open Sans"/>
          <w:i/>
          <w:sz w:val="20"/>
          <w:szCs w:val="20"/>
        </w:rPr>
        <w:t>BVE</w:t>
      </w:r>
      <w:r w:rsidRPr="006265CA">
        <w:rPr>
          <w:rFonts w:ascii="Open Sans" w:hAnsi="Open Sans" w:cs="Open Sans"/>
          <w:sz w:val="20"/>
          <w:szCs w:val="20"/>
        </w:rPr>
        <w:t xml:space="preserve"> plus the present value of future abnormal earnings.  In mathematical terms, our model to estimate the intrinsic current market value of equity looks like:</w:t>
      </w:r>
    </w:p>
    <w:p w14:paraId="60780A45" w14:textId="77777777" w:rsidR="004E68EB" w:rsidRPr="006265CA" w:rsidRDefault="004E68EB" w:rsidP="003A6FC4">
      <w:pPr>
        <w:spacing w:before="120" w:after="120" w:line="360" w:lineRule="auto"/>
        <w:ind w:firstLine="720"/>
        <w:jc w:val="both"/>
        <w:rPr>
          <w:rFonts w:ascii="Open Sans" w:hAnsi="Open Sans" w:cs="Open Sans"/>
          <w:sz w:val="20"/>
          <w:szCs w:val="20"/>
        </w:rPr>
      </w:pPr>
      <w:r w:rsidRPr="006265CA">
        <w:rPr>
          <w:rFonts w:ascii="Open Sans" w:hAnsi="Open Sans" w:cs="Open Sans"/>
          <w:sz w:val="20"/>
          <w:szCs w:val="20"/>
        </w:rPr>
        <w:object w:dxaOrig="5920" w:dyaOrig="360" w14:anchorId="0E59241C">
          <v:shape id="_x0000_i1027" type="#_x0000_t75" style="width:296.25pt;height:18.15pt" o:ole="" fillcolor="window">
            <v:imagedata r:id="rId19" o:title=""/>
          </v:shape>
          <o:OLEObject Type="Embed" ProgID="Equation.3" ShapeID="_x0000_i1027" DrawAspect="Content" ObjectID="_1569493254" r:id="rId20"/>
        </w:object>
      </w:r>
      <w:r w:rsidRPr="006265CA">
        <w:rPr>
          <w:rFonts w:ascii="Open Sans" w:hAnsi="Open Sans" w:cs="Open Sans"/>
          <w:sz w:val="20"/>
          <w:szCs w:val="20"/>
        </w:rPr>
        <w:t xml:space="preserve"> and so on in perpetuity</w:t>
      </w:r>
    </w:p>
    <w:p w14:paraId="782ED66D"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lastRenderedPageBreak/>
        <w:t>However, we cannot simply add these future values to the current book value of equity.  We need to consider the time value of money and discount each future flow back to its present value,</w:t>
      </w:r>
      <w:r w:rsidRPr="006265CA">
        <w:rPr>
          <w:rFonts w:ascii="Open Sans" w:hAnsi="Open Sans" w:cs="Open Sans"/>
          <w:sz w:val="20"/>
          <w:szCs w:val="20"/>
          <w:vertAlign w:val="superscript"/>
        </w:rPr>
        <w:endnoteReference w:id="9"/>
      </w:r>
      <w:r w:rsidRPr="006265CA">
        <w:rPr>
          <w:rFonts w:ascii="Open Sans" w:hAnsi="Open Sans" w:cs="Open Sans"/>
          <w:sz w:val="20"/>
          <w:szCs w:val="20"/>
        </w:rPr>
        <w:t xml:space="preserve"> yielding the somewhat more complicated looking model:</w:t>
      </w:r>
    </w:p>
    <w:p w14:paraId="37E4F9E0"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ab/>
      </w:r>
      <w:r w:rsidRPr="006265CA">
        <w:rPr>
          <w:rFonts w:ascii="Open Sans" w:hAnsi="Open Sans" w:cs="Open Sans"/>
          <w:sz w:val="20"/>
          <w:szCs w:val="20"/>
        </w:rPr>
        <w:object w:dxaOrig="6000" w:dyaOrig="700" w14:anchorId="0CCAF707">
          <v:shape id="_x0000_i1028" type="#_x0000_t75" style="width:300pt;height:35.3pt" o:ole="" fillcolor="window">
            <v:imagedata r:id="rId21" o:title=""/>
          </v:shape>
          <o:OLEObject Type="Embed" ProgID="Equation.3" ShapeID="_x0000_i1028" DrawAspect="Content" ObjectID="_1569493255" r:id="rId22"/>
        </w:object>
      </w:r>
      <w:r w:rsidRPr="006265CA">
        <w:rPr>
          <w:rFonts w:ascii="Open Sans" w:hAnsi="Open Sans" w:cs="Open Sans"/>
          <w:sz w:val="20"/>
          <w:szCs w:val="20"/>
        </w:rPr>
        <w:t xml:space="preserve"> and so on in perpetuity</w:t>
      </w:r>
    </w:p>
    <w:p w14:paraId="6652DDF7"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Finally, we recognize that we cannot forecast forever, and so we will choose a “forecast horizon” – or period over which we will forecast net income explicitly – and we use a perpetuity to approximate and additional value after our forecast horizon. Using the shorthand of the summation sign to group </w:t>
      </w:r>
      <w:proofErr w:type="gramStart"/>
      <w:r w:rsidRPr="006265CA">
        <w:rPr>
          <w:rFonts w:ascii="Open Sans" w:hAnsi="Open Sans" w:cs="Open Sans"/>
          <w:sz w:val="20"/>
          <w:szCs w:val="20"/>
        </w:rPr>
        <w:t>all of</w:t>
      </w:r>
      <w:proofErr w:type="gramEnd"/>
      <w:r w:rsidRPr="006265CA">
        <w:rPr>
          <w:rFonts w:ascii="Open Sans" w:hAnsi="Open Sans" w:cs="Open Sans"/>
          <w:sz w:val="20"/>
          <w:szCs w:val="20"/>
        </w:rPr>
        <w:t xml:space="preserve"> the abnormal earnings terms together for the first five years, including a perpetuity of residual income – replicating model (1) above.</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4E68EB" w:rsidRPr="006265CA" w14:paraId="05BA3F89" w14:textId="77777777" w:rsidTr="003A6FC4">
        <w:tc>
          <w:tcPr>
            <w:tcW w:w="828" w:type="dxa"/>
          </w:tcPr>
          <w:p w14:paraId="141A3389" w14:textId="77777777" w:rsidR="004E68EB" w:rsidRPr="006265CA" w:rsidRDefault="004E68EB" w:rsidP="003A6FC4">
            <w:pPr>
              <w:spacing w:line="360" w:lineRule="auto"/>
              <w:jc w:val="both"/>
              <w:rPr>
                <w:rFonts w:ascii="Open Sans" w:eastAsia="Times New Roman" w:hAnsi="Open Sans" w:cs="Open Sans"/>
                <w:sz w:val="20"/>
                <w:szCs w:val="20"/>
              </w:rPr>
            </w:pPr>
          </w:p>
        </w:tc>
        <w:tc>
          <w:tcPr>
            <w:tcW w:w="7920" w:type="dxa"/>
            <w:vAlign w:val="center"/>
          </w:tcPr>
          <w:p w14:paraId="4C37CA56" w14:textId="77777777" w:rsidR="004E68EB" w:rsidRPr="006265CA" w:rsidRDefault="004E68EB" w:rsidP="003A6FC4">
            <w:pPr>
              <w:spacing w:line="360" w:lineRule="auto"/>
              <w:jc w:val="center"/>
              <w:rPr>
                <w:rFonts w:ascii="Open Sans" w:eastAsia="Times New Roman" w:hAnsi="Open Sans" w:cs="Open Sans"/>
                <w:sz w:val="20"/>
                <w:szCs w:val="20"/>
              </w:rPr>
            </w:pPr>
            <w:r w:rsidRPr="006265CA">
              <w:rPr>
                <w:rFonts w:ascii="Open Sans" w:hAnsi="Open Sans" w:cs="Open Sans"/>
                <w:sz w:val="20"/>
                <w:szCs w:val="20"/>
              </w:rPr>
              <w:object w:dxaOrig="5760" w:dyaOrig="700" w14:anchorId="61738B80">
                <v:shape id="_x0000_i1029" type="#_x0000_t75" style="width:4in;height:35.3pt" o:ole="" fillcolor="window">
                  <v:imagedata r:id="rId23" o:title=""/>
                </v:shape>
                <o:OLEObject Type="Embed" ProgID="Equation.3" ShapeID="_x0000_i1029" DrawAspect="Content" ObjectID="_1569493256" r:id="rId24"/>
              </w:object>
            </w:r>
          </w:p>
        </w:tc>
        <w:tc>
          <w:tcPr>
            <w:tcW w:w="828" w:type="dxa"/>
            <w:vAlign w:val="center"/>
          </w:tcPr>
          <w:p w14:paraId="135A2E98" w14:textId="1C583C5F" w:rsidR="004E68EB" w:rsidRPr="006265CA" w:rsidRDefault="004E68EB" w:rsidP="003A6FC4">
            <w:pPr>
              <w:spacing w:line="360" w:lineRule="auto"/>
              <w:jc w:val="right"/>
              <w:rPr>
                <w:rFonts w:ascii="Open Sans" w:eastAsia="Times New Roman" w:hAnsi="Open Sans" w:cs="Open Sans"/>
                <w:sz w:val="20"/>
                <w:szCs w:val="20"/>
              </w:rPr>
            </w:pPr>
            <w:r w:rsidRPr="006265CA">
              <w:rPr>
                <w:rFonts w:ascii="Open Sans" w:eastAsia="Times New Roman" w:hAnsi="Open Sans" w:cs="Open Sans"/>
                <w:sz w:val="20"/>
                <w:szCs w:val="20"/>
              </w:rPr>
              <w:t>(</w:t>
            </w:r>
            <w:r w:rsidRPr="006265CA">
              <w:rPr>
                <w:rFonts w:ascii="Open Sans" w:eastAsia="Times New Roman" w:hAnsi="Open Sans" w:cs="Open Sans"/>
                <w:sz w:val="20"/>
                <w:szCs w:val="20"/>
              </w:rPr>
              <w:fldChar w:fldCharType="begin"/>
            </w:r>
            <w:r w:rsidRPr="006265CA">
              <w:rPr>
                <w:rFonts w:ascii="Open Sans" w:eastAsia="Times New Roman" w:hAnsi="Open Sans" w:cs="Open Sans"/>
                <w:sz w:val="20"/>
                <w:szCs w:val="20"/>
              </w:rPr>
              <w:instrText xml:space="preserve"> SEQ Eq \* MERGEFORMAT </w:instrText>
            </w:r>
            <w:r w:rsidRPr="006265CA">
              <w:rPr>
                <w:rFonts w:ascii="Open Sans" w:eastAsia="Times New Roman" w:hAnsi="Open Sans" w:cs="Open Sans"/>
                <w:sz w:val="20"/>
                <w:szCs w:val="20"/>
              </w:rPr>
              <w:fldChar w:fldCharType="separate"/>
            </w:r>
            <w:r w:rsidR="008D3733">
              <w:rPr>
                <w:rFonts w:ascii="Open Sans" w:eastAsia="Times New Roman" w:hAnsi="Open Sans" w:cs="Open Sans"/>
                <w:noProof/>
                <w:sz w:val="20"/>
                <w:szCs w:val="20"/>
              </w:rPr>
              <w:t>5</w:t>
            </w:r>
            <w:r w:rsidRPr="006265CA">
              <w:rPr>
                <w:rFonts w:ascii="Open Sans" w:eastAsia="Times New Roman" w:hAnsi="Open Sans" w:cs="Open Sans"/>
                <w:sz w:val="20"/>
                <w:szCs w:val="20"/>
              </w:rPr>
              <w:fldChar w:fldCharType="end"/>
            </w:r>
            <w:r w:rsidRPr="006265CA">
              <w:rPr>
                <w:rFonts w:ascii="Open Sans" w:eastAsia="Times New Roman" w:hAnsi="Open Sans" w:cs="Open Sans"/>
                <w:sz w:val="20"/>
                <w:szCs w:val="20"/>
              </w:rPr>
              <w:t>)</w:t>
            </w:r>
          </w:p>
        </w:tc>
      </w:tr>
    </w:tbl>
    <w:p w14:paraId="552414BA"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The first term on the right-hand side, the book value of equity, is known and publicly available.  The second term represents the value of the first five years of forecasted data, the present value of future abnormal earnings within this forecast horizon. The third term is the estimate of the present value of all future cash flows which occur from the sixth year in the future into the infinite future. Note that NI at </w:t>
      </w:r>
      <w:r w:rsidRPr="006265CA">
        <w:rPr>
          <w:rFonts w:ascii="Open Sans" w:hAnsi="Open Sans" w:cs="Open Sans"/>
          <w:i/>
          <w:sz w:val="20"/>
          <w:szCs w:val="20"/>
        </w:rPr>
        <w:t>t</w:t>
      </w:r>
      <w:r w:rsidRPr="006265CA">
        <w:rPr>
          <w:rFonts w:ascii="Open Sans" w:hAnsi="Open Sans" w:cs="Open Sans"/>
          <w:sz w:val="20"/>
          <w:szCs w:val="20"/>
        </w:rPr>
        <w:t xml:space="preserve">+6 can be calculated using the growth rate </w:t>
      </w:r>
      <w:r w:rsidRPr="006265CA">
        <w:rPr>
          <w:rFonts w:ascii="Open Sans" w:hAnsi="Open Sans" w:cs="Open Sans"/>
          <w:i/>
          <w:sz w:val="20"/>
          <w:szCs w:val="20"/>
        </w:rPr>
        <w:t>g</w:t>
      </w:r>
      <w:r w:rsidRPr="006265CA">
        <w:rPr>
          <w:rFonts w:ascii="Open Sans" w:hAnsi="Open Sans" w:cs="Open Sans"/>
          <w:sz w:val="20"/>
          <w:szCs w:val="20"/>
        </w:rPr>
        <w:t xml:space="preserve"> in the perpetuity (1+</w:t>
      </w:r>
      <w:r w:rsidRPr="006265CA">
        <w:rPr>
          <w:rFonts w:ascii="Open Sans" w:hAnsi="Open Sans" w:cs="Open Sans"/>
          <w:i/>
          <w:sz w:val="20"/>
          <w:szCs w:val="20"/>
        </w:rPr>
        <w:t>g</w:t>
      </w:r>
      <w:r w:rsidRPr="006265CA">
        <w:rPr>
          <w:rFonts w:ascii="Open Sans" w:hAnsi="Open Sans" w:cs="Open Sans"/>
          <w:sz w:val="20"/>
          <w:szCs w:val="20"/>
        </w:rPr>
        <w:t xml:space="preserve">) time NI at </w:t>
      </w:r>
      <w:r w:rsidRPr="006265CA">
        <w:rPr>
          <w:rFonts w:ascii="Open Sans" w:hAnsi="Open Sans" w:cs="Open Sans"/>
          <w:i/>
          <w:sz w:val="20"/>
          <w:szCs w:val="20"/>
        </w:rPr>
        <w:t>t</w:t>
      </w:r>
      <w:r w:rsidRPr="006265CA">
        <w:rPr>
          <w:rFonts w:ascii="Open Sans" w:hAnsi="Open Sans" w:cs="Open Sans"/>
          <w:sz w:val="20"/>
          <w:szCs w:val="20"/>
        </w:rPr>
        <w:t xml:space="preserve">+5.  </w:t>
      </w:r>
      <w:proofErr w:type="gramStart"/>
      <w:r w:rsidRPr="006265CA">
        <w:rPr>
          <w:rFonts w:ascii="Open Sans" w:hAnsi="Open Sans" w:cs="Open Sans"/>
          <w:sz w:val="20"/>
          <w:szCs w:val="20"/>
        </w:rPr>
        <w:t>All of</w:t>
      </w:r>
      <w:proofErr w:type="gramEnd"/>
      <w:r w:rsidRPr="006265CA">
        <w:rPr>
          <w:rFonts w:ascii="Open Sans" w:hAnsi="Open Sans" w:cs="Open Sans"/>
          <w:sz w:val="20"/>
          <w:szCs w:val="20"/>
        </w:rPr>
        <w:t xml:space="preserve"> the model’s complexity is in estimating these last two terms.</w:t>
      </w:r>
    </w:p>
    <w:p w14:paraId="643C18FB"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We now turn our attention to understanding each of the inputs necessary to put this valuation model into practice.</w:t>
      </w:r>
    </w:p>
    <w:p w14:paraId="70974739" w14:textId="77777777" w:rsidR="004E68EB" w:rsidRPr="00767941" w:rsidRDefault="004E68EB" w:rsidP="003A6FC4">
      <w:pPr>
        <w:keepNext/>
        <w:keepLines/>
        <w:spacing w:before="200"/>
        <w:outlineLvl w:val="1"/>
        <w:rPr>
          <w:rFonts w:ascii="Open Sans" w:eastAsiaTheme="majorEastAsia" w:hAnsi="Open Sans" w:cs="Open Sans"/>
          <w:b/>
          <w:bCs/>
          <w:smallCaps/>
          <w:color w:val="33006F"/>
          <w:szCs w:val="28"/>
        </w:rPr>
      </w:pPr>
      <w:bookmarkStart w:id="8" w:name="_Toc474290748"/>
      <w:r w:rsidRPr="00767941">
        <w:rPr>
          <w:rFonts w:ascii="Open Sans" w:eastAsiaTheme="majorEastAsia" w:hAnsi="Open Sans" w:cs="Open Sans"/>
          <w:b/>
          <w:bCs/>
          <w:smallCaps/>
          <w:color w:val="33006F"/>
          <w:szCs w:val="28"/>
        </w:rPr>
        <w:t>Residual income valuation models: implementation</w:t>
      </w:r>
      <w:bookmarkEnd w:id="8"/>
    </w:p>
    <w:p w14:paraId="76944114"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From model in Equation (2), it appears that we only need to know four items to estimate a firm’s current market cap: current and future book value of equity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i/>
          <w:sz w:val="20"/>
          <w:szCs w:val="20"/>
        </w:rPr>
        <w:t xml:space="preserve"> and </w:t>
      </w:r>
      <w:proofErr w:type="spellStart"/>
      <w:r w:rsidRPr="006265CA">
        <w:rPr>
          <w:rFonts w:ascii="Open Sans" w:hAnsi="Open Sans" w:cs="Open Sans"/>
          <w:i/>
          <w:sz w:val="20"/>
          <w:szCs w:val="20"/>
        </w:rPr>
        <w:t>BVE</w:t>
      </w:r>
      <w:r w:rsidRPr="006265CA">
        <w:rPr>
          <w:rFonts w:ascii="Open Sans" w:hAnsi="Open Sans" w:cs="Open Sans"/>
          <w:i/>
          <w:sz w:val="20"/>
          <w:szCs w:val="20"/>
          <w:vertAlign w:val="subscript"/>
        </w:rPr>
        <w:t>t</w:t>
      </w:r>
      <w:proofErr w:type="spellEnd"/>
      <w:r w:rsidRPr="006265CA">
        <w:rPr>
          <w:rFonts w:ascii="Open Sans" w:hAnsi="Open Sans" w:cs="Open Sans"/>
          <w:i/>
          <w:sz w:val="20"/>
          <w:szCs w:val="20"/>
          <w:vertAlign w:val="subscript"/>
        </w:rPr>
        <w:t>+</w:t>
      </w:r>
      <w:r w:rsidRPr="006265CA">
        <w:rPr>
          <w:rFonts w:ascii="Open Sans" w:hAnsi="Open Sans" w:cs="Open Sans"/>
          <w:i/>
          <w:sz w:val="20"/>
          <w:szCs w:val="20"/>
          <w:vertAlign w:val="subscript"/>
        </w:rPr>
        <w:sym w:font="Symbol" w:char="F074"/>
      </w:r>
      <w:r w:rsidRPr="006265CA">
        <w:rPr>
          <w:rFonts w:ascii="Open Sans" w:hAnsi="Open Sans" w:cs="Open Sans"/>
          <w:sz w:val="20"/>
          <w:szCs w:val="20"/>
        </w:rPr>
        <w:t>), future earnings (</w:t>
      </w:r>
      <w:proofErr w:type="spellStart"/>
      <w:r w:rsidRPr="006265CA">
        <w:rPr>
          <w:rFonts w:ascii="Open Sans" w:hAnsi="Open Sans" w:cs="Open Sans"/>
          <w:i/>
          <w:sz w:val="20"/>
          <w:szCs w:val="20"/>
        </w:rPr>
        <w:t>NI</w:t>
      </w:r>
      <w:r w:rsidRPr="006265CA">
        <w:rPr>
          <w:rFonts w:ascii="Open Sans" w:hAnsi="Open Sans" w:cs="Open Sans"/>
          <w:i/>
          <w:sz w:val="20"/>
          <w:szCs w:val="20"/>
          <w:vertAlign w:val="subscript"/>
        </w:rPr>
        <w:t>t</w:t>
      </w:r>
      <w:proofErr w:type="spellEnd"/>
      <w:r w:rsidRPr="006265CA">
        <w:rPr>
          <w:rFonts w:ascii="Open Sans" w:hAnsi="Open Sans" w:cs="Open Sans"/>
          <w:i/>
          <w:sz w:val="20"/>
          <w:szCs w:val="20"/>
          <w:vertAlign w:val="subscript"/>
        </w:rPr>
        <w:t>+</w:t>
      </w:r>
      <w:r w:rsidRPr="006265CA">
        <w:rPr>
          <w:rFonts w:ascii="Open Sans" w:hAnsi="Open Sans" w:cs="Open Sans"/>
          <w:i/>
          <w:sz w:val="20"/>
          <w:szCs w:val="20"/>
          <w:vertAlign w:val="subscript"/>
        </w:rPr>
        <w:sym w:font="Symbol" w:char="F074"/>
      </w:r>
      <w:r w:rsidRPr="006265CA">
        <w:rPr>
          <w:rFonts w:ascii="Open Sans" w:hAnsi="Open Sans" w:cs="Open Sans"/>
          <w:sz w:val="20"/>
          <w:szCs w:val="20"/>
        </w:rPr>
        <w:t>) and return on equity (</w:t>
      </w:r>
      <w:r w:rsidRPr="006265CA">
        <w:rPr>
          <w:rFonts w:ascii="Open Sans" w:hAnsi="Open Sans" w:cs="Open Sans"/>
          <w:i/>
          <w:sz w:val="20"/>
          <w:szCs w:val="20"/>
        </w:rPr>
        <w:t>r</w:t>
      </w:r>
      <w:r w:rsidRPr="006265CA">
        <w:rPr>
          <w:rFonts w:ascii="Open Sans" w:hAnsi="Open Sans" w:cs="Open Sans"/>
          <w:i/>
          <w:sz w:val="20"/>
          <w:szCs w:val="20"/>
          <w:vertAlign w:val="subscript"/>
        </w:rPr>
        <w:t>e</w:t>
      </w:r>
      <w:r w:rsidRPr="006265CA">
        <w:rPr>
          <w:rFonts w:ascii="Open Sans" w:hAnsi="Open Sans" w:cs="Open Sans"/>
          <w:sz w:val="20"/>
          <w:szCs w:val="20"/>
        </w:rPr>
        <w:t xml:space="preserve">), which we assume remains constant over time.  Unfortunately, it is not quite that simple.  We are dealing with an uncertain future and we need to make some strong assumptions and perhaps rely on expert analysts to help us in our valuation.  In this section, we define the four main inputs to the valuation model and revisit why each is included.  </w:t>
      </w:r>
    </w:p>
    <w:p w14:paraId="30918158" w14:textId="77777777" w:rsidR="004E68EB" w:rsidRPr="006265CA" w:rsidRDefault="004E68EB" w:rsidP="003A6FC4">
      <w:pPr>
        <w:spacing w:before="120" w:after="120" w:line="360" w:lineRule="auto"/>
        <w:jc w:val="both"/>
        <w:rPr>
          <w:rFonts w:ascii="Open Sans" w:hAnsi="Open Sans" w:cs="Open Sans"/>
          <w:i/>
          <w:sz w:val="20"/>
          <w:szCs w:val="20"/>
        </w:rPr>
      </w:pPr>
      <w:r w:rsidRPr="00767941">
        <w:rPr>
          <w:rFonts w:ascii="Open Sans" w:hAnsi="Open Sans" w:cs="Open Sans"/>
          <w:b/>
          <w:color w:val="33006F"/>
          <w:sz w:val="20"/>
          <w:szCs w:val="20"/>
        </w:rPr>
        <w:t>Current data:</w:t>
      </w:r>
      <w:r w:rsidRPr="006265CA">
        <w:rPr>
          <w:rFonts w:ascii="Open Sans" w:hAnsi="Open Sans" w:cs="Open Sans"/>
          <w:sz w:val="20"/>
          <w:szCs w:val="20"/>
        </w:rPr>
        <w:tab/>
        <w:t>this is the first term on the right-hand side of model (2)</w:t>
      </w:r>
    </w:p>
    <w:p w14:paraId="591BE828" w14:textId="77777777" w:rsidR="004E68EB" w:rsidRPr="006265CA" w:rsidRDefault="004E68EB" w:rsidP="003A6FC4">
      <w:p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lastRenderedPageBreak/>
        <w:t>Current book value of equity (</w:t>
      </w:r>
      <w:proofErr w:type="spellStart"/>
      <w:r w:rsidRPr="006265CA">
        <w:rPr>
          <w:rFonts w:ascii="Open Sans" w:hAnsi="Open Sans" w:cs="Open Sans"/>
          <w:i/>
          <w:color w:val="33006F"/>
          <w:sz w:val="20"/>
          <w:szCs w:val="20"/>
        </w:rPr>
        <w:t>BVE</w:t>
      </w:r>
      <w:r w:rsidRPr="006265CA">
        <w:rPr>
          <w:rFonts w:ascii="Open Sans" w:hAnsi="Open Sans" w:cs="Open Sans"/>
          <w:i/>
          <w:color w:val="33006F"/>
          <w:sz w:val="20"/>
          <w:szCs w:val="20"/>
          <w:vertAlign w:val="subscript"/>
        </w:rPr>
        <w:t>t</w:t>
      </w:r>
      <w:proofErr w:type="spellEnd"/>
      <w:r w:rsidRPr="006265CA">
        <w:rPr>
          <w:rFonts w:ascii="Open Sans" w:hAnsi="Open Sans" w:cs="Open Sans"/>
          <w:i/>
          <w:color w:val="33006F"/>
          <w:sz w:val="20"/>
          <w:szCs w:val="20"/>
        </w:rPr>
        <w:t>)</w:t>
      </w:r>
      <w:r w:rsidRPr="006265CA">
        <w:rPr>
          <w:rFonts w:ascii="Open Sans" w:hAnsi="Open Sans" w:cs="Open Sans"/>
          <w:i/>
          <w:sz w:val="20"/>
          <w:szCs w:val="20"/>
        </w:rPr>
        <w:t>.</w:t>
      </w:r>
      <w:r w:rsidRPr="006265CA">
        <w:rPr>
          <w:rFonts w:ascii="Open Sans" w:hAnsi="Open Sans" w:cs="Open Sans"/>
          <w:sz w:val="20"/>
          <w:szCs w:val="20"/>
        </w:rPr>
        <w:t xml:space="preserve">  Book value of equity is our starting point.  It is the only </w:t>
      </w:r>
      <w:r w:rsidRPr="006265CA">
        <w:rPr>
          <w:rFonts w:ascii="Open Sans" w:hAnsi="Open Sans" w:cs="Open Sans"/>
          <w:i/>
          <w:sz w:val="20"/>
          <w:szCs w:val="20"/>
        </w:rPr>
        <w:t>known</w:t>
      </w:r>
      <w:r w:rsidRPr="006265CA">
        <w:rPr>
          <w:rFonts w:ascii="Open Sans" w:hAnsi="Open Sans" w:cs="Open Sans"/>
          <w:sz w:val="20"/>
          <w:szCs w:val="20"/>
        </w:rPr>
        <w:t xml:space="preserve"> item in our model – the remaining items are </w:t>
      </w:r>
      <w:r w:rsidRPr="006265CA">
        <w:rPr>
          <w:rFonts w:ascii="Open Sans" w:hAnsi="Open Sans" w:cs="Open Sans"/>
          <w:i/>
          <w:sz w:val="20"/>
          <w:szCs w:val="20"/>
        </w:rPr>
        <w:t>forecasts</w:t>
      </w:r>
      <w:r w:rsidRPr="006265CA">
        <w:rPr>
          <w:rFonts w:ascii="Open Sans" w:hAnsi="Open Sans" w:cs="Open Sans"/>
          <w:sz w:val="20"/>
          <w:szCs w:val="20"/>
        </w:rPr>
        <w:t>.  If a firm only earns a ‘normal’ return on its equity, investors should be only willing to pay for its book value of equity, i.e., the firm’s market cap should (approximately) equal its book value of equity.</w:t>
      </w:r>
      <w:r w:rsidRPr="006265CA">
        <w:rPr>
          <w:rFonts w:ascii="Open Sans" w:hAnsi="Open Sans" w:cs="Open Sans"/>
          <w:sz w:val="20"/>
          <w:szCs w:val="20"/>
          <w:vertAlign w:val="superscript"/>
        </w:rPr>
        <w:endnoteReference w:id="10"/>
      </w:r>
    </w:p>
    <w:p w14:paraId="1EA6228C" w14:textId="77777777" w:rsidR="004E68EB" w:rsidRPr="006265CA" w:rsidRDefault="004E68EB" w:rsidP="003A6FC4">
      <w:pPr>
        <w:spacing w:before="120" w:after="120" w:line="360" w:lineRule="auto"/>
        <w:jc w:val="both"/>
        <w:rPr>
          <w:rFonts w:ascii="Open Sans" w:hAnsi="Open Sans" w:cs="Open Sans"/>
          <w:sz w:val="20"/>
          <w:szCs w:val="20"/>
        </w:rPr>
      </w:pPr>
      <w:r w:rsidRPr="00767941">
        <w:rPr>
          <w:rFonts w:ascii="Open Sans" w:hAnsi="Open Sans" w:cs="Open Sans"/>
          <w:b/>
          <w:color w:val="33006F"/>
          <w:sz w:val="20"/>
          <w:szCs w:val="20"/>
        </w:rPr>
        <w:t>Future data:</w:t>
      </w:r>
      <w:r w:rsidRPr="00767941">
        <w:rPr>
          <w:rFonts w:ascii="Open Sans" w:hAnsi="Open Sans" w:cs="Open Sans"/>
          <w:sz w:val="20"/>
          <w:szCs w:val="20"/>
        </w:rPr>
        <w:t xml:space="preserve"> </w:t>
      </w:r>
      <w:r w:rsidRPr="006265CA">
        <w:rPr>
          <w:rFonts w:ascii="Open Sans" w:hAnsi="Open Sans" w:cs="Open Sans"/>
          <w:sz w:val="20"/>
          <w:szCs w:val="20"/>
        </w:rPr>
        <w:t>the second term on the right-hand side of model (2) estimates the future value of abnormal earnings.  The inputs are:</w:t>
      </w:r>
    </w:p>
    <w:p w14:paraId="66880A6E" w14:textId="77777777" w:rsidR="004E68EB" w:rsidRPr="006265CA" w:rsidRDefault="004E68EB" w:rsidP="003A6FC4">
      <w:pPr>
        <w:numPr>
          <w:ilvl w:val="0"/>
          <w:numId w:val="14"/>
        </w:num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t>Forecasts of earnings (NI or earnings per share, eps).</w:t>
      </w:r>
      <w:r w:rsidRPr="006265CA">
        <w:rPr>
          <w:rFonts w:ascii="Open Sans" w:hAnsi="Open Sans" w:cs="Open Sans"/>
          <w:sz w:val="20"/>
          <w:szCs w:val="20"/>
        </w:rPr>
        <w:t xml:space="preserve">  The essence of our forward-looking model relies on professional analysts’ forecasts of future earnings.</w:t>
      </w:r>
      <w:r w:rsidRPr="006265CA">
        <w:rPr>
          <w:rFonts w:ascii="Open Sans" w:hAnsi="Open Sans" w:cs="Open Sans"/>
          <w:sz w:val="20"/>
          <w:szCs w:val="20"/>
          <w:vertAlign w:val="superscript"/>
        </w:rPr>
        <w:endnoteReference w:id="11"/>
      </w:r>
      <w:r w:rsidRPr="006265CA">
        <w:rPr>
          <w:rFonts w:ascii="Open Sans" w:hAnsi="Open Sans" w:cs="Open Sans"/>
          <w:sz w:val="20"/>
          <w:szCs w:val="20"/>
        </w:rPr>
        <w:t xml:space="preserve">  Analysts typically forecast NI for perhaps a year or so into the future, but fortunately, analysts also forecast a long-term growth rate in earnings.  We use this long-term growth rate (</w:t>
      </w:r>
      <w:r w:rsidRPr="006265CA">
        <w:rPr>
          <w:rFonts w:ascii="Open Sans" w:hAnsi="Open Sans" w:cs="Open Sans"/>
          <w:i/>
          <w:sz w:val="20"/>
          <w:szCs w:val="20"/>
        </w:rPr>
        <w:t>LTG</w:t>
      </w:r>
      <w:r w:rsidRPr="006265CA">
        <w:rPr>
          <w:rFonts w:ascii="Open Sans" w:hAnsi="Open Sans" w:cs="Open Sans"/>
          <w:sz w:val="20"/>
          <w:szCs w:val="20"/>
        </w:rPr>
        <w:t>) to estimate NI approximately 5 (or more) years into the future.</w:t>
      </w:r>
      <w:r w:rsidRPr="006265CA">
        <w:rPr>
          <w:rFonts w:ascii="Open Sans" w:hAnsi="Open Sans" w:cs="Open Sans"/>
          <w:sz w:val="20"/>
          <w:szCs w:val="20"/>
          <w:vertAlign w:val="superscript"/>
        </w:rPr>
        <w:endnoteReference w:id="12"/>
      </w:r>
      <w:r w:rsidRPr="006265CA">
        <w:rPr>
          <w:rFonts w:ascii="Open Sans" w:hAnsi="Open Sans" w:cs="Open Sans"/>
          <w:sz w:val="20"/>
          <w:szCs w:val="20"/>
        </w:rPr>
        <w:t xml:space="preserve">  We generally use the average or consensus forecast obtainable from many sources (including the Internet as described below).  Of course, you can easily modify analyst estimates – especially if you believe you have superior information.  </w:t>
      </w:r>
    </w:p>
    <w:p w14:paraId="0C05194C" w14:textId="77777777" w:rsidR="004E68EB" w:rsidRPr="006265CA" w:rsidRDefault="004E68EB" w:rsidP="003A6FC4">
      <w:pPr>
        <w:numPr>
          <w:ilvl w:val="0"/>
          <w:numId w:val="14"/>
        </w:num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t>Future book value of equity (</w:t>
      </w:r>
      <w:proofErr w:type="spellStart"/>
      <w:r w:rsidRPr="006265CA">
        <w:rPr>
          <w:rFonts w:ascii="Open Sans" w:hAnsi="Open Sans" w:cs="Open Sans"/>
          <w:i/>
          <w:color w:val="33006F"/>
          <w:sz w:val="20"/>
          <w:szCs w:val="20"/>
        </w:rPr>
        <w:t>BVE</w:t>
      </w:r>
      <w:r w:rsidRPr="006265CA">
        <w:rPr>
          <w:rFonts w:ascii="Open Sans" w:hAnsi="Open Sans" w:cs="Open Sans"/>
          <w:i/>
          <w:color w:val="33006F"/>
          <w:sz w:val="20"/>
          <w:szCs w:val="20"/>
          <w:vertAlign w:val="subscript"/>
        </w:rPr>
        <w:t>t</w:t>
      </w:r>
      <w:proofErr w:type="spellEnd"/>
      <w:r w:rsidRPr="006265CA">
        <w:rPr>
          <w:rFonts w:ascii="Open Sans" w:hAnsi="Open Sans" w:cs="Open Sans"/>
          <w:i/>
          <w:color w:val="33006F"/>
          <w:sz w:val="20"/>
          <w:szCs w:val="20"/>
          <w:vertAlign w:val="subscript"/>
        </w:rPr>
        <w:t>+</w:t>
      </w:r>
      <w:r w:rsidRPr="006265CA">
        <w:rPr>
          <w:rFonts w:ascii="Open Sans" w:hAnsi="Open Sans" w:cs="Open Sans"/>
          <w:i/>
          <w:color w:val="33006F"/>
          <w:sz w:val="20"/>
          <w:szCs w:val="20"/>
          <w:vertAlign w:val="subscript"/>
        </w:rPr>
        <w:sym w:font="Symbol" w:char="F074"/>
      </w:r>
      <w:r w:rsidRPr="006265CA">
        <w:rPr>
          <w:rFonts w:ascii="Open Sans" w:hAnsi="Open Sans" w:cs="Open Sans"/>
          <w:i/>
          <w:color w:val="33006F"/>
          <w:sz w:val="20"/>
          <w:szCs w:val="20"/>
        </w:rPr>
        <w:t>)</w:t>
      </w:r>
      <w:r w:rsidRPr="006265CA">
        <w:rPr>
          <w:rFonts w:ascii="Open Sans" w:hAnsi="Open Sans" w:cs="Open Sans"/>
          <w:sz w:val="20"/>
          <w:szCs w:val="20"/>
        </w:rPr>
        <w:t>.  Future book value of equity is needed to create our benchmark for a ‘normal’ expected return.  If a firm can earn more than the normal rate of return on the shareholders’ investment, then investors should be willing to pay more than the book value of the firm’s equity.  In this situation, managers are taking actions that add value for shareholders.  In contrast, when the firm is earning less than its cost of equity capital, managers are taking actions that destroy value and the shareholders’ investment should be less than the book value of the firm’s equity.  Since both earnings and dividends affect how much capital is retained in the company, we must adjust the prior period’s book value of equity by adding this period’s earnings and subtracting this period’s dividends (</w:t>
      </w:r>
      <w:r w:rsidRPr="006265CA">
        <w:rPr>
          <w:rFonts w:ascii="Open Sans" w:hAnsi="Open Sans" w:cs="Open Sans"/>
          <w:i/>
          <w:sz w:val="20"/>
          <w:szCs w:val="20"/>
        </w:rPr>
        <w:t>DIV</w:t>
      </w:r>
      <w:r w:rsidRPr="006265CA">
        <w:rPr>
          <w:rFonts w:ascii="Open Sans" w:hAnsi="Open Sans" w:cs="Open Sans"/>
          <w:sz w:val="20"/>
          <w:szCs w:val="20"/>
        </w:rPr>
        <w:t>), if any.</w:t>
      </w:r>
    </w:p>
    <w:p w14:paraId="3AA82B56" w14:textId="77777777" w:rsidR="004E68EB" w:rsidRPr="006265CA" w:rsidRDefault="004E68EB" w:rsidP="003A6FC4">
      <w:pPr>
        <w:numPr>
          <w:ilvl w:val="0"/>
          <w:numId w:val="14"/>
        </w:numPr>
        <w:spacing w:before="120" w:after="120" w:line="360" w:lineRule="auto"/>
        <w:jc w:val="both"/>
        <w:rPr>
          <w:rFonts w:ascii="Open Sans" w:hAnsi="Open Sans" w:cs="Open Sans"/>
          <w:sz w:val="20"/>
          <w:szCs w:val="20"/>
        </w:rPr>
      </w:pPr>
      <w:r w:rsidRPr="006265CA">
        <w:rPr>
          <w:rFonts w:ascii="Open Sans" w:hAnsi="Open Sans" w:cs="Open Sans"/>
          <w:i/>
          <w:color w:val="33006F"/>
          <w:sz w:val="20"/>
          <w:szCs w:val="20"/>
        </w:rPr>
        <w:t>Cost of equity capital (r</w:t>
      </w:r>
      <w:r w:rsidRPr="006265CA">
        <w:rPr>
          <w:rFonts w:ascii="Open Sans" w:hAnsi="Open Sans" w:cs="Open Sans"/>
          <w:i/>
          <w:color w:val="33006F"/>
          <w:sz w:val="20"/>
          <w:szCs w:val="20"/>
          <w:vertAlign w:val="subscript"/>
        </w:rPr>
        <w:t>e</w:t>
      </w:r>
      <w:r w:rsidRPr="006265CA">
        <w:rPr>
          <w:rFonts w:ascii="Open Sans" w:hAnsi="Open Sans" w:cs="Open Sans"/>
          <w:i/>
          <w:color w:val="33006F"/>
          <w:sz w:val="20"/>
          <w:szCs w:val="20"/>
        </w:rPr>
        <w:t>).</w:t>
      </w:r>
      <w:r w:rsidRPr="006265CA">
        <w:rPr>
          <w:rFonts w:ascii="Open Sans" w:hAnsi="Open Sans" w:cs="Open Sans"/>
          <w:sz w:val="20"/>
          <w:szCs w:val="20"/>
        </w:rPr>
        <w:t xml:space="preserve">  Estimating the cost of equity capital is a major (and difficult) topic in finance.  For our purposes, we will either a) take the rate as given and assume it remains constant over time, or a well-established model such as the capital asset pricing model (CAPM) developed by the Nobel Laureate William Sharpe when he was at UW in the 1960s.</w:t>
      </w:r>
      <w:r w:rsidRPr="006265CA">
        <w:rPr>
          <w:rFonts w:ascii="Open Sans" w:hAnsi="Open Sans" w:cs="Open Sans"/>
          <w:sz w:val="20"/>
          <w:szCs w:val="20"/>
          <w:vertAlign w:val="superscript"/>
        </w:rPr>
        <w:endnoteReference w:id="13"/>
      </w:r>
    </w:p>
    <w:p w14:paraId="1015453E" w14:textId="77777777" w:rsidR="003A6FC4" w:rsidRPr="00767941" w:rsidRDefault="003A6FC4" w:rsidP="003A6FC4">
      <w:pPr>
        <w:keepNext/>
        <w:keepLines/>
        <w:spacing w:before="200"/>
        <w:outlineLvl w:val="1"/>
        <w:rPr>
          <w:rFonts w:ascii="Open Sans" w:eastAsiaTheme="majorEastAsia" w:hAnsi="Open Sans" w:cs="Open Sans"/>
          <w:b/>
          <w:bCs/>
          <w:smallCaps/>
          <w:color w:val="33006F"/>
          <w:szCs w:val="28"/>
        </w:rPr>
      </w:pPr>
      <w:bookmarkStart w:id="9" w:name="_Toc474290749"/>
      <w:r w:rsidRPr="00767941">
        <w:rPr>
          <w:rFonts w:ascii="Open Sans" w:eastAsiaTheme="majorEastAsia" w:hAnsi="Open Sans" w:cs="Open Sans"/>
          <w:b/>
          <w:bCs/>
          <w:smallCaps/>
          <w:color w:val="33006F"/>
          <w:szCs w:val="28"/>
        </w:rPr>
        <w:t>Why doesn’t the value estimate equal price?</w:t>
      </w:r>
      <w:bookmarkEnd w:id="9"/>
    </w:p>
    <w:p w14:paraId="1B0E2601" w14:textId="77777777" w:rsidR="003A6FC4" w:rsidRPr="006265CA" w:rsidRDefault="003A6FC4"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For publicly traded companies, we can compare our estimate to the actual stock price (or market cap).  Allowing us to assess how well our model did. </w:t>
      </w:r>
    </w:p>
    <w:p w14:paraId="08D4BCF9" w14:textId="77777777" w:rsidR="003A6FC4" w:rsidRPr="006265CA" w:rsidRDefault="003A6FC4"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lastRenderedPageBreak/>
        <w:t>In general, differences between the actual market price and our estimate can be attributed to several possible factors:</w:t>
      </w:r>
    </w:p>
    <w:p w14:paraId="6462504E" w14:textId="77777777" w:rsidR="003A6FC4" w:rsidRPr="006265CA" w:rsidRDefault="003A6FC4" w:rsidP="003A6FC4">
      <w:pPr>
        <w:numPr>
          <w:ilvl w:val="0"/>
          <w:numId w:val="16"/>
        </w:numPr>
        <w:spacing w:before="120" w:after="120" w:line="360" w:lineRule="auto"/>
        <w:jc w:val="both"/>
        <w:rPr>
          <w:rFonts w:ascii="Open Sans" w:hAnsi="Open Sans" w:cs="Open Sans"/>
          <w:sz w:val="20"/>
          <w:szCs w:val="20"/>
        </w:rPr>
      </w:pPr>
      <w:r w:rsidRPr="006265CA">
        <w:rPr>
          <w:rFonts w:ascii="Open Sans" w:hAnsi="Open Sans" w:cs="Open Sans"/>
          <w:sz w:val="20"/>
          <w:szCs w:val="20"/>
        </w:rPr>
        <w:t>Our model’s assumptions differ from the consensus assumptions implicit in the market price.  Again, what assumptions appear to be most important in driving our estimate of Starbucks’ stock price?</w:t>
      </w:r>
    </w:p>
    <w:p w14:paraId="2AAFB4DA" w14:textId="7584777D" w:rsidR="003A6FC4" w:rsidRPr="006265CA" w:rsidRDefault="003A6FC4" w:rsidP="003A6FC4">
      <w:pPr>
        <w:numPr>
          <w:ilvl w:val="0"/>
          <w:numId w:val="16"/>
        </w:numPr>
        <w:spacing w:before="120" w:after="120" w:line="360" w:lineRule="auto"/>
        <w:jc w:val="both"/>
        <w:rPr>
          <w:rFonts w:ascii="Open Sans" w:hAnsi="Open Sans" w:cs="Open Sans"/>
          <w:sz w:val="20"/>
          <w:szCs w:val="20"/>
        </w:rPr>
      </w:pPr>
      <w:r w:rsidRPr="006265CA">
        <w:rPr>
          <w:rFonts w:ascii="Open Sans" w:hAnsi="Open Sans" w:cs="Open Sans"/>
          <w:sz w:val="20"/>
          <w:szCs w:val="20"/>
        </w:rPr>
        <w:t>Our model may not include all the effects of hard-to-measure intangibles such as quality of management and product pipeline.  While analysts no doubt attempt to factor in these intangibles in their earnings forecasts, it is likely to have error.</w:t>
      </w:r>
    </w:p>
    <w:p w14:paraId="31B9D3FB" w14:textId="77777777" w:rsidR="003A6FC4" w:rsidRPr="006265CA" w:rsidRDefault="003A6FC4" w:rsidP="003A6FC4">
      <w:pPr>
        <w:numPr>
          <w:ilvl w:val="0"/>
          <w:numId w:val="16"/>
        </w:numPr>
        <w:spacing w:before="120" w:after="120" w:line="360" w:lineRule="auto"/>
        <w:jc w:val="both"/>
        <w:rPr>
          <w:rFonts w:ascii="Open Sans" w:hAnsi="Open Sans" w:cs="Open Sans"/>
          <w:sz w:val="20"/>
          <w:szCs w:val="20"/>
        </w:rPr>
      </w:pPr>
      <w:r w:rsidRPr="006265CA">
        <w:rPr>
          <w:rFonts w:ascii="Open Sans" w:hAnsi="Open Sans" w:cs="Open Sans"/>
          <w:sz w:val="20"/>
          <w:szCs w:val="20"/>
        </w:rPr>
        <w:t xml:space="preserve">Of course, the market’s price could be temporarily “inefficient” or “irrational,” e.g., based on old or non-economic factors see </w:t>
      </w:r>
      <w:r w:rsidRPr="006265CA">
        <w:rPr>
          <w:rFonts w:ascii="Open Sans" w:hAnsi="Open Sans" w:cs="Open Sans"/>
          <w:sz w:val="20"/>
          <w:szCs w:val="20"/>
        </w:rPr>
        <w:fldChar w:fldCharType="begin"/>
      </w:r>
      <w:r w:rsidRPr="006265CA">
        <w:rPr>
          <w:rFonts w:ascii="Open Sans" w:hAnsi="Open Sans" w:cs="Open Sans"/>
          <w:sz w:val="20"/>
          <w:szCs w:val="20"/>
        </w:rPr>
        <w:instrText xml:space="preserve"> ADDIN EN.CITE &lt;EndNote&gt;&lt;Cite AuthorYear="1"&gt;&lt;Author&gt;Curtis&lt;/Author&gt;&lt;Year&gt;2012&lt;/Year&gt;&lt;RecNum&gt;86&lt;/RecNum&gt;&lt;DisplayText&gt;Curtis (2012)&lt;/DisplayText&gt;&lt;record&gt;&lt;rec-number&gt;86&lt;/rec-number&gt;&lt;foreign-keys&gt;&lt;key app="EN" db-id="5wddtwtdltavvheer5vvrda5pftspd2zre9e" timestamp="1467405283"&gt;86&lt;/key&gt;&lt;/foreign-keys&gt;&lt;ref-type name="Journal Article"&gt;17&lt;/ref-type&gt;&lt;contributors&gt;&lt;authors&gt;&lt;author&gt;Curtis, Asher&lt;/author&gt;&lt;/authors&gt;&lt;/contributors&gt;&lt;titles&gt;&lt;title&gt;A Fundamental-Analysis-Based Test for Speculative Prices&lt;/title&gt;&lt;secondary-title&gt;Accounting Review&lt;/secondary-title&gt;&lt;/titles&gt;&lt;periodical&gt;&lt;full-title&gt;Accounting Review&lt;/full-title&gt;&lt;/periodical&gt;&lt;pages&gt;121-148&lt;/pages&gt;&lt;volume&gt;87&lt;/volume&gt;&lt;number&gt;1&lt;/number&gt;&lt;dates&gt;&lt;year&gt;2012&lt;/year&gt;&lt;pub-dates&gt;&lt;date&gt;Jan&lt;/date&gt;&lt;/pub-dates&gt;&lt;/dates&gt;&lt;isbn&gt;0001-4826&lt;/isbn&gt;&lt;accession-num&gt;WOS:000299819700005&lt;/accession-num&gt;&lt;urls&gt;&lt;related-urls&gt;&lt;url&gt;&amp;lt;Go to ISI&amp;gt;://WOS:000299819700005&lt;/url&gt;&lt;/related-urls&gt;&lt;/urls&gt;&lt;electronic-resource-num&gt;10.2308/accr-10163&lt;/electronic-resource-num&gt;&lt;/record&gt;&lt;/Cite&gt;&lt;/EndNote&gt;</w:instrText>
      </w:r>
      <w:r w:rsidRPr="006265CA">
        <w:rPr>
          <w:rFonts w:ascii="Open Sans" w:hAnsi="Open Sans" w:cs="Open Sans"/>
          <w:sz w:val="20"/>
          <w:szCs w:val="20"/>
        </w:rPr>
        <w:fldChar w:fldCharType="separate"/>
      </w:r>
      <w:r w:rsidRPr="006265CA">
        <w:rPr>
          <w:rFonts w:ascii="Open Sans" w:hAnsi="Open Sans" w:cs="Open Sans"/>
          <w:noProof/>
          <w:sz w:val="20"/>
          <w:szCs w:val="20"/>
        </w:rPr>
        <w:t>Curtis (2012)</w:t>
      </w:r>
      <w:r w:rsidRPr="006265CA">
        <w:rPr>
          <w:rFonts w:ascii="Open Sans" w:hAnsi="Open Sans" w:cs="Open Sans"/>
          <w:sz w:val="20"/>
          <w:szCs w:val="20"/>
        </w:rPr>
        <w:fldChar w:fldCharType="end"/>
      </w:r>
      <w:r w:rsidRPr="006265CA">
        <w:rPr>
          <w:rFonts w:ascii="Open Sans" w:hAnsi="Open Sans" w:cs="Open Sans"/>
          <w:sz w:val="20"/>
          <w:szCs w:val="20"/>
        </w:rPr>
        <w:t>.</w:t>
      </w:r>
    </w:p>
    <w:p w14:paraId="41061448" w14:textId="4D9BF8D3" w:rsidR="003A6FC4" w:rsidRDefault="003A6FC4" w:rsidP="003A6FC4">
      <w:pPr>
        <w:spacing w:before="120" w:after="120" w:line="360" w:lineRule="auto"/>
        <w:jc w:val="both"/>
        <w:rPr>
          <w:rFonts w:ascii="Open Sans" w:hAnsi="Open Sans" w:cs="Open Sans"/>
          <w:sz w:val="20"/>
          <w:szCs w:val="20"/>
        </w:rPr>
      </w:pPr>
      <w:r w:rsidRPr="006265CA">
        <w:rPr>
          <w:rFonts w:ascii="Open Sans" w:hAnsi="Open Sans" w:cs="Open Sans"/>
          <w:sz w:val="20"/>
          <w:szCs w:val="20"/>
        </w:rPr>
        <w:t>Our model is based on analysts’ view of the future at a point in time, but market prices change with new information. Whereas the model cannot anticipate unexpected news, it will react to news as analysts and investors revise their forecasts of future earnings to incorporate new assumptions. This is a continuous process with occasional shocks driven by especially large events such as an offer to purchase the company, a CEO transition or a major product announcement.</w:t>
      </w:r>
    </w:p>
    <w:p w14:paraId="6D58B411" w14:textId="7751C319" w:rsidR="009E5AF4" w:rsidRDefault="009E5AF4" w:rsidP="009E5AF4">
      <w:pPr>
        <w:spacing w:before="120" w:after="120" w:line="360" w:lineRule="auto"/>
        <w:jc w:val="both"/>
        <w:rPr>
          <w:rFonts w:ascii="Open Sans" w:hAnsi="Open Sans" w:cs="Open Sans"/>
          <w:sz w:val="20"/>
          <w:szCs w:val="20"/>
        </w:rPr>
      </w:pPr>
      <w:r w:rsidRPr="00767941">
        <w:rPr>
          <w:rFonts w:ascii="Open Sans" w:eastAsiaTheme="majorEastAsia" w:hAnsi="Open Sans" w:cs="Open Sans"/>
          <w:b/>
          <w:bCs/>
          <w:smallCaps/>
          <w:color w:val="33006F"/>
          <w:szCs w:val="28"/>
        </w:rPr>
        <w:t>The main challenges relating to the</w:t>
      </w:r>
      <w:r>
        <w:rPr>
          <w:rFonts w:ascii="Open Sans" w:eastAsiaTheme="majorEastAsia" w:hAnsi="Open Sans" w:cs="Open Sans"/>
          <w:b/>
          <w:bCs/>
          <w:smallCaps/>
          <w:color w:val="33006F"/>
          <w:szCs w:val="28"/>
        </w:rPr>
        <w:t xml:space="preserve"> valuation of growth firms </w:t>
      </w:r>
      <w:r>
        <w:rPr>
          <w:rFonts w:ascii="Open Sans" w:hAnsi="Open Sans" w:cs="Open Sans"/>
          <w:sz w:val="20"/>
          <w:szCs w:val="20"/>
        </w:rPr>
        <w:t xml:space="preserve">arises as </w:t>
      </w:r>
      <w:r>
        <w:rPr>
          <w:rFonts w:ascii="Open Sans" w:hAnsi="Open Sans" w:cs="Open Sans"/>
          <w:sz w:val="20"/>
          <w:szCs w:val="20"/>
        </w:rPr>
        <w:t xml:space="preserve">the bulk of the valuation is going to be coming from longer-term future earnings. That is because many growth firms are expected to incur higher costs as they are innovating </w:t>
      </w:r>
      <w:r w:rsidR="00223D48">
        <w:rPr>
          <w:rFonts w:ascii="Open Sans" w:hAnsi="Open Sans" w:cs="Open Sans"/>
          <w:sz w:val="20"/>
          <w:szCs w:val="20"/>
        </w:rPr>
        <w:t xml:space="preserve">and are expected to come up with more efficient cost structures in the future. That is, growth is often achieved at the cost of profitability. This central issue is even more apparent when we consider a growth company that is making a loss. Under their current cost structure, the firm generates a negative margin on each dollar of sale, which means that growing revenues under the current cost structure could simply increase the size of the loss, destroying value. If the company is expected to have large fixed costs then as the firm reaches economies of scale, they will potentially become profitable. In other cases, though, if a company cannot reach a point where they achieve economies of scale, or their variable costs increase offsets any gains from increasing production then these companies may never make a profit. </w:t>
      </w:r>
    </w:p>
    <w:p w14:paraId="6770F527" w14:textId="77777777" w:rsidR="00AE4AA3" w:rsidRPr="00732C96" w:rsidRDefault="00AE4AA3" w:rsidP="00AE4AA3">
      <w:pPr>
        <w:pStyle w:val="Heading1"/>
        <w:rPr>
          <w:smallCaps/>
          <w:color w:val="33006F"/>
        </w:rPr>
      </w:pPr>
      <w:bookmarkStart w:id="10" w:name="_Toc477954627"/>
      <w:bookmarkStart w:id="11" w:name="_Toc494529326"/>
      <w:bookmarkStart w:id="12" w:name="_GoBack"/>
      <w:bookmarkEnd w:id="12"/>
      <w:r>
        <w:rPr>
          <w:smallCaps/>
          <w:color w:val="33006F"/>
        </w:rPr>
        <w:t>Reference</w:t>
      </w:r>
      <w:r w:rsidRPr="00732C96">
        <w:rPr>
          <w:smallCaps/>
          <w:color w:val="33006F"/>
        </w:rPr>
        <w:t>s</w:t>
      </w:r>
      <w:bookmarkEnd w:id="10"/>
      <w:bookmarkEnd w:id="11"/>
    </w:p>
    <w:p w14:paraId="5F54FE70" w14:textId="77777777" w:rsidR="00283AF3" w:rsidRPr="00283AF3" w:rsidRDefault="001A6E2C" w:rsidP="00283AF3">
      <w:pPr>
        <w:pStyle w:val="EndNoteBibliography"/>
        <w:ind w:left="720" w:hanging="720"/>
      </w:pPr>
      <w:r w:rsidRPr="007979E7">
        <w:rPr>
          <w:highlight w:val="yellow"/>
        </w:rPr>
        <w:fldChar w:fldCharType="begin"/>
      </w:r>
      <w:r w:rsidRPr="007979E7">
        <w:rPr>
          <w:highlight w:val="yellow"/>
        </w:rPr>
        <w:instrText xml:space="preserve"> ADDIN EN.REFLIST </w:instrText>
      </w:r>
      <w:r w:rsidRPr="007979E7">
        <w:rPr>
          <w:highlight w:val="yellow"/>
        </w:rPr>
        <w:fldChar w:fldCharType="end"/>
      </w:r>
      <w:r w:rsidR="00283AF3" w:rsidRPr="00283AF3">
        <w:t xml:space="preserve">Curtis, A. 2012. A Fundamental-Analysis-Based Test for Speculative Prices. </w:t>
      </w:r>
      <w:r w:rsidR="00283AF3" w:rsidRPr="00283AF3">
        <w:rPr>
          <w:i/>
        </w:rPr>
        <w:t>Accounting Review</w:t>
      </w:r>
      <w:r w:rsidR="00283AF3" w:rsidRPr="00283AF3">
        <w:t xml:space="preserve"> 87 (1):121-148.</w:t>
      </w:r>
    </w:p>
    <w:p w14:paraId="079774E5" w14:textId="77777777" w:rsidR="00283AF3" w:rsidRPr="00283AF3" w:rsidRDefault="00283AF3" w:rsidP="00283AF3">
      <w:pPr>
        <w:pStyle w:val="EndNoteBibliography"/>
        <w:ind w:left="720" w:hanging="720"/>
      </w:pPr>
      <w:r w:rsidRPr="00283AF3">
        <w:lastRenderedPageBreak/>
        <w:t xml:space="preserve">Curtis, A., S. E. McVay, and S. Toynbee. 2017. The Changing Implications of Research and Development Expenditures for Future Profitability. </w:t>
      </w:r>
      <w:r w:rsidRPr="00283AF3">
        <w:rPr>
          <w:i/>
        </w:rPr>
        <w:t>University of Washington working paper</w:t>
      </w:r>
      <w:r w:rsidRPr="00283AF3">
        <w:t>.</w:t>
      </w:r>
    </w:p>
    <w:p w14:paraId="489A7735" w14:textId="77777777" w:rsidR="00283AF3" w:rsidRPr="00283AF3" w:rsidRDefault="00283AF3" w:rsidP="00283AF3">
      <w:pPr>
        <w:pStyle w:val="EndNoteBibliography"/>
        <w:ind w:left="720" w:hanging="720"/>
      </w:pPr>
      <w:r w:rsidRPr="00283AF3">
        <w:t xml:space="preserve">Frankel, R., and C. M. C. Lee. 1998. Accounting valuation, market expectation, and cross-sectional stock returns. </w:t>
      </w:r>
      <w:r w:rsidRPr="00283AF3">
        <w:rPr>
          <w:i/>
        </w:rPr>
        <w:t>Journal of Accounting and Economics</w:t>
      </w:r>
      <w:r w:rsidRPr="00283AF3">
        <w:t xml:space="preserve"> 25 (3):283-319.</w:t>
      </w:r>
    </w:p>
    <w:p w14:paraId="4C6F22AF" w14:textId="77777777" w:rsidR="00283AF3" w:rsidRPr="00283AF3" w:rsidRDefault="00283AF3" w:rsidP="00283AF3">
      <w:pPr>
        <w:pStyle w:val="EndNoteBibliography"/>
        <w:ind w:left="720" w:hanging="720"/>
      </w:pPr>
      <w:r w:rsidRPr="00283AF3">
        <w:t xml:space="preserve">Loughran, T. I. M., and A. M. Vijh. 1997. Do Long-Term Shareholders Benefit From Corporate Acquisitions? </w:t>
      </w:r>
      <w:r w:rsidRPr="00283AF3">
        <w:rPr>
          <w:i/>
        </w:rPr>
        <w:t>The Journal of Finance</w:t>
      </w:r>
      <w:r w:rsidRPr="00283AF3">
        <w:t xml:space="preserve"> 52 (5):1765-1790.</w:t>
      </w:r>
    </w:p>
    <w:p w14:paraId="1115CAE6" w14:textId="77777777" w:rsidR="00283AF3" w:rsidRPr="00283AF3" w:rsidRDefault="00283AF3" w:rsidP="00283AF3">
      <w:pPr>
        <w:pStyle w:val="EndNoteBibliography"/>
        <w:ind w:left="720" w:hanging="720"/>
      </w:pPr>
      <w:r w:rsidRPr="00283AF3">
        <w:t xml:space="preserve">Louis, K. C. C., J. Lakonishok, and T. Sougiannis. 2001. The Stock Market Valuation of Research and Development Expenditures. </w:t>
      </w:r>
      <w:r w:rsidRPr="00283AF3">
        <w:rPr>
          <w:i/>
        </w:rPr>
        <w:t>The Journal of Finance</w:t>
      </w:r>
      <w:r w:rsidRPr="00283AF3">
        <w:t xml:space="preserve"> 56 (6):2431-2456.</w:t>
      </w:r>
    </w:p>
    <w:p w14:paraId="32D8B1AE" w14:textId="77777777" w:rsidR="00283AF3" w:rsidRPr="00283AF3" w:rsidRDefault="00283AF3" w:rsidP="00283AF3">
      <w:pPr>
        <w:pStyle w:val="EndNoteBibliography"/>
        <w:ind w:left="720" w:hanging="720"/>
      </w:pPr>
      <w:r w:rsidRPr="00283AF3">
        <w:t xml:space="preserve">Nissim, D., and S. H. Penman. 2001. Ratio Analysis and Equity Valuation: From Research to Practice. </w:t>
      </w:r>
      <w:r w:rsidRPr="00283AF3">
        <w:rPr>
          <w:i/>
        </w:rPr>
        <w:t>Review of Accounting Studies</w:t>
      </w:r>
      <w:r w:rsidRPr="00283AF3">
        <w:t xml:space="preserve"> 6 (1):109-154.</w:t>
      </w:r>
    </w:p>
    <w:p w14:paraId="485D71E0" w14:textId="26050760" w:rsidR="00C74BEF" w:rsidRDefault="00EB02F2" w:rsidP="00EB02F2">
      <w:pPr>
        <w:pStyle w:val="Heading1"/>
      </w:pPr>
      <w:bookmarkStart w:id="13" w:name="_Toc494529327"/>
      <w:r>
        <w:rPr>
          <w:smallCaps/>
          <w:color w:val="33006F"/>
        </w:rPr>
        <w:t>Endnotes</w:t>
      </w:r>
      <w:bookmarkEnd w:id="13"/>
    </w:p>
    <w:p w14:paraId="43E68C85" w14:textId="77777777" w:rsidR="000B4980" w:rsidRDefault="000B4980">
      <w:pPr>
        <w:spacing w:line="240" w:lineRule="auto"/>
        <w:sectPr w:rsidR="000B4980" w:rsidSect="001E52E9">
          <w:headerReference w:type="default" r:id="rId25"/>
          <w:footerReference w:type="default" r:id="rId26"/>
          <w:headerReference w:type="first" r:id="rId27"/>
          <w:pgSz w:w="12240" w:h="15840" w:code="1"/>
          <w:pgMar w:top="1440" w:right="1440" w:bottom="1440" w:left="1152" w:header="907" w:footer="576" w:gutter="0"/>
          <w:cols w:space="720"/>
          <w:titlePg/>
          <w:docGrid w:linePitch="360"/>
        </w:sectPr>
      </w:pPr>
    </w:p>
    <w:p w14:paraId="0805E654" w14:textId="77777777" w:rsidR="00356226" w:rsidRDefault="00356226" w:rsidP="00356226">
      <w:pPr>
        <w:pStyle w:val="Heading1"/>
        <w:rPr>
          <w:smallCaps/>
          <w:color w:val="33006F"/>
        </w:rPr>
      </w:pPr>
      <w:bookmarkStart w:id="14" w:name="_Toc494529328"/>
      <w:r>
        <w:rPr>
          <w:smallCaps/>
          <w:color w:val="33006F"/>
        </w:rPr>
        <w:lastRenderedPageBreak/>
        <w:t>Appendix</w:t>
      </w:r>
    </w:p>
    <w:bookmarkEnd w:id="14"/>
    <w:p w14:paraId="791A8620" w14:textId="4EA1E54B" w:rsidR="006847B5" w:rsidRDefault="006847B5">
      <w:pPr>
        <w:spacing w:line="240" w:lineRule="auto"/>
        <w:rPr>
          <w:smallCaps/>
          <w:color w:val="33006F"/>
        </w:rPr>
      </w:pPr>
    </w:p>
    <w:p w14:paraId="33E66010" w14:textId="2F02A822" w:rsidR="00595436" w:rsidRDefault="00595436">
      <w:pPr>
        <w:spacing w:line="240" w:lineRule="auto"/>
        <w:rPr>
          <w:smallCaps/>
          <w:color w:val="33006F"/>
        </w:rPr>
      </w:pPr>
    </w:p>
    <w:p w14:paraId="13F8E01E" w14:textId="34F4CCA5" w:rsidR="00595436" w:rsidRDefault="00595436">
      <w:pPr>
        <w:spacing w:line="240" w:lineRule="auto"/>
        <w:rPr>
          <w:smallCaps/>
          <w:color w:val="33006F"/>
        </w:rPr>
      </w:pPr>
    </w:p>
    <w:sectPr w:rsidR="00595436" w:rsidSect="00974D75">
      <w:headerReference w:type="default" r:id="rId28"/>
      <w:footerReference w:type="default" r:id="rId29"/>
      <w:headerReference w:type="first" r:id="rId30"/>
      <w:footerReference w:type="first" r:id="rId31"/>
      <w:pgSz w:w="12240" w:h="15840" w:code="1"/>
      <w:pgMar w:top="1440" w:right="1440" w:bottom="1440" w:left="1152" w:header="907"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7B9E9" w14:textId="77777777" w:rsidR="00460E7D" w:rsidRDefault="00460E7D" w:rsidP="00046408">
      <w:pPr>
        <w:spacing w:line="240" w:lineRule="auto"/>
      </w:pPr>
      <w:r>
        <w:separator/>
      </w:r>
    </w:p>
  </w:endnote>
  <w:endnote w:type="continuationSeparator" w:id="0">
    <w:p w14:paraId="7CDB7917" w14:textId="77777777" w:rsidR="00460E7D" w:rsidRDefault="00460E7D" w:rsidP="00046408">
      <w:pPr>
        <w:spacing w:line="240" w:lineRule="auto"/>
      </w:pPr>
      <w:r>
        <w:continuationSeparator/>
      </w:r>
    </w:p>
  </w:endnote>
  <w:endnote w:id="1">
    <w:p w14:paraId="239EFD35" w14:textId="7C23CBC2" w:rsidR="00A56AB6" w:rsidRPr="00BE6223" w:rsidRDefault="00A56AB6">
      <w:pPr>
        <w:pStyle w:val="EndnoteText"/>
        <w:rPr>
          <w:rFonts w:ascii="Open Sans" w:hAnsi="Open Sans" w:cs="Open Sans"/>
        </w:rPr>
      </w:pPr>
      <w:r w:rsidRPr="00BE6223">
        <w:rPr>
          <w:rStyle w:val="EndnoteReference"/>
          <w:rFonts w:ascii="Open Sans" w:hAnsi="Open Sans" w:cs="Open Sans"/>
        </w:rPr>
        <w:endnoteRef/>
      </w:r>
      <w:r w:rsidRPr="00BE6223">
        <w:rPr>
          <w:rFonts w:ascii="Open Sans" w:hAnsi="Open Sans" w:cs="Open Sans"/>
        </w:rPr>
        <w:t xml:space="preserve"> </w:t>
      </w:r>
      <w:r w:rsidRPr="00BE6223">
        <w:rPr>
          <w:rFonts w:ascii="Open Sans" w:hAnsi="Open Sans" w:cs="Open Sans"/>
          <w:b/>
          <w:color w:val="33006F"/>
        </w:rPr>
        <w:t xml:space="preserve">Acknowledgements: </w:t>
      </w:r>
      <w:r w:rsidRPr="00BE6223">
        <w:rPr>
          <w:rFonts w:ascii="Open Sans" w:hAnsi="Open Sans" w:cs="Open Sans"/>
        </w:rPr>
        <w:t xml:space="preserve">This case was prepared by Asher Curtis in the Autumn of 2017. </w:t>
      </w:r>
    </w:p>
  </w:endnote>
  <w:endnote w:id="2">
    <w:p w14:paraId="6DB69BF0" w14:textId="7A7BF8EF" w:rsidR="00A56AB6" w:rsidRPr="00866991" w:rsidRDefault="00A56AB6" w:rsidP="003A6FC4">
      <w:pPr>
        <w:pStyle w:val="EndnoteText"/>
        <w:jc w:val="both"/>
        <w:rPr>
          <w:rFonts w:cs="Times New Roman"/>
        </w:rPr>
      </w:pPr>
      <w:r w:rsidRPr="00866991">
        <w:rPr>
          <w:rStyle w:val="EndnoteReference"/>
          <w:rFonts w:cs="Times New Roman"/>
        </w:rPr>
        <w:endnoteRef/>
      </w:r>
      <w:r w:rsidRPr="00866991">
        <w:rPr>
          <w:rFonts w:cs="Times New Roman"/>
        </w:rPr>
        <w:t xml:space="preserve"> Recent research by </w:t>
      </w:r>
      <w:r w:rsidRPr="00866991">
        <w:rPr>
          <w:rFonts w:cs="Times New Roman"/>
        </w:rPr>
        <w:fldChar w:fldCharType="begin"/>
      </w:r>
      <w:r>
        <w:rPr>
          <w:rFonts w:cs="Times New Roman"/>
        </w:rPr>
        <w:instrText xml:space="preserve"> ADDIN EN.CITE &lt;EndNote&gt;&lt;Cite AuthorYear="1"&gt;&lt;Author&gt;Curtis&lt;/Author&gt;&lt;Year&gt;2017&lt;/Year&gt;&lt;RecNum&gt;90&lt;/RecNum&gt;&lt;DisplayText&gt;Curtis et al. (2017)&lt;/DisplayText&gt;&lt;record&gt;&lt;rec-number&gt;90&lt;/rec-number&gt;&lt;foreign-keys&gt;&lt;key app="EN" db-id="5wddtwtdltavvheer5vvrda5pftspd2zre9e" timestamp="1467405384"&gt;90&lt;/key&gt;&lt;/foreign-keys&gt;&lt;ref-type name="Journal Article"&gt;17&lt;/ref-type&gt;&lt;contributors&gt;&lt;authors&gt;&lt;author&gt;Curtis, Asher&lt;/author&gt;&lt;author&gt;McVay, Sarah E&lt;/author&gt;&lt;author&gt;Toynbee, Sara&lt;/author&gt;&lt;/authors&gt;&lt;/contributors&gt;&lt;titles&gt;&lt;title&gt;The Changing Implications of Research and Development Expenditures for Future Profitability&lt;/title&gt;&lt;secondary-title&gt;University of Washington working paper&lt;/secondary-title&gt;&lt;/titles&gt;&lt;periodical&gt;&lt;full-title&gt;University of Washington working paper&lt;/full-title&gt;&lt;/periodical&gt;&lt;dates&gt;&lt;year&gt;2017&lt;/year&gt;&lt;/dates&gt;&lt;urls&gt;&lt;/urls&gt;&lt;/record&gt;&lt;/Cite&gt;&lt;/EndNote&gt;</w:instrText>
      </w:r>
      <w:r w:rsidRPr="00866991">
        <w:rPr>
          <w:rFonts w:cs="Times New Roman"/>
        </w:rPr>
        <w:fldChar w:fldCharType="separate"/>
      </w:r>
      <w:r>
        <w:rPr>
          <w:rFonts w:cs="Times New Roman"/>
          <w:noProof/>
        </w:rPr>
        <w:t>Curtis et al. (2017)</w:t>
      </w:r>
      <w:r w:rsidRPr="00866991">
        <w:rPr>
          <w:rFonts w:cs="Times New Roman"/>
        </w:rPr>
        <w:fldChar w:fldCharType="end"/>
      </w:r>
      <w:r w:rsidRPr="00866991">
        <w:rPr>
          <w:rFonts w:cs="Times New Roman"/>
        </w:rPr>
        <w:t xml:space="preserve"> suggests that the value of R&amp;D investments are declining over ti</w:t>
      </w:r>
      <w:r>
        <w:rPr>
          <w:rFonts w:cs="Times New Roman"/>
        </w:rPr>
        <w:t>me due to increased competition, and many of the earlier evidence on the link between R&amp;D and future profitability are no longer valid. See also the Wall Street Journal article “</w:t>
      </w:r>
      <w:r w:rsidRPr="00401D34">
        <w:rPr>
          <w:rFonts w:cs="Times New Roman"/>
        </w:rPr>
        <w:t>The Economy’s Hidden Problem</w:t>
      </w:r>
      <w:r>
        <w:rPr>
          <w:rFonts w:cs="Times New Roman"/>
        </w:rPr>
        <w:t>:</w:t>
      </w:r>
      <w:r w:rsidRPr="00401D34">
        <w:rPr>
          <w:rFonts w:cs="Times New Roman"/>
        </w:rPr>
        <w:t xml:space="preserve"> We’re Out of Big Ideas</w:t>
      </w:r>
      <w:r>
        <w:rPr>
          <w:rFonts w:cs="Times New Roman"/>
        </w:rPr>
        <w:t>.”</w:t>
      </w:r>
    </w:p>
  </w:endnote>
  <w:endnote w:id="3">
    <w:p w14:paraId="6C84C7CC" w14:textId="77777777" w:rsidR="00A56AB6" w:rsidRDefault="00A56AB6" w:rsidP="003A6FC4">
      <w:pPr>
        <w:pStyle w:val="EndnoteText"/>
        <w:spacing w:after="60"/>
        <w:jc w:val="both"/>
      </w:pPr>
      <w:r>
        <w:rPr>
          <w:rStyle w:val="EndnoteReference"/>
        </w:rPr>
        <w:endnoteRef/>
      </w:r>
      <w:r>
        <w:t xml:space="preserve"> One can value a company’s total assets or its owners’ equity. We choose to value owners’ equity as the resulting estimate can be compared to observed stock prices.</w:t>
      </w:r>
    </w:p>
  </w:endnote>
  <w:endnote w:id="4">
    <w:p w14:paraId="3CF1C75C" w14:textId="77777777" w:rsidR="00A56AB6" w:rsidRDefault="00A56AB6" w:rsidP="003A6FC4">
      <w:pPr>
        <w:pStyle w:val="EndnoteText"/>
        <w:jc w:val="both"/>
      </w:pPr>
      <w:r>
        <w:rPr>
          <w:rStyle w:val="EndnoteReference"/>
        </w:rPr>
        <w:endnoteRef/>
      </w:r>
      <w:r>
        <w:t xml:space="preserve"> </w:t>
      </w:r>
      <w:r w:rsidRPr="00EA387E">
        <w:t>Keep in mind that, holding underlying assumptions constant, all valuation models should yield the same result over a long horizon.</w:t>
      </w:r>
    </w:p>
  </w:endnote>
  <w:endnote w:id="5">
    <w:p w14:paraId="2279DDC7" w14:textId="77777777" w:rsidR="00A56AB6" w:rsidRDefault="00A56AB6" w:rsidP="003A6FC4">
      <w:pPr>
        <w:pStyle w:val="EndnoteText"/>
        <w:ind w:right="-72"/>
        <w:jc w:val="both"/>
      </w:pPr>
      <w:r>
        <w:rPr>
          <w:rStyle w:val="EndnoteReference"/>
        </w:rPr>
        <w:endnoteRef/>
      </w:r>
      <w:r>
        <w:t xml:space="preserve"> For example, see </w:t>
      </w:r>
      <w:hyperlink r:id="rId1" w:history="1">
        <w:r w:rsidRPr="00094154">
          <w:rPr>
            <w:rStyle w:val="Hyperlink"/>
          </w:rPr>
          <w:t>http://finance.yahoo.com</w:t>
        </w:r>
      </w:hyperlink>
      <w:r>
        <w:t xml:space="preserve">.  One exception was the Internet sector, especially before April 2000, where revenues and non-financial metrics such as ‘website hits’ arguably received more attention from analysts than did earnings, likely because earnings were negative.  </w:t>
      </w:r>
    </w:p>
  </w:endnote>
  <w:endnote w:id="6">
    <w:p w14:paraId="383DEE77" w14:textId="77777777" w:rsidR="00A56AB6" w:rsidRDefault="00A56AB6" w:rsidP="003A6FC4">
      <w:pPr>
        <w:pStyle w:val="EndnoteText"/>
        <w:jc w:val="both"/>
      </w:pPr>
      <w:r>
        <w:rPr>
          <w:rStyle w:val="EndnoteReference"/>
        </w:rPr>
        <w:endnoteRef/>
      </w:r>
      <w:r>
        <w:t xml:space="preserve"> The British government has issued debt securities that look like this.  They are called perpetuities and, while they provide fixed payments into perpetuity, the government is not required to repay the principal.</w:t>
      </w:r>
    </w:p>
  </w:endnote>
  <w:endnote w:id="7">
    <w:p w14:paraId="3AF21689" w14:textId="77777777" w:rsidR="00A56AB6" w:rsidRDefault="00A56AB6" w:rsidP="003A6FC4">
      <w:pPr>
        <w:tabs>
          <w:tab w:val="center" w:pos="8640"/>
        </w:tabs>
        <w:jc w:val="both"/>
        <w:rPr>
          <w:rFonts w:ascii="Times" w:hAnsi="Times"/>
        </w:rPr>
      </w:pPr>
      <w:r>
        <w:rPr>
          <w:rStyle w:val="EndnoteReference"/>
        </w:rPr>
        <w:endnoteRef/>
      </w:r>
      <w:r>
        <w:t xml:space="preserve"> </w:t>
      </w:r>
      <w:r>
        <w:rPr>
          <w:sz w:val="20"/>
        </w:rPr>
        <w:t>Alternatively, the price per share (</w:t>
      </w:r>
      <w:r>
        <w:rPr>
          <w:i/>
          <w:sz w:val="20"/>
        </w:rPr>
        <w:t>P</w:t>
      </w:r>
      <w:r>
        <w:rPr>
          <w:sz w:val="20"/>
        </w:rPr>
        <w:t>) can be modeled as a function of the book value of equity per share (</w:t>
      </w:r>
      <w:r>
        <w:rPr>
          <w:i/>
          <w:sz w:val="20"/>
        </w:rPr>
        <w:t>BVPS</w:t>
      </w:r>
      <w:r>
        <w:rPr>
          <w:sz w:val="20"/>
        </w:rPr>
        <w:t>) and earnings per share (</w:t>
      </w:r>
      <w:r>
        <w:rPr>
          <w:i/>
          <w:sz w:val="20"/>
        </w:rPr>
        <w:t>EPS</w:t>
      </w:r>
      <w:r>
        <w:rPr>
          <w:sz w:val="20"/>
        </w:rPr>
        <w:t xml:space="preserve">) as follows: </w:t>
      </w:r>
      <w:r>
        <w:rPr>
          <w:position w:val="-30"/>
        </w:rPr>
        <w:object w:dxaOrig="3920" w:dyaOrig="700" w14:anchorId="2144EEAB">
          <v:shape id="_x0000_i1031" type="#_x0000_t75" style="width:196.45pt;height:35.3pt" o:ole="" fillcolor="window">
            <v:imagedata r:id="rId2" o:title=""/>
          </v:shape>
          <o:OLEObject Type="Embed" ProgID="Equation.3" ShapeID="_x0000_i1031" DrawAspect="Content" ObjectID="_1569493257" r:id="rId3"/>
        </w:object>
      </w:r>
      <w:r>
        <w:t>.</w:t>
      </w:r>
    </w:p>
    <w:p w14:paraId="74574E4C" w14:textId="77777777" w:rsidR="00A56AB6" w:rsidRDefault="00A56AB6" w:rsidP="003A6FC4">
      <w:pPr>
        <w:pStyle w:val="EndnoteText"/>
        <w:jc w:val="both"/>
      </w:pPr>
      <w:r>
        <w:t xml:space="preserve">This per share version of the model is described in the Appendix. We tend to use per share versions of the model to estimate the value of a </w:t>
      </w:r>
      <w:proofErr w:type="gramStart"/>
      <w:r>
        <w:t>real world</w:t>
      </w:r>
      <w:proofErr w:type="gramEnd"/>
      <w:r>
        <w:t xml:space="preserve"> companies because most analyst data is provided on a per share basis.</w:t>
      </w:r>
    </w:p>
  </w:endnote>
  <w:endnote w:id="8">
    <w:p w14:paraId="5463B338" w14:textId="77777777" w:rsidR="00A56AB6" w:rsidRDefault="00A56AB6" w:rsidP="003A6FC4">
      <w:pPr>
        <w:pStyle w:val="EndnoteText"/>
        <w:spacing w:after="60"/>
        <w:jc w:val="both"/>
      </w:pPr>
      <w:r>
        <w:rPr>
          <w:rStyle w:val="EndnoteReference"/>
        </w:rPr>
        <w:endnoteRef/>
      </w:r>
      <w:r>
        <w:t xml:space="preserve"> It is also referred to as residual income.  Stern Stewart, a large international consulting firm, has introduced and trademarked its custom version of residual earnings called economic value added or EVA</w:t>
      </w:r>
      <w:r>
        <w:rPr>
          <w:vertAlign w:val="superscript"/>
        </w:rPr>
        <w:t>®</w:t>
      </w:r>
      <w:r>
        <w:t xml:space="preserve">.  See </w:t>
      </w:r>
      <w:hyperlink r:id="rId4" w:history="1">
        <w:r>
          <w:rPr>
            <w:rStyle w:val="Hyperlink"/>
          </w:rPr>
          <w:t>www.sternstewart.com</w:t>
        </w:r>
      </w:hyperlink>
      <w:r>
        <w:t xml:space="preserve"> for details.</w:t>
      </w:r>
    </w:p>
  </w:endnote>
  <w:endnote w:id="9">
    <w:p w14:paraId="0FDF3DB1" w14:textId="77777777" w:rsidR="00A56AB6" w:rsidRDefault="00A56AB6" w:rsidP="003A6FC4">
      <w:pPr>
        <w:pStyle w:val="EndnoteText"/>
        <w:jc w:val="both"/>
      </w:pPr>
      <w:r>
        <w:rPr>
          <w:rStyle w:val="EndnoteReference"/>
        </w:rPr>
        <w:endnoteRef/>
      </w:r>
      <w:r>
        <w:t xml:space="preserve"> We discount at (1+r) because we discount each individual flow. Perpetuity models such as those illustrated in the perpetuity examples discount by a constant r because each flow is assumed to be equal and continue in perpetuity.</w:t>
      </w:r>
    </w:p>
  </w:endnote>
  <w:endnote w:id="10">
    <w:p w14:paraId="024E7AAF" w14:textId="228D3755" w:rsidR="00A56AB6" w:rsidRDefault="00A56AB6" w:rsidP="003A6FC4">
      <w:pPr>
        <w:pStyle w:val="EndnoteText"/>
        <w:jc w:val="both"/>
      </w:pPr>
      <w:r>
        <w:rPr>
          <w:rStyle w:val="EndnoteReference"/>
        </w:rPr>
        <w:endnoteRef/>
      </w:r>
      <w:r>
        <w:t xml:space="preserve"> Technically, this is true when the book equals the market value of the existing assets “in exchange” which is often more than the book</w:t>
      </w:r>
      <w:r w:rsidR="00767941">
        <w:t>-</w:t>
      </w:r>
      <w:r>
        <w:t>value given historical cost (in a fire-sale this could be less than their book</w:t>
      </w:r>
      <w:r w:rsidR="00767941">
        <w:t>-</w:t>
      </w:r>
      <w:r>
        <w:t xml:space="preserve">value). </w:t>
      </w:r>
    </w:p>
  </w:endnote>
  <w:endnote w:id="11">
    <w:p w14:paraId="17C534B6" w14:textId="77777777" w:rsidR="00A56AB6" w:rsidRDefault="00A56AB6" w:rsidP="003A6FC4">
      <w:pPr>
        <w:pStyle w:val="EndnoteText"/>
        <w:spacing w:after="60"/>
        <w:jc w:val="both"/>
      </w:pPr>
      <w:r>
        <w:rPr>
          <w:rStyle w:val="EndnoteReference"/>
        </w:rPr>
        <w:endnoteRef/>
      </w:r>
      <w:r>
        <w:t xml:space="preserve"> In practice, analysts generally forecast earnings per share (EPS).  As indicated above, our model can be written in per share terms.  This per share version is discussed in Appendix 1.  Later, we will practice using both versions.</w:t>
      </w:r>
    </w:p>
  </w:endnote>
  <w:endnote w:id="12">
    <w:p w14:paraId="0383F93F" w14:textId="77777777" w:rsidR="00A56AB6" w:rsidRDefault="00A56AB6" w:rsidP="003A6FC4">
      <w:pPr>
        <w:pStyle w:val="EndnoteText"/>
        <w:jc w:val="both"/>
      </w:pPr>
      <w:r>
        <w:rPr>
          <w:rStyle w:val="EndnoteReference"/>
        </w:rPr>
        <w:endnoteRef/>
      </w:r>
      <w:r>
        <w:t xml:space="preserve"> Some variants of the model assume that company-specific long-term earnings growth reverts to the industry mean after a finite period.  When this is the case, the firm’s ROE is often predicted to gradually revert to the industry average. This is sometimes referred to as a ‘fade’ model.</w:t>
      </w:r>
    </w:p>
  </w:endnote>
  <w:endnote w:id="13">
    <w:p w14:paraId="78FDA92B" w14:textId="1CB3C607" w:rsidR="00A56AB6" w:rsidRDefault="00A56AB6" w:rsidP="003A6FC4">
      <w:pPr>
        <w:pStyle w:val="EndnoteText"/>
        <w:jc w:val="both"/>
      </w:pPr>
      <w:r>
        <w:rPr>
          <w:rStyle w:val="EndnoteReference"/>
        </w:rPr>
        <w:endnoteRef/>
      </w:r>
      <w:r>
        <w:t xml:space="preserve"> We could model the cost of equity capital as a function of the current </w:t>
      </w:r>
      <w:r w:rsidR="00767941">
        <w:t>risk-free</w:t>
      </w:r>
      <w:r>
        <w:t xml:space="preserve"> rates (</w:t>
      </w:r>
      <w:proofErr w:type="spellStart"/>
      <w:r>
        <w:t>R</w:t>
      </w:r>
      <w:r>
        <w:rPr>
          <w:vertAlign w:val="subscript"/>
        </w:rPr>
        <w:t>f</w:t>
      </w:r>
      <w:proofErr w:type="spellEnd"/>
      <w:r>
        <w:t>), the riskiness of the firm’s stock (BETA), and the normal premium for accepting risk (which we assume is approximately 4%).  The relation is r</w:t>
      </w:r>
      <w:r>
        <w:rPr>
          <w:vertAlign w:val="subscript"/>
        </w:rPr>
        <w:t>e</w:t>
      </w:r>
      <w:r>
        <w:t xml:space="preserve"> = </w:t>
      </w:r>
      <w:proofErr w:type="spellStart"/>
      <w:r>
        <w:t>R</w:t>
      </w:r>
      <w:r>
        <w:rPr>
          <w:vertAlign w:val="subscript"/>
        </w:rPr>
        <w:t>f</w:t>
      </w:r>
      <w:proofErr w:type="spellEnd"/>
      <w:r>
        <w:t xml:space="preserve"> + BETA </w:t>
      </w:r>
      <w:r>
        <w:rPr>
          <w:rFonts w:ascii="Symbol" w:hAnsi="Symbol"/>
          <w:sz w:val="18"/>
        </w:rPr>
        <w:t></w:t>
      </w:r>
      <w:r>
        <w:t xml:space="preserve"> Risk Premium.  This is the CAPM, which you should recall from your finance courses.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embedRegular r:id="rId1" w:fontKey="{52A5495C-041C-4D6E-B28D-4BA083666C3F}"/>
    <w:embedBold r:id="rId2" w:fontKey="{9C2B4CF5-1629-4BD4-827A-8F3298EC4B0F}"/>
    <w:embedItalic r:id="rId3" w:fontKey="{D1D6A5F0-90F3-425C-809C-96CA38676FD5}"/>
    <w:embedBoldItalic r:id="rId4" w:fontKey="{BAEAD4BE-6E47-4006-B406-D2DDBAD96850}"/>
  </w:font>
  <w:font w:name="Tahoma">
    <w:panose1 w:val="020B0604030504040204"/>
    <w:charset w:val="00"/>
    <w:family w:val="swiss"/>
    <w:pitch w:val="variable"/>
    <w:sig w:usb0="E1002EFF" w:usb1="C000605B" w:usb2="00000029" w:usb3="00000000" w:csb0="000101FF" w:csb1="00000000"/>
    <w:embedRegular r:id="rId5" w:fontKey="{DB589144-681C-4353-949C-25EEAA9ED051}"/>
  </w:font>
  <w:font w:name="Open Sans">
    <w:panose1 w:val="020B0606030504020204"/>
    <w:charset w:val="00"/>
    <w:family w:val="swiss"/>
    <w:pitch w:val="variable"/>
    <w:sig w:usb0="E00002EF" w:usb1="4000205B" w:usb2="00000028" w:usb3="00000000" w:csb0="0000019F" w:csb1="00000000"/>
    <w:embedRegular r:id="rId6" w:fontKey="{128591E8-0774-4948-93D3-3B963E869E45}"/>
    <w:embedBold r:id="rId7" w:fontKey="{A5A8E36B-39E2-42EA-A48B-252F18305FE4}"/>
    <w:embedItalic r:id="rId8" w:fontKey="{EE1BBB33-1CD5-4004-9DB6-EBA251C57F4A}"/>
    <w:embedBoldItalic r:id="rId9" w:fontKey="{FA320550-9F1E-41BD-B8B8-4AFBC73EE2CB}"/>
  </w:font>
  <w:font w:name="Cambria Math">
    <w:panose1 w:val="02040503050406030204"/>
    <w:charset w:val="00"/>
    <w:family w:val="roman"/>
    <w:pitch w:val="variable"/>
    <w:sig w:usb0="E00002FF" w:usb1="420024FF" w:usb2="00000000" w:usb3="00000000" w:csb0="0000019F" w:csb1="00000000"/>
    <w:embedItalic r:id="rId10" w:fontKey="{4CC8A28A-5DB8-4C3E-A266-93135A8C2371}"/>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7616235"/>
      <w:docPartObj>
        <w:docPartGallery w:val="Page Numbers (Bottom of Page)"/>
        <w:docPartUnique/>
      </w:docPartObj>
    </w:sdtPr>
    <w:sdtEndPr>
      <w:rPr>
        <w:noProof/>
      </w:rPr>
    </w:sdtEndPr>
    <w:sdtContent>
      <w:p w14:paraId="24DD92CA" w14:textId="5B7E9FB4" w:rsidR="00A56AB6" w:rsidRDefault="00A56AB6">
        <w:pPr>
          <w:pStyle w:val="Footer"/>
          <w:jc w:val="right"/>
        </w:pPr>
        <w:r>
          <w:fldChar w:fldCharType="begin"/>
        </w:r>
        <w:r>
          <w:instrText xml:space="preserve"> PAGE   \* MERGEFORMAT </w:instrText>
        </w:r>
        <w:r>
          <w:fldChar w:fldCharType="separate"/>
        </w:r>
        <w:r w:rsidR="00223D48">
          <w:rPr>
            <w:noProof/>
          </w:rPr>
          <w:t>13</w:t>
        </w:r>
        <w:r>
          <w:rPr>
            <w:noProof/>
          </w:rPr>
          <w:fldChar w:fldCharType="end"/>
        </w:r>
      </w:p>
    </w:sdtContent>
  </w:sdt>
  <w:p w14:paraId="535E16AC" w14:textId="77777777" w:rsidR="00A56AB6" w:rsidRDefault="00A56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294606"/>
      <w:docPartObj>
        <w:docPartGallery w:val="Page Numbers (Bottom of Page)"/>
        <w:docPartUnique/>
      </w:docPartObj>
    </w:sdtPr>
    <w:sdtEndPr>
      <w:rPr>
        <w:noProof/>
      </w:rPr>
    </w:sdtEndPr>
    <w:sdtContent>
      <w:p w14:paraId="5F500E5D" w14:textId="11413760" w:rsidR="00A56AB6" w:rsidRDefault="00A56AB6">
        <w:pPr>
          <w:pStyle w:val="Footer"/>
          <w:jc w:val="right"/>
        </w:pPr>
        <w:r>
          <w:fldChar w:fldCharType="begin"/>
        </w:r>
        <w:r>
          <w:instrText xml:space="preserve"> PAGE   \* MERGEFORMAT </w:instrText>
        </w:r>
        <w:r>
          <w:fldChar w:fldCharType="separate"/>
        </w:r>
        <w:r w:rsidR="00223D48">
          <w:rPr>
            <w:noProof/>
          </w:rPr>
          <w:t>1</w:t>
        </w:r>
        <w:r>
          <w:rPr>
            <w:noProof/>
          </w:rPr>
          <w:fldChar w:fldCharType="end"/>
        </w:r>
      </w:p>
    </w:sdtContent>
  </w:sdt>
  <w:p w14:paraId="1D43E8EB" w14:textId="77777777" w:rsidR="00A56AB6" w:rsidRDefault="00A56A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2F205" w14:textId="77777777" w:rsidR="00A56AB6" w:rsidRDefault="00A56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951F04" w14:textId="77777777" w:rsidR="00460E7D" w:rsidRDefault="00460E7D" w:rsidP="00046408">
      <w:pPr>
        <w:spacing w:line="240" w:lineRule="auto"/>
      </w:pPr>
      <w:r>
        <w:separator/>
      </w:r>
    </w:p>
  </w:footnote>
  <w:footnote w:type="continuationSeparator" w:id="0">
    <w:p w14:paraId="5A7CB6EA" w14:textId="77777777" w:rsidR="00460E7D" w:rsidRDefault="00460E7D"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2BED9" w14:textId="2D2CF44D" w:rsidR="00A56AB6" w:rsidRPr="001F60E1" w:rsidRDefault="00A56AB6" w:rsidP="001E52E9">
    <w:pPr>
      <w:jc w:val="right"/>
      <w:rPr>
        <w:color w:val="33006F"/>
      </w:rPr>
    </w:pPr>
    <w:proofErr w:type="spellStart"/>
    <w:r>
      <w:rPr>
        <w:color w:val="33006F"/>
      </w:rPr>
      <w:t>MPAcc</w:t>
    </w:r>
    <w:proofErr w:type="spellEnd"/>
    <w:r w:rsidRPr="001F60E1">
      <w:rPr>
        <w:color w:val="33006F"/>
      </w:rPr>
      <w:t xml:space="preserve"> Case</w:t>
    </w:r>
    <w:r>
      <w:rPr>
        <w:color w:val="33006F"/>
      </w:rPr>
      <w:t xml:space="preserve"> #17-04</w:t>
    </w:r>
  </w:p>
  <w:p w14:paraId="20705636" w14:textId="74944E0D" w:rsidR="00A56AB6" w:rsidRDefault="00A56AB6" w:rsidP="001E52E9">
    <w:pPr>
      <w:jc w:val="right"/>
      <w:rPr>
        <w:color w:val="33006F"/>
      </w:rPr>
    </w:pPr>
    <w:r>
      <w:rPr>
        <w:color w:val="33006F"/>
      </w:rPr>
      <w:t>Auditing Growth Firms</w:t>
    </w:r>
  </w:p>
  <w:p w14:paraId="32CD9410" w14:textId="761DA7C5" w:rsidR="00A56AB6" w:rsidRDefault="00A56AB6" w:rsidP="001E52E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5B8B9" w14:textId="618F111B" w:rsidR="00A56AB6" w:rsidRDefault="00A56AB6" w:rsidP="00793977">
    <w:pPr>
      <w:pStyle w:val="FBLogo"/>
      <w:spacing w:after="240"/>
      <w:jc w:val="left"/>
    </w:pPr>
    <w:r>
      <w:rPr>
        <w:noProof/>
      </w:rPr>
      <w:drawing>
        <wp:inline distT="0" distB="0" distL="0" distR="0" wp14:anchorId="48901A24" wp14:editId="5B47AF0B">
          <wp:extent cx="2569464" cy="914400"/>
          <wp:effectExtent l="0" t="0" r="2540" b="0"/>
          <wp:docPr id="3" name="Picture 3" descr="C:\Users\abcurtis\AppData\Local\Temp\wz884a\Foster_logo_MPAcc_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urtis\AppData\Local\Temp\wz884a\Foster_logo_MPAcc_UW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9464"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3C87B" w14:textId="77777777" w:rsidR="00A56AB6" w:rsidRDefault="00A56AB6" w:rsidP="006F33FC">
    <w:pPr>
      <w:pStyle w:val="FBLogo"/>
      <w:spacing w:after="120"/>
    </w:pPr>
  </w:p>
  <w:p w14:paraId="15EEFA0B" w14:textId="1C800B30" w:rsidR="00A56AB6" w:rsidRPr="001F60E1" w:rsidRDefault="00A56AB6" w:rsidP="001F60E1">
    <w:pPr>
      <w:jc w:val="right"/>
      <w:rPr>
        <w:color w:val="33006F"/>
      </w:rPr>
    </w:pPr>
    <w:r>
      <w:rPr>
        <w:color w:val="33006F"/>
      </w:rPr>
      <w:t xml:space="preserve">Appendix to </w:t>
    </w:r>
    <w:proofErr w:type="spellStart"/>
    <w:r>
      <w:rPr>
        <w:color w:val="33006F"/>
      </w:rPr>
      <w:t>MPAcc</w:t>
    </w:r>
    <w:proofErr w:type="spellEnd"/>
    <w:r w:rsidRPr="001F60E1">
      <w:rPr>
        <w:color w:val="33006F"/>
      </w:rPr>
      <w:t xml:space="preserve"> Case</w:t>
    </w:r>
    <w:r>
      <w:rPr>
        <w:color w:val="33006F"/>
      </w:rPr>
      <w:t xml:space="preserve"> #17-04</w:t>
    </w:r>
  </w:p>
  <w:p w14:paraId="0BFB2615" w14:textId="77C8AC30" w:rsidR="00A56AB6" w:rsidRDefault="00A56AB6" w:rsidP="001F60E1">
    <w:pPr>
      <w:jc w:val="right"/>
      <w:rPr>
        <w:color w:val="33006F"/>
      </w:rPr>
    </w:pPr>
    <w:r>
      <w:rPr>
        <w:color w:val="33006F"/>
      </w:rPr>
      <w:t>Auditing Growth Firms</w:t>
    </w:r>
  </w:p>
  <w:p w14:paraId="3CF09BF1" w14:textId="77777777" w:rsidR="00A56AB6" w:rsidRPr="001F60E1" w:rsidRDefault="00A56AB6" w:rsidP="001F60E1">
    <w:pPr>
      <w:jc w:val="right"/>
      <w:rPr>
        <w:color w:val="33006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38BF1" w14:textId="77777777" w:rsidR="00A56AB6" w:rsidRPr="001F60E1" w:rsidRDefault="00A56AB6" w:rsidP="000B4980">
    <w:pPr>
      <w:jc w:val="right"/>
      <w:rPr>
        <w:color w:val="33006F"/>
      </w:rPr>
    </w:pPr>
    <w:r>
      <w:rPr>
        <w:color w:val="33006F"/>
      </w:rPr>
      <w:t xml:space="preserve">Questions to Accompany </w:t>
    </w:r>
    <w:proofErr w:type="spellStart"/>
    <w:r>
      <w:rPr>
        <w:color w:val="33006F"/>
      </w:rPr>
      <w:t>MPAcc</w:t>
    </w:r>
    <w:proofErr w:type="spellEnd"/>
    <w:r w:rsidRPr="001F60E1">
      <w:rPr>
        <w:color w:val="33006F"/>
      </w:rPr>
      <w:t xml:space="preserve"> Case</w:t>
    </w:r>
    <w:r>
      <w:rPr>
        <w:color w:val="33006F"/>
      </w:rPr>
      <w:t xml:space="preserve"> #17-01</w:t>
    </w:r>
  </w:p>
  <w:p w14:paraId="590C72DE" w14:textId="77777777" w:rsidR="00A56AB6" w:rsidRDefault="00A56AB6" w:rsidP="000B4980">
    <w:pPr>
      <w:jc w:val="right"/>
      <w:rPr>
        <w:color w:val="33006F"/>
      </w:rPr>
    </w:pPr>
    <w:r>
      <w:rPr>
        <w:color w:val="33006F"/>
      </w:rPr>
      <w:t>Economics of Audit</w:t>
    </w:r>
  </w:p>
  <w:p w14:paraId="4D9F9214" w14:textId="77777777" w:rsidR="00A56AB6" w:rsidRPr="000B4980" w:rsidRDefault="00A56AB6" w:rsidP="000B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C01BC"/>
    <w:multiLevelType w:val="hybridMultilevel"/>
    <w:tmpl w:val="741CD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84A9C"/>
    <w:multiLevelType w:val="hybridMultilevel"/>
    <w:tmpl w:val="C89EE8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80E42"/>
    <w:multiLevelType w:val="hybridMultilevel"/>
    <w:tmpl w:val="544C5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A3000"/>
    <w:multiLevelType w:val="hybridMultilevel"/>
    <w:tmpl w:val="53B6D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D563D"/>
    <w:multiLevelType w:val="hybridMultilevel"/>
    <w:tmpl w:val="455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B0A20"/>
    <w:multiLevelType w:val="hybridMultilevel"/>
    <w:tmpl w:val="26E45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264F6"/>
    <w:multiLevelType w:val="multilevel"/>
    <w:tmpl w:val="106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A2D2D"/>
    <w:multiLevelType w:val="hybridMultilevel"/>
    <w:tmpl w:val="8ABA7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B05D2"/>
    <w:multiLevelType w:val="hybridMultilevel"/>
    <w:tmpl w:val="DCEE196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78060D"/>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91951"/>
    <w:multiLevelType w:val="hybridMultilevel"/>
    <w:tmpl w:val="9ADA1C8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43123CC4"/>
    <w:multiLevelType w:val="hybridMultilevel"/>
    <w:tmpl w:val="BC8A7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8F0E2E"/>
    <w:multiLevelType w:val="hybridMultilevel"/>
    <w:tmpl w:val="E5BAB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37B33"/>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C62FA1"/>
    <w:multiLevelType w:val="hybridMultilevel"/>
    <w:tmpl w:val="DC6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0206AF"/>
    <w:multiLevelType w:val="hybridMultilevel"/>
    <w:tmpl w:val="4EE0801A"/>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4"/>
  </w:num>
  <w:num w:numId="3">
    <w:abstractNumId w:val="15"/>
  </w:num>
  <w:num w:numId="4">
    <w:abstractNumId w:val="20"/>
  </w:num>
  <w:num w:numId="5">
    <w:abstractNumId w:val="28"/>
  </w:num>
  <w:num w:numId="6">
    <w:abstractNumId w:val="16"/>
  </w:num>
  <w:num w:numId="7">
    <w:abstractNumId w:val="18"/>
  </w:num>
  <w:num w:numId="8">
    <w:abstractNumId w:val="3"/>
  </w:num>
  <w:num w:numId="9">
    <w:abstractNumId w:val="23"/>
  </w:num>
  <w:num w:numId="10">
    <w:abstractNumId w:val="22"/>
  </w:num>
  <w:num w:numId="11">
    <w:abstractNumId w:val="25"/>
  </w:num>
  <w:num w:numId="12">
    <w:abstractNumId w:val="2"/>
  </w:num>
  <w:num w:numId="13">
    <w:abstractNumId w:val="27"/>
  </w:num>
  <w:num w:numId="14">
    <w:abstractNumId w:val="12"/>
  </w:num>
  <w:num w:numId="15">
    <w:abstractNumId w:val="10"/>
  </w:num>
  <w:num w:numId="16">
    <w:abstractNumId w:val="1"/>
  </w:num>
  <w:num w:numId="17">
    <w:abstractNumId w:val="21"/>
  </w:num>
  <w:num w:numId="18">
    <w:abstractNumId w:val="0"/>
  </w:num>
  <w:num w:numId="19">
    <w:abstractNumId w:val="19"/>
  </w:num>
  <w:num w:numId="20">
    <w:abstractNumId w:val="13"/>
  </w:num>
  <w:num w:numId="21">
    <w:abstractNumId w:val="11"/>
  </w:num>
  <w:num w:numId="22">
    <w:abstractNumId w:val="17"/>
  </w:num>
  <w:num w:numId="23">
    <w:abstractNumId w:val="6"/>
  </w:num>
  <w:num w:numId="24">
    <w:abstractNumId w:val="5"/>
  </w:num>
  <w:num w:numId="25">
    <w:abstractNumId w:val="4"/>
  </w:num>
  <w:num w:numId="26">
    <w:abstractNumId w:val="14"/>
  </w:num>
  <w:num w:numId="27">
    <w:abstractNumId w:val="7"/>
  </w:num>
  <w:num w:numId="28">
    <w:abstractNumId w:val="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19"/>
  <w:embedTrueTypeFonts/>
  <w:proofState w:spelling="clean" w:grammar="clean"/>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86&lt;/item&gt;&lt;item&gt;90&lt;/item&gt;&lt;item&gt;353&lt;/item&gt;&lt;item&gt;361&lt;/item&gt;&lt;item&gt;362&lt;/item&gt;&lt;item&gt;383&lt;/item&gt;&lt;/record-ids&gt;&lt;/item&gt;&lt;/Libraries&gt;"/>
  </w:docVars>
  <w:rsids>
    <w:rsidRoot w:val="00875B0E"/>
    <w:rsid w:val="00006A5D"/>
    <w:rsid w:val="00006CC9"/>
    <w:rsid w:val="000203A6"/>
    <w:rsid w:val="000238EF"/>
    <w:rsid w:val="00025E80"/>
    <w:rsid w:val="000268AA"/>
    <w:rsid w:val="00034606"/>
    <w:rsid w:val="00035D8A"/>
    <w:rsid w:val="0004527D"/>
    <w:rsid w:val="00046408"/>
    <w:rsid w:val="00051203"/>
    <w:rsid w:val="000515EB"/>
    <w:rsid w:val="00053D04"/>
    <w:rsid w:val="00085F5F"/>
    <w:rsid w:val="000954EA"/>
    <w:rsid w:val="000A288E"/>
    <w:rsid w:val="000A34F1"/>
    <w:rsid w:val="000B4980"/>
    <w:rsid w:val="000B57C4"/>
    <w:rsid w:val="000C7BC8"/>
    <w:rsid w:val="000E2EAB"/>
    <w:rsid w:val="000E4A06"/>
    <w:rsid w:val="000E6B4B"/>
    <w:rsid w:val="000F0B98"/>
    <w:rsid w:val="000F1BCA"/>
    <w:rsid w:val="000F3F77"/>
    <w:rsid w:val="001002F0"/>
    <w:rsid w:val="00102341"/>
    <w:rsid w:val="00111300"/>
    <w:rsid w:val="001128E6"/>
    <w:rsid w:val="001205ED"/>
    <w:rsid w:val="001251A8"/>
    <w:rsid w:val="001414A1"/>
    <w:rsid w:val="00141981"/>
    <w:rsid w:val="00142F8B"/>
    <w:rsid w:val="0015134A"/>
    <w:rsid w:val="00151847"/>
    <w:rsid w:val="00153F15"/>
    <w:rsid w:val="0015600E"/>
    <w:rsid w:val="00171D04"/>
    <w:rsid w:val="0017534F"/>
    <w:rsid w:val="00176AA8"/>
    <w:rsid w:val="00177FDE"/>
    <w:rsid w:val="00180E94"/>
    <w:rsid w:val="00182B43"/>
    <w:rsid w:val="0019347E"/>
    <w:rsid w:val="001A6E2C"/>
    <w:rsid w:val="001B6291"/>
    <w:rsid w:val="001C364B"/>
    <w:rsid w:val="001C4DEA"/>
    <w:rsid w:val="001C60B6"/>
    <w:rsid w:val="001E2250"/>
    <w:rsid w:val="001E415E"/>
    <w:rsid w:val="001E52E9"/>
    <w:rsid w:val="001E63CB"/>
    <w:rsid w:val="001E72E7"/>
    <w:rsid w:val="001E7F69"/>
    <w:rsid w:val="001F5FB0"/>
    <w:rsid w:val="001F60E1"/>
    <w:rsid w:val="001F6130"/>
    <w:rsid w:val="00201681"/>
    <w:rsid w:val="00202439"/>
    <w:rsid w:val="00215292"/>
    <w:rsid w:val="0022050B"/>
    <w:rsid w:val="00223B86"/>
    <w:rsid w:val="00223D48"/>
    <w:rsid w:val="00225F8D"/>
    <w:rsid w:val="00226EDA"/>
    <w:rsid w:val="002338BC"/>
    <w:rsid w:val="00234F29"/>
    <w:rsid w:val="00242057"/>
    <w:rsid w:val="002615A5"/>
    <w:rsid w:val="00264CC0"/>
    <w:rsid w:val="002706F3"/>
    <w:rsid w:val="00276C9E"/>
    <w:rsid w:val="002773AB"/>
    <w:rsid w:val="00283AF3"/>
    <w:rsid w:val="00285E36"/>
    <w:rsid w:val="0029346F"/>
    <w:rsid w:val="00293B76"/>
    <w:rsid w:val="002A0187"/>
    <w:rsid w:val="002A23D0"/>
    <w:rsid w:val="002B3287"/>
    <w:rsid w:val="002B46F5"/>
    <w:rsid w:val="002B49E8"/>
    <w:rsid w:val="002C0059"/>
    <w:rsid w:val="002C22C5"/>
    <w:rsid w:val="002C4022"/>
    <w:rsid w:val="002C5B76"/>
    <w:rsid w:val="002C739C"/>
    <w:rsid w:val="002D0931"/>
    <w:rsid w:val="002D169F"/>
    <w:rsid w:val="002D7825"/>
    <w:rsid w:val="002E4AEB"/>
    <w:rsid w:val="002E4AF3"/>
    <w:rsid w:val="002E5097"/>
    <w:rsid w:val="002F07E0"/>
    <w:rsid w:val="002F0819"/>
    <w:rsid w:val="002F6B23"/>
    <w:rsid w:val="00301C68"/>
    <w:rsid w:val="00313936"/>
    <w:rsid w:val="0031436D"/>
    <w:rsid w:val="003224F7"/>
    <w:rsid w:val="00327D1D"/>
    <w:rsid w:val="00332130"/>
    <w:rsid w:val="00333770"/>
    <w:rsid w:val="003349B1"/>
    <w:rsid w:val="00335B66"/>
    <w:rsid w:val="003406C3"/>
    <w:rsid w:val="00343722"/>
    <w:rsid w:val="00352D83"/>
    <w:rsid w:val="0035481B"/>
    <w:rsid w:val="00356226"/>
    <w:rsid w:val="00362597"/>
    <w:rsid w:val="00387655"/>
    <w:rsid w:val="003931FB"/>
    <w:rsid w:val="003932D1"/>
    <w:rsid w:val="00397077"/>
    <w:rsid w:val="003A2565"/>
    <w:rsid w:val="003A6FC4"/>
    <w:rsid w:val="003A7F49"/>
    <w:rsid w:val="003B13BF"/>
    <w:rsid w:val="003B27F0"/>
    <w:rsid w:val="003C20A0"/>
    <w:rsid w:val="003C4831"/>
    <w:rsid w:val="003C55E8"/>
    <w:rsid w:val="003C6A3D"/>
    <w:rsid w:val="003D11EC"/>
    <w:rsid w:val="003E249A"/>
    <w:rsid w:val="003E2B1F"/>
    <w:rsid w:val="003E3360"/>
    <w:rsid w:val="003F45E7"/>
    <w:rsid w:val="00401D34"/>
    <w:rsid w:val="004033F1"/>
    <w:rsid w:val="00403795"/>
    <w:rsid w:val="0041279F"/>
    <w:rsid w:val="00414FE0"/>
    <w:rsid w:val="004162AB"/>
    <w:rsid w:val="00420D11"/>
    <w:rsid w:val="00432CA9"/>
    <w:rsid w:val="00437BBD"/>
    <w:rsid w:val="004411A7"/>
    <w:rsid w:val="00447B3A"/>
    <w:rsid w:val="0045154C"/>
    <w:rsid w:val="0045172A"/>
    <w:rsid w:val="00451C41"/>
    <w:rsid w:val="00460182"/>
    <w:rsid w:val="00460C5F"/>
    <w:rsid w:val="00460E7D"/>
    <w:rsid w:val="00467906"/>
    <w:rsid w:val="00471475"/>
    <w:rsid w:val="00476A32"/>
    <w:rsid w:val="004821F0"/>
    <w:rsid w:val="00483577"/>
    <w:rsid w:val="00490017"/>
    <w:rsid w:val="0049127D"/>
    <w:rsid w:val="004923B2"/>
    <w:rsid w:val="0049264F"/>
    <w:rsid w:val="004927F7"/>
    <w:rsid w:val="004945D1"/>
    <w:rsid w:val="00494E2E"/>
    <w:rsid w:val="004A113F"/>
    <w:rsid w:val="004A19C0"/>
    <w:rsid w:val="004A41B3"/>
    <w:rsid w:val="004B0EDE"/>
    <w:rsid w:val="004B2050"/>
    <w:rsid w:val="004B383F"/>
    <w:rsid w:val="004B6359"/>
    <w:rsid w:val="004C2157"/>
    <w:rsid w:val="004C2760"/>
    <w:rsid w:val="004C5DF5"/>
    <w:rsid w:val="004E1417"/>
    <w:rsid w:val="004E3885"/>
    <w:rsid w:val="004E4ED7"/>
    <w:rsid w:val="004E68EB"/>
    <w:rsid w:val="00506E48"/>
    <w:rsid w:val="00512B97"/>
    <w:rsid w:val="00515696"/>
    <w:rsid w:val="005200F8"/>
    <w:rsid w:val="00521637"/>
    <w:rsid w:val="00523739"/>
    <w:rsid w:val="00541305"/>
    <w:rsid w:val="0054441D"/>
    <w:rsid w:val="00547A41"/>
    <w:rsid w:val="005554EF"/>
    <w:rsid w:val="0055749A"/>
    <w:rsid w:val="0056130B"/>
    <w:rsid w:val="00573E63"/>
    <w:rsid w:val="005803BE"/>
    <w:rsid w:val="00580914"/>
    <w:rsid w:val="00585026"/>
    <w:rsid w:val="005857AA"/>
    <w:rsid w:val="00586161"/>
    <w:rsid w:val="00590694"/>
    <w:rsid w:val="00591A3E"/>
    <w:rsid w:val="00593D8D"/>
    <w:rsid w:val="005951C3"/>
    <w:rsid w:val="0059520A"/>
    <w:rsid w:val="00595436"/>
    <w:rsid w:val="00596031"/>
    <w:rsid w:val="005A3ADC"/>
    <w:rsid w:val="005A51E4"/>
    <w:rsid w:val="005B2222"/>
    <w:rsid w:val="005B5BC8"/>
    <w:rsid w:val="005B6994"/>
    <w:rsid w:val="005C3ADF"/>
    <w:rsid w:val="005C4FA7"/>
    <w:rsid w:val="005D016B"/>
    <w:rsid w:val="005D5BE6"/>
    <w:rsid w:val="005D6038"/>
    <w:rsid w:val="005E3F6B"/>
    <w:rsid w:val="005F16DF"/>
    <w:rsid w:val="005F4B04"/>
    <w:rsid w:val="0060351C"/>
    <w:rsid w:val="00603792"/>
    <w:rsid w:val="00603E0A"/>
    <w:rsid w:val="00603EAE"/>
    <w:rsid w:val="00612054"/>
    <w:rsid w:val="006147F7"/>
    <w:rsid w:val="006178ED"/>
    <w:rsid w:val="00623BB3"/>
    <w:rsid w:val="006265CA"/>
    <w:rsid w:val="00627AC1"/>
    <w:rsid w:val="00631F82"/>
    <w:rsid w:val="006402C3"/>
    <w:rsid w:val="00645D77"/>
    <w:rsid w:val="00646963"/>
    <w:rsid w:val="00651992"/>
    <w:rsid w:val="00651BE4"/>
    <w:rsid w:val="00665BD7"/>
    <w:rsid w:val="00671175"/>
    <w:rsid w:val="0067167D"/>
    <w:rsid w:val="0067212A"/>
    <w:rsid w:val="0068193B"/>
    <w:rsid w:val="00684559"/>
    <w:rsid w:val="006847B5"/>
    <w:rsid w:val="00690479"/>
    <w:rsid w:val="00690A52"/>
    <w:rsid w:val="006A2C64"/>
    <w:rsid w:val="006A6392"/>
    <w:rsid w:val="006C05B6"/>
    <w:rsid w:val="006C18D4"/>
    <w:rsid w:val="006C4107"/>
    <w:rsid w:val="006C6D9F"/>
    <w:rsid w:val="006C7699"/>
    <w:rsid w:val="006D1538"/>
    <w:rsid w:val="006D5D5E"/>
    <w:rsid w:val="006E6D5E"/>
    <w:rsid w:val="006F1087"/>
    <w:rsid w:val="006F33FC"/>
    <w:rsid w:val="006F5E79"/>
    <w:rsid w:val="006F5EB4"/>
    <w:rsid w:val="006F7BDC"/>
    <w:rsid w:val="00705483"/>
    <w:rsid w:val="007142E2"/>
    <w:rsid w:val="00730FF5"/>
    <w:rsid w:val="00732C96"/>
    <w:rsid w:val="00743D54"/>
    <w:rsid w:val="00744929"/>
    <w:rsid w:val="007469F5"/>
    <w:rsid w:val="00757DE3"/>
    <w:rsid w:val="00762A53"/>
    <w:rsid w:val="00763459"/>
    <w:rsid w:val="00763893"/>
    <w:rsid w:val="00767941"/>
    <w:rsid w:val="00777141"/>
    <w:rsid w:val="007812AA"/>
    <w:rsid w:val="007869DF"/>
    <w:rsid w:val="00793977"/>
    <w:rsid w:val="007979E7"/>
    <w:rsid w:val="007A2C63"/>
    <w:rsid w:val="007A3C10"/>
    <w:rsid w:val="007A67FB"/>
    <w:rsid w:val="007B5561"/>
    <w:rsid w:val="007C0593"/>
    <w:rsid w:val="007C3508"/>
    <w:rsid w:val="007E32E0"/>
    <w:rsid w:val="007F2673"/>
    <w:rsid w:val="007F2A9D"/>
    <w:rsid w:val="007F66D6"/>
    <w:rsid w:val="00801D24"/>
    <w:rsid w:val="00802737"/>
    <w:rsid w:val="00806081"/>
    <w:rsid w:val="00811A19"/>
    <w:rsid w:val="00816DFB"/>
    <w:rsid w:val="008173F3"/>
    <w:rsid w:val="00821B37"/>
    <w:rsid w:val="0082628A"/>
    <w:rsid w:val="0082791F"/>
    <w:rsid w:val="0083304B"/>
    <w:rsid w:val="0084110C"/>
    <w:rsid w:val="0084466D"/>
    <w:rsid w:val="00854821"/>
    <w:rsid w:val="00856F12"/>
    <w:rsid w:val="00866991"/>
    <w:rsid w:val="00874033"/>
    <w:rsid w:val="00874440"/>
    <w:rsid w:val="00875B0E"/>
    <w:rsid w:val="008776E4"/>
    <w:rsid w:val="008837FE"/>
    <w:rsid w:val="008900CB"/>
    <w:rsid w:val="00891DA7"/>
    <w:rsid w:val="008A506C"/>
    <w:rsid w:val="008A63B4"/>
    <w:rsid w:val="008A64D1"/>
    <w:rsid w:val="008A6B34"/>
    <w:rsid w:val="008A6B64"/>
    <w:rsid w:val="008B4B0E"/>
    <w:rsid w:val="008B71AC"/>
    <w:rsid w:val="008D0581"/>
    <w:rsid w:val="008D3733"/>
    <w:rsid w:val="008D7A37"/>
    <w:rsid w:val="008E1418"/>
    <w:rsid w:val="008E5B1D"/>
    <w:rsid w:val="008F0755"/>
    <w:rsid w:val="008F216B"/>
    <w:rsid w:val="008F4781"/>
    <w:rsid w:val="008F6B05"/>
    <w:rsid w:val="008F7309"/>
    <w:rsid w:val="009121DA"/>
    <w:rsid w:val="009131A6"/>
    <w:rsid w:val="00914E4C"/>
    <w:rsid w:val="00920902"/>
    <w:rsid w:val="00924FAA"/>
    <w:rsid w:val="009352ED"/>
    <w:rsid w:val="00942D09"/>
    <w:rsid w:val="00950258"/>
    <w:rsid w:val="00954123"/>
    <w:rsid w:val="009618EE"/>
    <w:rsid w:val="00961CC7"/>
    <w:rsid w:val="00964CD5"/>
    <w:rsid w:val="00965A88"/>
    <w:rsid w:val="00974968"/>
    <w:rsid w:val="00974D75"/>
    <w:rsid w:val="00976020"/>
    <w:rsid w:val="009849FA"/>
    <w:rsid w:val="00985D5E"/>
    <w:rsid w:val="00987CB7"/>
    <w:rsid w:val="00993A4F"/>
    <w:rsid w:val="00995ED2"/>
    <w:rsid w:val="009B036D"/>
    <w:rsid w:val="009B2188"/>
    <w:rsid w:val="009B2FF7"/>
    <w:rsid w:val="009B660D"/>
    <w:rsid w:val="009C31A7"/>
    <w:rsid w:val="009C3C7E"/>
    <w:rsid w:val="009C40AB"/>
    <w:rsid w:val="009D4F0B"/>
    <w:rsid w:val="009E2740"/>
    <w:rsid w:val="009E3EF0"/>
    <w:rsid w:val="009E5AF4"/>
    <w:rsid w:val="009E79E2"/>
    <w:rsid w:val="009F1065"/>
    <w:rsid w:val="009F2527"/>
    <w:rsid w:val="009F3F51"/>
    <w:rsid w:val="00A005C5"/>
    <w:rsid w:val="00A0264A"/>
    <w:rsid w:val="00A055B2"/>
    <w:rsid w:val="00A06C5F"/>
    <w:rsid w:val="00A0723C"/>
    <w:rsid w:val="00A07B30"/>
    <w:rsid w:val="00A17C6A"/>
    <w:rsid w:val="00A210E7"/>
    <w:rsid w:val="00A227D0"/>
    <w:rsid w:val="00A26258"/>
    <w:rsid w:val="00A373DE"/>
    <w:rsid w:val="00A4093B"/>
    <w:rsid w:val="00A421BD"/>
    <w:rsid w:val="00A471CE"/>
    <w:rsid w:val="00A53159"/>
    <w:rsid w:val="00A56AB6"/>
    <w:rsid w:val="00A613C7"/>
    <w:rsid w:val="00A64B96"/>
    <w:rsid w:val="00A7063A"/>
    <w:rsid w:val="00A70D39"/>
    <w:rsid w:val="00A746C7"/>
    <w:rsid w:val="00A87312"/>
    <w:rsid w:val="00A92BAA"/>
    <w:rsid w:val="00AA331E"/>
    <w:rsid w:val="00AB170C"/>
    <w:rsid w:val="00AB3E6C"/>
    <w:rsid w:val="00AB4FB5"/>
    <w:rsid w:val="00AC0EAB"/>
    <w:rsid w:val="00AC1A3E"/>
    <w:rsid w:val="00AC33F6"/>
    <w:rsid w:val="00AC3C20"/>
    <w:rsid w:val="00AC482F"/>
    <w:rsid w:val="00AD24E3"/>
    <w:rsid w:val="00AD3607"/>
    <w:rsid w:val="00AD5168"/>
    <w:rsid w:val="00AD5579"/>
    <w:rsid w:val="00AE1226"/>
    <w:rsid w:val="00AE45C3"/>
    <w:rsid w:val="00AE4AA3"/>
    <w:rsid w:val="00AE7A3A"/>
    <w:rsid w:val="00AF7D76"/>
    <w:rsid w:val="00B06204"/>
    <w:rsid w:val="00B075F4"/>
    <w:rsid w:val="00B11B2F"/>
    <w:rsid w:val="00B236ED"/>
    <w:rsid w:val="00B32215"/>
    <w:rsid w:val="00B429C5"/>
    <w:rsid w:val="00B42F15"/>
    <w:rsid w:val="00B44620"/>
    <w:rsid w:val="00B47809"/>
    <w:rsid w:val="00B47E78"/>
    <w:rsid w:val="00B53CA2"/>
    <w:rsid w:val="00B56B47"/>
    <w:rsid w:val="00B6098D"/>
    <w:rsid w:val="00B63AF1"/>
    <w:rsid w:val="00B63E84"/>
    <w:rsid w:val="00B65AEA"/>
    <w:rsid w:val="00B71C7E"/>
    <w:rsid w:val="00B71FC0"/>
    <w:rsid w:val="00B80F7D"/>
    <w:rsid w:val="00B85757"/>
    <w:rsid w:val="00B9298F"/>
    <w:rsid w:val="00B964E8"/>
    <w:rsid w:val="00BA0419"/>
    <w:rsid w:val="00BA2428"/>
    <w:rsid w:val="00BA3629"/>
    <w:rsid w:val="00BA4CE4"/>
    <w:rsid w:val="00BA7107"/>
    <w:rsid w:val="00BB0DFD"/>
    <w:rsid w:val="00BB1C07"/>
    <w:rsid w:val="00BB57D0"/>
    <w:rsid w:val="00BC2B5F"/>
    <w:rsid w:val="00BC5C98"/>
    <w:rsid w:val="00BD1946"/>
    <w:rsid w:val="00BD360A"/>
    <w:rsid w:val="00BE010E"/>
    <w:rsid w:val="00BE4E64"/>
    <w:rsid w:val="00BE6223"/>
    <w:rsid w:val="00BF12E2"/>
    <w:rsid w:val="00BF2C70"/>
    <w:rsid w:val="00BF52E2"/>
    <w:rsid w:val="00BF7070"/>
    <w:rsid w:val="00C043C1"/>
    <w:rsid w:val="00C05D0E"/>
    <w:rsid w:val="00C1508C"/>
    <w:rsid w:val="00C16C2D"/>
    <w:rsid w:val="00C207B5"/>
    <w:rsid w:val="00C2159E"/>
    <w:rsid w:val="00C26EF4"/>
    <w:rsid w:val="00C326FE"/>
    <w:rsid w:val="00C403B4"/>
    <w:rsid w:val="00C4429F"/>
    <w:rsid w:val="00C450C7"/>
    <w:rsid w:val="00C461D9"/>
    <w:rsid w:val="00C5464E"/>
    <w:rsid w:val="00C61655"/>
    <w:rsid w:val="00C621F9"/>
    <w:rsid w:val="00C679FA"/>
    <w:rsid w:val="00C71FDA"/>
    <w:rsid w:val="00C74BEF"/>
    <w:rsid w:val="00C779A2"/>
    <w:rsid w:val="00C81E09"/>
    <w:rsid w:val="00C82B3D"/>
    <w:rsid w:val="00C83E72"/>
    <w:rsid w:val="00C84AE5"/>
    <w:rsid w:val="00C8775E"/>
    <w:rsid w:val="00C919B3"/>
    <w:rsid w:val="00CA0EF2"/>
    <w:rsid w:val="00CA1247"/>
    <w:rsid w:val="00CA69B0"/>
    <w:rsid w:val="00CA69D4"/>
    <w:rsid w:val="00CB0B53"/>
    <w:rsid w:val="00CB2E75"/>
    <w:rsid w:val="00CB3716"/>
    <w:rsid w:val="00CC050B"/>
    <w:rsid w:val="00CC3775"/>
    <w:rsid w:val="00CD207C"/>
    <w:rsid w:val="00CD4155"/>
    <w:rsid w:val="00CE1443"/>
    <w:rsid w:val="00CE65E9"/>
    <w:rsid w:val="00CF5D18"/>
    <w:rsid w:val="00CF6231"/>
    <w:rsid w:val="00CF7927"/>
    <w:rsid w:val="00D11308"/>
    <w:rsid w:val="00D144ED"/>
    <w:rsid w:val="00D21539"/>
    <w:rsid w:val="00D32B81"/>
    <w:rsid w:val="00D35FC3"/>
    <w:rsid w:val="00D37EB6"/>
    <w:rsid w:val="00D43E33"/>
    <w:rsid w:val="00D446A5"/>
    <w:rsid w:val="00D46DBF"/>
    <w:rsid w:val="00D50BF5"/>
    <w:rsid w:val="00D61D58"/>
    <w:rsid w:val="00D63EE6"/>
    <w:rsid w:val="00D63EFC"/>
    <w:rsid w:val="00D6575E"/>
    <w:rsid w:val="00D66141"/>
    <w:rsid w:val="00D66505"/>
    <w:rsid w:val="00D7236E"/>
    <w:rsid w:val="00D72A07"/>
    <w:rsid w:val="00D74FE2"/>
    <w:rsid w:val="00D84216"/>
    <w:rsid w:val="00D85435"/>
    <w:rsid w:val="00D93045"/>
    <w:rsid w:val="00DA6AF5"/>
    <w:rsid w:val="00DB22DA"/>
    <w:rsid w:val="00DB3B75"/>
    <w:rsid w:val="00DC2A59"/>
    <w:rsid w:val="00DD2170"/>
    <w:rsid w:val="00DD38C0"/>
    <w:rsid w:val="00DD3934"/>
    <w:rsid w:val="00DE244B"/>
    <w:rsid w:val="00DE2462"/>
    <w:rsid w:val="00DE4882"/>
    <w:rsid w:val="00DE6093"/>
    <w:rsid w:val="00DF0B95"/>
    <w:rsid w:val="00DF46DB"/>
    <w:rsid w:val="00E00138"/>
    <w:rsid w:val="00E05761"/>
    <w:rsid w:val="00E111C4"/>
    <w:rsid w:val="00E16826"/>
    <w:rsid w:val="00E17992"/>
    <w:rsid w:val="00E2356E"/>
    <w:rsid w:val="00E24F49"/>
    <w:rsid w:val="00E37D3E"/>
    <w:rsid w:val="00E423D7"/>
    <w:rsid w:val="00E56061"/>
    <w:rsid w:val="00E61DE3"/>
    <w:rsid w:val="00E7310E"/>
    <w:rsid w:val="00E73551"/>
    <w:rsid w:val="00E7753F"/>
    <w:rsid w:val="00E814BB"/>
    <w:rsid w:val="00E83F60"/>
    <w:rsid w:val="00E95557"/>
    <w:rsid w:val="00E96229"/>
    <w:rsid w:val="00E97DE1"/>
    <w:rsid w:val="00EA3205"/>
    <w:rsid w:val="00EA387E"/>
    <w:rsid w:val="00EA427F"/>
    <w:rsid w:val="00EB02F2"/>
    <w:rsid w:val="00EB08E9"/>
    <w:rsid w:val="00EB5750"/>
    <w:rsid w:val="00EC0614"/>
    <w:rsid w:val="00EC3088"/>
    <w:rsid w:val="00EC4EFA"/>
    <w:rsid w:val="00ED4E5F"/>
    <w:rsid w:val="00EE5469"/>
    <w:rsid w:val="00EF0787"/>
    <w:rsid w:val="00EF5DDE"/>
    <w:rsid w:val="00EF717F"/>
    <w:rsid w:val="00F0136F"/>
    <w:rsid w:val="00F02376"/>
    <w:rsid w:val="00F11AA7"/>
    <w:rsid w:val="00F12B3A"/>
    <w:rsid w:val="00F23B20"/>
    <w:rsid w:val="00F2584C"/>
    <w:rsid w:val="00F4108E"/>
    <w:rsid w:val="00F529D0"/>
    <w:rsid w:val="00F5744C"/>
    <w:rsid w:val="00F60916"/>
    <w:rsid w:val="00F641A0"/>
    <w:rsid w:val="00F66580"/>
    <w:rsid w:val="00F66949"/>
    <w:rsid w:val="00F679C9"/>
    <w:rsid w:val="00F7244B"/>
    <w:rsid w:val="00F73E77"/>
    <w:rsid w:val="00F75040"/>
    <w:rsid w:val="00F82B87"/>
    <w:rsid w:val="00F83C94"/>
    <w:rsid w:val="00F848BF"/>
    <w:rsid w:val="00F864BD"/>
    <w:rsid w:val="00F869F5"/>
    <w:rsid w:val="00F8742C"/>
    <w:rsid w:val="00F9634C"/>
    <w:rsid w:val="00FA34D9"/>
    <w:rsid w:val="00FA6FF8"/>
    <w:rsid w:val="00FA75DF"/>
    <w:rsid w:val="00FB0DDC"/>
    <w:rsid w:val="00FC37FF"/>
    <w:rsid w:val="00FC7D96"/>
    <w:rsid w:val="00FD51E4"/>
    <w:rsid w:val="00FD58ED"/>
    <w:rsid w:val="00FD7478"/>
    <w:rsid w:val="00FE4D48"/>
    <w:rsid w:val="00FE791F"/>
    <w:rsid w:val="00FF2E04"/>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0F856"/>
  <w15:docId w15:val="{DEA4F4BB-B399-4B52-8C04-2F9AE1D6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170C"/>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6847B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093B"/>
    <w:rPr>
      <w:color w:val="954F72" w:themeColor="followedHyperlink"/>
      <w:u w:val="single"/>
    </w:rPr>
  </w:style>
  <w:style w:type="table" w:customStyle="1" w:styleId="TableGrid21">
    <w:name w:val="Table Grid21"/>
    <w:basedOn w:val="TableNormal"/>
    <w:next w:val="TableGrid"/>
    <w:uiPriority w:val="59"/>
    <w:rsid w:val="006C7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4980"/>
    <w:rPr>
      <w:color w:val="808080"/>
      <w:shd w:val="clear" w:color="auto" w:fill="E6E6E6"/>
    </w:rPr>
  </w:style>
  <w:style w:type="paragraph" w:styleId="EndnoteText">
    <w:name w:val="endnote text"/>
    <w:basedOn w:val="Normal"/>
    <w:link w:val="EndnoteTextChar"/>
    <w:uiPriority w:val="99"/>
    <w:semiHidden/>
    <w:unhideWhenUsed/>
    <w:rsid w:val="0015600E"/>
    <w:pPr>
      <w:spacing w:line="240" w:lineRule="auto"/>
    </w:pPr>
    <w:rPr>
      <w:sz w:val="20"/>
      <w:szCs w:val="20"/>
    </w:rPr>
  </w:style>
  <w:style w:type="character" w:customStyle="1" w:styleId="EndnoteTextChar">
    <w:name w:val="Endnote Text Char"/>
    <w:basedOn w:val="DefaultParagraphFont"/>
    <w:link w:val="EndnoteText"/>
    <w:uiPriority w:val="99"/>
    <w:semiHidden/>
    <w:rsid w:val="0015600E"/>
    <w:rPr>
      <w:sz w:val="20"/>
      <w:szCs w:val="20"/>
    </w:rPr>
  </w:style>
  <w:style w:type="character" w:styleId="EndnoteReference">
    <w:name w:val="endnote reference"/>
    <w:basedOn w:val="DefaultParagraphFont"/>
    <w:uiPriority w:val="99"/>
    <w:semiHidden/>
    <w:unhideWhenUsed/>
    <w:rsid w:val="0015600E"/>
    <w:rPr>
      <w:vertAlign w:val="superscript"/>
    </w:rPr>
  </w:style>
  <w:style w:type="paragraph" w:styleId="NormalWeb">
    <w:name w:val="Normal (Web)"/>
    <w:basedOn w:val="Normal"/>
    <w:uiPriority w:val="99"/>
    <w:semiHidden/>
    <w:unhideWhenUsed/>
    <w:rsid w:val="00D63EE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84AE5"/>
  </w:style>
  <w:style w:type="character" w:customStyle="1" w:styleId="Heading3Char">
    <w:name w:val="Heading 3 Char"/>
    <w:basedOn w:val="DefaultParagraphFont"/>
    <w:link w:val="Heading3"/>
    <w:uiPriority w:val="9"/>
    <w:semiHidden/>
    <w:rsid w:val="006847B5"/>
    <w:rPr>
      <w:rFonts w:asciiTheme="majorHAnsi" w:eastAsiaTheme="majorEastAsia" w:hAnsiTheme="majorHAnsi" w:cstheme="majorBidi"/>
      <w:color w:val="1F4D78" w:themeColor="accent1" w:themeShade="7F"/>
      <w:sz w:val="24"/>
      <w:szCs w:val="24"/>
    </w:rPr>
  </w:style>
  <w:style w:type="table" w:customStyle="1" w:styleId="TableGrid4">
    <w:name w:val="Table Grid4"/>
    <w:basedOn w:val="TableNormal"/>
    <w:next w:val="TableGrid"/>
    <w:uiPriority w:val="59"/>
    <w:rsid w:val="003A6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5625">
      <w:bodyDiv w:val="1"/>
      <w:marLeft w:val="0"/>
      <w:marRight w:val="0"/>
      <w:marTop w:val="0"/>
      <w:marBottom w:val="0"/>
      <w:divBdr>
        <w:top w:val="none" w:sz="0" w:space="0" w:color="auto"/>
        <w:left w:val="none" w:sz="0" w:space="0" w:color="auto"/>
        <w:bottom w:val="none" w:sz="0" w:space="0" w:color="auto"/>
        <w:right w:val="none" w:sz="0" w:space="0" w:color="auto"/>
      </w:divBdr>
    </w:div>
    <w:div w:id="60450536">
      <w:bodyDiv w:val="1"/>
      <w:marLeft w:val="0"/>
      <w:marRight w:val="0"/>
      <w:marTop w:val="0"/>
      <w:marBottom w:val="0"/>
      <w:divBdr>
        <w:top w:val="none" w:sz="0" w:space="0" w:color="auto"/>
        <w:left w:val="none" w:sz="0" w:space="0" w:color="auto"/>
        <w:bottom w:val="none" w:sz="0" w:space="0" w:color="auto"/>
        <w:right w:val="none" w:sz="0" w:space="0" w:color="auto"/>
      </w:divBdr>
    </w:div>
    <w:div w:id="335693669">
      <w:bodyDiv w:val="1"/>
      <w:marLeft w:val="0"/>
      <w:marRight w:val="0"/>
      <w:marTop w:val="0"/>
      <w:marBottom w:val="0"/>
      <w:divBdr>
        <w:top w:val="none" w:sz="0" w:space="0" w:color="auto"/>
        <w:left w:val="none" w:sz="0" w:space="0" w:color="auto"/>
        <w:bottom w:val="none" w:sz="0" w:space="0" w:color="auto"/>
        <w:right w:val="none" w:sz="0" w:space="0" w:color="auto"/>
      </w:divBdr>
    </w:div>
    <w:div w:id="352387834">
      <w:bodyDiv w:val="1"/>
      <w:marLeft w:val="0"/>
      <w:marRight w:val="0"/>
      <w:marTop w:val="0"/>
      <w:marBottom w:val="0"/>
      <w:divBdr>
        <w:top w:val="none" w:sz="0" w:space="0" w:color="auto"/>
        <w:left w:val="none" w:sz="0" w:space="0" w:color="auto"/>
        <w:bottom w:val="none" w:sz="0" w:space="0" w:color="auto"/>
        <w:right w:val="none" w:sz="0" w:space="0" w:color="auto"/>
      </w:divBdr>
    </w:div>
    <w:div w:id="376972508">
      <w:bodyDiv w:val="1"/>
      <w:marLeft w:val="0"/>
      <w:marRight w:val="0"/>
      <w:marTop w:val="0"/>
      <w:marBottom w:val="0"/>
      <w:divBdr>
        <w:top w:val="none" w:sz="0" w:space="0" w:color="auto"/>
        <w:left w:val="none" w:sz="0" w:space="0" w:color="auto"/>
        <w:bottom w:val="none" w:sz="0" w:space="0" w:color="auto"/>
        <w:right w:val="none" w:sz="0" w:space="0" w:color="auto"/>
      </w:divBdr>
    </w:div>
    <w:div w:id="400710803">
      <w:bodyDiv w:val="1"/>
      <w:marLeft w:val="0"/>
      <w:marRight w:val="0"/>
      <w:marTop w:val="0"/>
      <w:marBottom w:val="0"/>
      <w:divBdr>
        <w:top w:val="none" w:sz="0" w:space="0" w:color="auto"/>
        <w:left w:val="none" w:sz="0" w:space="0" w:color="auto"/>
        <w:bottom w:val="none" w:sz="0" w:space="0" w:color="auto"/>
        <w:right w:val="none" w:sz="0" w:space="0" w:color="auto"/>
      </w:divBdr>
    </w:div>
    <w:div w:id="415787492">
      <w:bodyDiv w:val="1"/>
      <w:marLeft w:val="0"/>
      <w:marRight w:val="0"/>
      <w:marTop w:val="0"/>
      <w:marBottom w:val="0"/>
      <w:divBdr>
        <w:top w:val="none" w:sz="0" w:space="0" w:color="auto"/>
        <w:left w:val="none" w:sz="0" w:space="0" w:color="auto"/>
        <w:bottom w:val="none" w:sz="0" w:space="0" w:color="auto"/>
        <w:right w:val="none" w:sz="0" w:space="0" w:color="auto"/>
      </w:divBdr>
    </w:div>
    <w:div w:id="420610184">
      <w:bodyDiv w:val="1"/>
      <w:marLeft w:val="0"/>
      <w:marRight w:val="0"/>
      <w:marTop w:val="0"/>
      <w:marBottom w:val="0"/>
      <w:divBdr>
        <w:top w:val="none" w:sz="0" w:space="0" w:color="auto"/>
        <w:left w:val="none" w:sz="0" w:space="0" w:color="auto"/>
        <w:bottom w:val="none" w:sz="0" w:space="0" w:color="auto"/>
        <w:right w:val="none" w:sz="0" w:space="0" w:color="auto"/>
      </w:divBdr>
    </w:div>
    <w:div w:id="430781664">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7644">
      <w:bodyDiv w:val="1"/>
      <w:marLeft w:val="0"/>
      <w:marRight w:val="0"/>
      <w:marTop w:val="0"/>
      <w:marBottom w:val="0"/>
      <w:divBdr>
        <w:top w:val="none" w:sz="0" w:space="0" w:color="auto"/>
        <w:left w:val="none" w:sz="0" w:space="0" w:color="auto"/>
        <w:bottom w:val="none" w:sz="0" w:space="0" w:color="auto"/>
        <w:right w:val="none" w:sz="0" w:space="0" w:color="auto"/>
      </w:divBdr>
    </w:div>
    <w:div w:id="496383961">
      <w:bodyDiv w:val="1"/>
      <w:marLeft w:val="0"/>
      <w:marRight w:val="0"/>
      <w:marTop w:val="0"/>
      <w:marBottom w:val="0"/>
      <w:divBdr>
        <w:top w:val="none" w:sz="0" w:space="0" w:color="auto"/>
        <w:left w:val="none" w:sz="0" w:space="0" w:color="auto"/>
        <w:bottom w:val="none" w:sz="0" w:space="0" w:color="auto"/>
        <w:right w:val="none" w:sz="0" w:space="0" w:color="auto"/>
      </w:divBdr>
    </w:div>
    <w:div w:id="549270532">
      <w:bodyDiv w:val="1"/>
      <w:marLeft w:val="0"/>
      <w:marRight w:val="0"/>
      <w:marTop w:val="0"/>
      <w:marBottom w:val="0"/>
      <w:divBdr>
        <w:top w:val="none" w:sz="0" w:space="0" w:color="auto"/>
        <w:left w:val="none" w:sz="0" w:space="0" w:color="auto"/>
        <w:bottom w:val="none" w:sz="0" w:space="0" w:color="auto"/>
        <w:right w:val="none" w:sz="0" w:space="0" w:color="auto"/>
      </w:divBdr>
    </w:div>
    <w:div w:id="619649694">
      <w:bodyDiv w:val="1"/>
      <w:marLeft w:val="0"/>
      <w:marRight w:val="0"/>
      <w:marTop w:val="0"/>
      <w:marBottom w:val="0"/>
      <w:divBdr>
        <w:top w:val="none" w:sz="0" w:space="0" w:color="auto"/>
        <w:left w:val="none" w:sz="0" w:space="0" w:color="auto"/>
        <w:bottom w:val="none" w:sz="0" w:space="0" w:color="auto"/>
        <w:right w:val="none" w:sz="0" w:space="0" w:color="auto"/>
      </w:divBdr>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742798019">
      <w:bodyDiv w:val="1"/>
      <w:marLeft w:val="0"/>
      <w:marRight w:val="0"/>
      <w:marTop w:val="0"/>
      <w:marBottom w:val="0"/>
      <w:divBdr>
        <w:top w:val="none" w:sz="0" w:space="0" w:color="auto"/>
        <w:left w:val="none" w:sz="0" w:space="0" w:color="auto"/>
        <w:bottom w:val="none" w:sz="0" w:space="0" w:color="auto"/>
        <w:right w:val="none" w:sz="0" w:space="0" w:color="auto"/>
      </w:divBdr>
    </w:div>
    <w:div w:id="770931024">
      <w:bodyDiv w:val="1"/>
      <w:marLeft w:val="0"/>
      <w:marRight w:val="0"/>
      <w:marTop w:val="0"/>
      <w:marBottom w:val="0"/>
      <w:divBdr>
        <w:top w:val="none" w:sz="0" w:space="0" w:color="auto"/>
        <w:left w:val="none" w:sz="0" w:space="0" w:color="auto"/>
        <w:bottom w:val="none" w:sz="0" w:space="0" w:color="auto"/>
        <w:right w:val="none" w:sz="0" w:space="0" w:color="auto"/>
      </w:divBdr>
    </w:div>
    <w:div w:id="784616334">
      <w:bodyDiv w:val="1"/>
      <w:marLeft w:val="0"/>
      <w:marRight w:val="0"/>
      <w:marTop w:val="0"/>
      <w:marBottom w:val="0"/>
      <w:divBdr>
        <w:top w:val="none" w:sz="0" w:space="0" w:color="auto"/>
        <w:left w:val="none" w:sz="0" w:space="0" w:color="auto"/>
        <w:bottom w:val="none" w:sz="0" w:space="0" w:color="auto"/>
        <w:right w:val="none" w:sz="0" w:space="0" w:color="auto"/>
      </w:divBdr>
    </w:div>
    <w:div w:id="860977530">
      <w:bodyDiv w:val="1"/>
      <w:marLeft w:val="0"/>
      <w:marRight w:val="0"/>
      <w:marTop w:val="0"/>
      <w:marBottom w:val="0"/>
      <w:divBdr>
        <w:top w:val="none" w:sz="0" w:space="0" w:color="auto"/>
        <w:left w:val="none" w:sz="0" w:space="0" w:color="auto"/>
        <w:bottom w:val="none" w:sz="0" w:space="0" w:color="auto"/>
        <w:right w:val="none" w:sz="0" w:space="0" w:color="auto"/>
      </w:divBdr>
    </w:div>
    <w:div w:id="873350846">
      <w:bodyDiv w:val="1"/>
      <w:marLeft w:val="0"/>
      <w:marRight w:val="0"/>
      <w:marTop w:val="0"/>
      <w:marBottom w:val="0"/>
      <w:divBdr>
        <w:top w:val="none" w:sz="0" w:space="0" w:color="auto"/>
        <w:left w:val="none" w:sz="0" w:space="0" w:color="auto"/>
        <w:bottom w:val="none" w:sz="0" w:space="0" w:color="auto"/>
        <w:right w:val="none" w:sz="0" w:space="0" w:color="auto"/>
      </w:divBdr>
    </w:div>
    <w:div w:id="912932263">
      <w:bodyDiv w:val="1"/>
      <w:marLeft w:val="0"/>
      <w:marRight w:val="0"/>
      <w:marTop w:val="0"/>
      <w:marBottom w:val="0"/>
      <w:divBdr>
        <w:top w:val="none" w:sz="0" w:space="0" w:color="auto"/>
        <w:left w:val="none" w:sz="0" w:space="0" w:color="auto"/>
        <w:bottom w:val="none" w:sz="0" w:space="0" w:color="auto"/>
        <w:right w:val="none" w:sz="0" w:space="0" w:color="auto"/>
      </w:divBdr>
    </w:div>
    <w:div w:id="932280873">
      <w:bodyDiv w:val="1"/>
      <w:marLeft w:val="0"/>
      <w:marRight w:val="0"/>
      <w:marTop w:val="0"/>
      <w:marBottom w:val="0"/>
      <w:divBdr>
        <w:top w:val="none" w:sz="0" w:space="0" w:color="auto"/>
        <w:left w:val="none" w:sz="0" w:space="0" w:color="auto"/>
        <w:bottom w:val="none" w:sz="0" w:space="0" w:color="auto"/>
        <w:right w:val="none" w:sz="0" w:space="0" w:color="auto"/>
      </w:divBdr>
    </w:div>
    <w:div w:id="963733958">
      <w:bodyDiv w:val="1"/>
      <w:marLeft w:val="0"/>
      <w:marRight w:val="0"/>
      <w:marTop w:val="0"/>
      <w:marBottom w:val="0"/>
      <w:divBdr>
        <w:top w:val="none" w:sz="0" w:space="0" w:color="auto"/>
        <w:left w:val="none" w:sz="0" w:space="0" w:color="auto"/>
        <w:bottom w:val="none" w:sz="0" w:space="0" w:color="auto"/>
        <w:right w:val="none" w:sz="0" w:space="0" w:color="auto"/>
      </w:divBdr>
    </w:div>
    <w:div w:id="977538867">
      <w:bodyDiv w:val="1"/>
      <w:marLeft w:val="0"/>
      <w:marRight w:val="0"/>
      <w:marTop w:val="0"/>
      <w:marBottom w:val="0"/>
      <w:divBdr>
        <w:top w:val="none" w:sz="0" w:space="0" w:color="auto"/>
        <w:left w:val="none" w:sz="0" w:space="0" w:color="auto"/>
        <w:bottom w:val="none" w:sz="0" w:space="0" w:color="auto"/>
        <w:right w:val="none" w:sz="0" w:space="0" w:color="auto"/>
      </w:divBdr>
    </w:div>
    <w:div w:id="1155606472">
      <w:bodyDiv w:val="1"/>
      <w:marLeft w:val="0"/>
      <w:marRight w:val="0"/>
      <w:marTop w:val="0"/>
      <w:marBottom w:val="0"/>
      <w:divBdr>
        <w:top w:val="none" w:sz="0" w:space="0" w:color="auto"/>
        <w:left w:val="none" w:sz="0" w:space="0" w:color="auto"/>
        <w:bottom w:val="none" w:sz="0" w:space="0" w:color="auto"/>
        <w:right w:val="none" w:sz="0" w:space="0" w:color="auto"/>
      </w:divBdr>
    </w:div>
    <w:div w:id="1184128268">
      <w:bodyDiv w:val="1"/>
      <w:marLeft w:val="0"/>
      <w:marRight w:val="0"/>
      <w:marTop w:val="0"/>
      <w:marBottom w:val="0"/>
      <w:divBdr>
        <w:top w:val="none" w:sz="0" w:space="0" w:color="auto"/>
        <w:left w:val="none" w:sz="0" w:space="0" w:color="auto"/>
        <w:bottom w:val="none" w:sz="0" w:space="0" w:color="auto"/>
        <w:right w:val="none" w:sz="0" w:space="0" w:color="auto"/>
      </w:divBdr>
    </w:div>
    <w:div w:id="1260987785">
      <w:bodyDiv w:val="1"/>
      <w:marLeft w:val="0"/>
      <w:marRight w:val="0"/>
      <w:marTop w:val="0"/>
      <w:marBottom w:val="0"/>
      <w:divBdr>
        <w:top w:val="none" w:sz="0" w:space="0" w:color="auto"/>
        <w:left w:val="none" w:sz="0" w:space="0" w:color="auto"/>
        <w:bottom w:val="none" w:sz="0" w:space="0" w:color="auto"/>
        <w:right w:val="none" w:sz="0" w:space="0" w:color="auto"/>
      </w:divBdr>
    </w:div>
    <w:div w:id="1289049128">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337001503">
      <w:bodyDiv w:val="1"/>
      <w:marLeft w:val="0"/>
      <w:marRight w:val="0"/>
      <w:marTop w:val="0"/>
      <w:marBottom w:val="0"/>
      <w:divBdr>
        <w:top w:val="none" w:sz="0" w:space="0" w:color="auto"/>
        <w:left w:val="none" w:sz="0" w:space="0" w:color="auto"/>
        <w:bottom w:val="none" w:sz="0" w:space="0" w:color="auto"/>
        <w:right w:val="none" w:sz="0" w:space="0" w:color="auto"/>
      </w:divBdr>
    </w:div>
    <w:div w:id="1417553033">
      <w:bodyDiv w:val="1"/>
      <w:marLeft w:val="0"/>
      <w:marRight w:val="0"/>
      <w:marTop w:val="0"/>
      <w:marBottom w:val="0"/>
      <w:divBdr>
        <w:top w:val="none" w:sz="0" w:space="0" w:color="auto"/>
        <w:left w:val="none" w:sz="0" w:space="0" w:color="auto"/>
        <w:bottom w:val="none" w:sz="0" w:space="0" w:color="auto"/>
        <w:right w:val="none" w:sz="0" w:space="0" w:color="auto"/>
      </w:divBdr>
    </w:div>
    <w:div w:id="1447430600">
      <w:bodyDiv w:val="1"/>
      <w:marLeft w:val="0"/>
      <w:marRight w:val="0"/>
      <w:marTop w:val="0"/>
      <w:marBottom w:val="0"/>
      <w:divBdr>
        <w:top w:val="none" w:sz="0" w:space="0" w:color="auto"/>
        <w:left w:val="none" w:sz="0" w:space="0" w:color="auto"/>
        <w:bottom w:val="none" w:sz="0" w:space="0" w:color="auto"/>
        <w:right w:val="none" w:sz="0" w:space="0" w:color="auto"/>
      </w:divBdr>
    </w:div>
    <w:div w:id="1479374579">
      <w:bodyDiv w:val="1"/>
      <w:marLeft w:val="0"/>
      <w:marRight w:val="0"/>
      <w:marTop w:val="0"/>
      <w:marBottom w:val="0"/>
      <w:divBdr>
        <w:top w:val="none" w:sz="0" w:space="0" w:color="auto"/>
        <w:left w:val="none" w:sz="0" w:space="0" w:color="auto"/>
        <w:bottom w:val="none" w:sz="0" w:space="0" w:color="auto"/>
        <w:right w:val="none" w:sz="0" w:space="0" w:color="auto"/>
      </w:divBdr>
    </w:div>
    <w:div w:id="1686323314">
      <w:bodyDiv w:val="1"/>
      <w:marLeft w:val="0"/>
      <w:marRight w:val="0"/>
      <w:marTop w:val="0"/>
      <w:marBottom w:val="0"/>
      <w:divBdr>
        <w:top w:val="none" w:sz="0" w:space="0" w:color="auto"/>
        <w:left w:val="none" w:sz="0" w:space="0" w:color="auto"/>
        <w:bottom w:val="none" w:sz="0" w:space="0" w:color="auto"/>
        <w:right w:val="none" w:sz="0" w:space="0" w:color="auto"/>
      </w:divBdr>
    </w:div>
    <w:div w:id="1803309023">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1864241262">
      <w:bodyDiv w:val="1"/>
      <w:marLeft w:val="0"/>
      <w:marRight w:val="0"/>
      <w:marTop w:val="0"/>
      <w:marBottom w:val="0"/>
      <w:divBdr>
        <w:top w:val="none" w:sz="0" w:space="0" w:color="auto"/>
        <w:left w:val="none" w:sz="0" w:space="0" w:color="auto"/>
        <w:bottom w:val="none" w:sz="0" w:space="0" w:color="auto"/>
        <w:right w:val="none" w:sz="0" w:space="0" w:color="auto"/>
      </w:divBdr>
    </w:div>
    <w:div w:id="2009360362">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7777407">
      <w:bodyDiv w:val="1"/>
      <w:marLeft w:val="0"/>
      <w:marRight w:val="0"/>
      <w:marTop w:val="0"/>
      <w:marBottom w:val="0"/>
      <w:divBdr>
        <w:top w:val="none" w:sz="0" w:space="0" w:color="auto"/>
        <w:left w:val="none" w:sz="0" w:space="0" w:color="auto"/>
        <w:bottom w:val="none" w:sz="0" w:space="0" w:color="auto"/>
        <w:right w:val="none" w:sz="0" w:space="0" w:color="auto"/>
      </w:divBdr>
      <w:divsChild>
        <w:div w:id="1582829896">
          <w:marLeft w:val="0"/>
          <w:marRight w:val="0"/>
          <w:marTop w:val="240"/>
          <w:marBottom w:val="0"/>
          <w:divBdr>
            <w:top w:val="none" w:sz="0" w:space="0" w:color="auto"/>
            <w:left w:val="none" w:sz="0" w:space="0" w:color="auto"/>
            <w:bottom w:val="none" w:sz="0" w:space="0" w:color="auto"/>
            <w:right w:val="none" w:sz="0" w:space="0" w:color="auto"/>
          </w:divBdr>
        </w:div>
        <w:div w:id="1906641797">
          <w:marLeft w:val="0"/>
          <w:marRight w:val="0"/>
          <w:marTop w:val="120"/>
          <w:marBottom w:val="0"/>
          <w:divBdr>
            <w:top w:val="none" w:sz="0" w:space="0" w:color="auto"/>
            <w:left w:val="none" w:sz="0" w:space="0" w:color="auto"/>
            <w:bottom w:val="none" w:sz="0" w:space="0" w:color="auto"/>
            <w:right w:val="none" w:sz="0" w:space="0" w:color="auto"/>
          </w:divBdr>
        </w:div>
        <w:div w:id="1815757941">
          <w:marLeft w:val="0"/>
          <w:marRight w:val="0"/>
          <w:marTop w:val="120"/>
          <w:marBottom w:val="0"/>
          <w:divBdr>
            <w:top w:val="none" w:sz="0" w:space="0" w:color="auto"/>
            <w:left w:val="none" w:sz="0" w:space="0" w:color="auto"/>
            <w:bottom w:val="none" w:sz="0" w:space="0" w:color="auto"/>
            <w:right w:val="none" w:sz="0" w:space="0" w:color="auto"/>
          </w:divBdr>
        </w:div>
        <w:div w:id="1609507862">
          <w:marLeft w:val="0"/>
          <w:marRight w:val="0"/>
          <w:marTop w:val="120"/>
          <w:marBottom w:val="0"/>
          <w:divBdr>
            <w:top w:val="none" w:sz="0" w:space="0" w:color="auto"/>
            <w:left w:val="none" w:sz="0" w:space="0" w:color="auto"/>
            <w:bottom w:val="none" w:sz="0" w:space="0" w:color="auto"/>
            <w:right w:val="none" w:sz="0" w:space="0" w:color="auto"/>
          </w:divBdr>
        </w:div>
      </w:divsChild>
    </w:div>
    <w:div w:id="2066677986">
      <w:bodyDiv w:val="1"/>
      <w:marLeft w:val="0"/>
      <w:marRight w:val="0"/>
      <w:marTop w:val="0"/>
      <w:marBottom w:val="0"/>
      <w:divBdr>
        <w:top w:val="none" w:sz="0" w:space="0" w:color="auto"/>
        <w:left w:val="none" w:sz="0" w:space="0" w:color="auto"/>
        <w:bottom w:val="none" w:sz="0" w:space="0" w:color="auto"/>
        <w:right w:val="none" w:sz="0" w:space="0" w:color="auto"/>
      </w:divBdr>
    </w:div>
    <w:div w:id="2085831097">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2.bin"/><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4.bin"/><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6.bin"/><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0.wmf"/><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oleObject" Target="embeddings/oleObject5.bin"/><Relationship Id="rId27" Type="http://schemas.openxmlformats.org/officeDocument/2006/relationships/header" Target="header2.xml"/><Relationship Id="rId30" Type="http://schemas.openxmlformats.org/officeDocument/2006/relationships/header" Target="header4.xml"/><Relationship Id="rId8" Type="http://schemas.openxmlformats.org/officeDocument/2006/relationships/webSettings" Target="webSettings.xml"/></Relationships>
</file>

<file path=word/_rels/endnotes.xml.rels><?xml version="1.0" encoding="UTF-8" standalone="yes"?>
<Relationships xmlns="http://schemas.openxmlformats.org/package/2006/relationships"><Relationship Id="rId3" Type="http://schemas.openxmlformats.org/officeDocument/2006/relationships/oleObject" Target="embeddings/oleObject3.bin"/><Relationship Id="rId2" Type="http://schemas.openxmlformats.org/officeDocument/2006/relationships/image" Target="media/image7.emf"/><Relationship Id="rId1" Type="http://schemas.openxmlformats.org/officeDocument/2006/relationships/hyperlink" Target="http://finance.yahoo.com" TargetMode="External"/><Relationship Id="rId4" Type="http://schemas.openxmlformats.org/officeDocument/2006/relationships/hyperlink" Target="http://www.sternstewar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3.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0E2F60-0EB8-48E3-8513-AE3CB2083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14</Pages>
  <Words>4965</Words>
  <Characters>28305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Curtis</dc:creator>
  <cp:lastModifiedBy>Asher Curtis</cp:lastModifiedBy>
  <cp:revision>16</cp:revision>
  <cp:lastPrinted>2017-10-02T20:26:00Z</cp:lastPrinted>
  <dcterms:created xsi:type="dcterms:W3CDTF">2017-10-09T22:11:00Z</dcterms:created>
  <dcterms:modified xsi:type="dcterms:W3CDTF">2017-10-14T20:33:00Z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