
<file path=[Content_Types].xml><?xml version="1.0" encoding="utf-8"?>
<Types xmlns="http://schemas.openxmlformats.org/package/2006/content-types">
  <Default Extension="emf" ContentType="image/x-emf"/>
  <Default Extension="gif" ContentType="image/gi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152F17" w14:textId="28977276" w:rsidR="00793977" w:rsidRDefault="00C33D7C" w:rsidP="000A34F1">
      <w:pPr>
        <w:spacing w:before="240" w:after="240" w:line="240" w:lineRule="auto"/>
        <w:jc w:val="center"/>
        <w:rPr>
          <w:rFonts w:asciiTheme="majorHAnsi" w:hAnsiTheme="majorHAnsi"/>
          <w:b/>
          <w:color w:val="33006F"/>
          <w:sz w:val="40"/>
          <w:szCs w:val="32"/>
        </w:rPr>
      </w:pPr>
      <w:r>
        <w:rPr>
          <w:rFonts w:asciiTheme="majorHAnsi" w:hAnsiTheme="majorHAnsi"/>
          <w:b/>
          <w:color w:val="33006F"/>
          <w:sz w:val="40"/>
          <w:szCs w:val="32"/>
        </w:rPr>
        <w:t>Forecasting Company Sales</w:t>
      </w:r>
    </w:p>
    <w:p w14:paraId="01BC286D" w14:textId="77777777" w:rsidR="00AC1A3E" w:rsidRDefault="00AC1A3E" w:rsidP="000A34F1">
      <w:pPr>
        <w:spacing w:before="240" w:after="240" w:line="240" w:lineRule="auto"/>
        <w:jc w:val="center"/>
        <w:rPr>
          <w:rFonts w:asciiTheme="majorHAnsi" w:hAnsiTheme="majorHAnsi"/>
          <w:b/>
          <w:color w:val="33006F"/>
          <w:sz w:val="40"/>
          <w:szCs w:val="32"/>
        </w:rPr>
      </w:pPr>
    </w:p>
    <w:tbl>
      <w:tblPr>
        <w:tblStyle w:val="TableGrid"/>
        <w:tblW w:w="10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0"/>
        <w:gridCol w:w="7938"/>
      </w:tblGrid>
      <w:tr w:rsidR="00BE7102" w:rsidRPr="004F725E" w14:paraId="24AA3869" w14:textId="77777777" w:rsidTr="00BE7102">
        <w:tc>
          <w:tcPr>
            <w:tcW w:w="2250" w:type="dxa"/>
          </w:tcPr>
          <w:p w14:paraId="040A2903" w14:textId="77777777" w:rsidR="00BE7102" w:rsidRPr="004F725E" w:rsidRDefault="00BE7102" w:rsidP="0012658B">
            <w:pPr>
              <w:spacing w:before="240" w:after="240"/>
              <w:rPr>
                <w:rFonts w:ascii="Open Sans" w:eastAsia="Calibri" w:hAnsi="Open Sans" w:cs="Open Sans"/>
                <w:b/>
                <w:color w:val="33006F"/>
                <w:sz w:val="24"/>
                <w:szCs w:val="24"/>
              </w:rPr>
            </w:pPr>
            <w:r>
              <w:rPr>
                <w:rFonts w:ascii="Open Sans" w:eastAsia="Calibri" w:hAnsi="Open Sans" w:cs="Open Sans"/>
                <w:b/>
                <w:color w:val="33006F"/>
                <w:sz w:val="24"/>
                <w:szCs w:val="24"/>
              </w:rPr>
              <w:t>Analytic Mindset Keywords:</w:t>
            </w:r>
          </w:p>
        </w:tc>
        <w:tc>
          <w:tcPr>
            <w:tcW w:w="7938" w:type="dxa"/>
          </w:tcPr>
          <w:p w14:paraId="14D40400" w14:textId="6C8868B8" w:rsidR="00BE7102" w:rsidRPr="004F725E" w:rsidRDefault="00BE7102" w:rsidP="0012658B">
            <w:pPr>
              <w:spacing w:before="240" w:after="240"/>
              <w:rPr>
                <w:rFonts w:ascii="Open Sans" w:eastAsia="Calibri" w:hAnsi="Open Sans" w:cs="Open Sans"/>
                <w:b/>
                <w:color w:val="000000"/>
                <w:sz w:val="24"/>
                <w:szCs w:val="24"/>
              </w:rPr>
            </w:pPr>
            <w:r>
              <w:rPr>
                <w:rFonts w:ascii="Open Sans" w:eastAsia="Calibri" w:hAnsi="Open Sans" w:cs="Open Sans"/>
                <w:b/>
                <w:color w:val="000000"/>
                <w:sz w:val="24"/>
                <w:szCs w:val="24"/>
              </w:rPr>
              <w:t>Forecasting, Voluntary disclosures</w:t>
            </w:r>
            <w:r w:rsidRPr="004F725E">
              <w:rPr>
                <w:rFonts w:ascii="Open Sans" w:eastAsia="Calibri" w:hAnsi="Open Sans" w:cs="Open Sans"/>
                <w:b/>
                <w:color w:val="000000"/>
                <w:sz w:val="24"/>
                <w:szCs w:val="24"/>
              </w:rPr>
              <w:t>.</w:t>
            </w:r>
          </w:p>
        </w:tc>
      </w:tr>
      <w:tr w:rsidR="00BE7102" w:rsidRPr="004F725E" w14:paraId="27441ECF" w14:textId="77777777" w:rsidTr="00BE7102">
        <w:tc>
          <w:tcPr>
            <w:tcW w:w="2250" w:type="dxa"/>
          </w:tcPr>
          <w:p w14:paraId="3142E7C4" w14:textId="77777777" w:rsidR="00BE7102" w:rsidRPr="004F725E" w:rsidRDefault="00BE7102" w:rsidP="0012658B">
            <w:pPr>
              <w:spacing w:before="240" w:after="240"/>
              <w:rPr>
                <w:rFonts w:ascii="Open Sans" w:eastAsia="Calibri" w:hAnsi="Open Sans" w:cs="Open Sans"/>
                <w:b/>
                <w:color w:val="33006F"/>
                <w:sz w:val="24"/>
                <w:szCs w:val="24"/>
              </w:rPr>
            </w:pPr>
            <w:r>
              <w:rPr>
                <w:rFonts w:ascii="Open Sans" w:eastAsia="Calibri" w:hAnsi="Open Sans" w:cs="Open Sans"/>
                <w:b/>
                <w:color w:val="33006F"/>
                <w:sz w:val="24"/>
                <w:szCs w:val="24"/>
              </w:rPr>
              <w:t>Analytic Skillsets Keywords</w:t>
            </w:r>
            <w:r w:rsidRPr="004F725E">
              <w:rPr>
                <w:rFonts w:ascii="Open Sans" w:eastAsia="Calibri" w:hAnsi="Open Sans" w:cs="Open Sans"/>
                <w:b/>
                <w:color w:val="33006F"/>
                <w:sz w:val="24"/>
                <w:szCs w:val="24"/>
              </w:rPr>
              <w:t>:</w:t>
            </w:r>
          </w:p>
        </w:tc>
        <w:tc>
          <w:tcPr>
            <w:tcW w:w="7938" w:type="dxa"/>
          </w:tcPr>
          <w:p w14:paraId="6EC218F3" w14:textId="34777EFE" w:rsidR="00BE7102" w:rsidRPr="004F725E" w:rsidRDefault="00BE7102" w:rsidP="0012658B">
            <w:pPr>
              <w:spacing w:before="240" w:after="240"/>
              <w:rPr>
                <w:rFonts w:ascii="Open Sans" w:eastAsia="Calibri" w:hAnsi="Open Sans" w:cs="Open Sans"/>
                <w:b/>
                <w:color w:val="000000"/>
                <w:sz w:val="24"/>
                <w:szCs w:val="24"/>
              </w:rPr>
            </w:pPr>
            <w:r>
              <w:rPr>
                <w:rFonts w:ascii="Open Sans" w:eastAsia="Calibri" w:hAnsi="Open Sans" w:cs="Open Sans"/>
                <w:b/>
                <w:color w:val="000000"/>
                <w:sz w:val="24"/>
                <w:szCs w:val="24"/>
              </w:rPr>
              <w:t xml:space="preserve">Forecasting, messy data, </w:t>
            </w:r>
            <w:proofErr w:type="spellStart"/>
            <w:r>
              <w:rPr>
                <w:rFonts w:ascii="Open Sans" w:eastAsia="Calibri" w:hAnsi="Open Sans" w:cs="Open Sans"/>
                <w:b/>
                <w:color w:val="000000"/>
                <w:sz w:val="24"/>
                <w:szCs w:val="24"/>
              </w:rPr>
              <w:t>alteryx</w:t>
            </w:r>
            <w:proofErr w:type="spellEnd"/>
            <w:r>
              <w:rPr>
                <w:rFonts w:ascii="Open Sans" w:eastAsia="Calibri" w:hAnsi="Open Sans" w:cs="Open Sans"/>
                <w:b/>
                <w:color w:val="000000"/>
                <w:sz w:val="24"/>
                <w:szCs w:val="24"/>
              </w:rPr>
              <w:t>/</w:t>
            </w:r>
            <w:proofErr w:type="spellStart"/>
            <w:r>
              <w:rPr>
                <w:rFonts w:ascii="Open Sans" w:eastAsia="Calibri" w:hAnsi="Open Sans" w:cs="Open Sans"/>
                <w:b/>
                <w:color w:val="000000"/>
                <w:sz w:val="24"/>
                <w:szCs w:val="24"/>
              </w:rPr>
              <w:t>powerBI</w:t>
            </w:r>
            <w:proofErr w:type="spellEnd"/>
            <w:r w:rsidRPr="004F725E">
              <w:rPr>
                <w:rFonts w:ascii="Open Sans" w:eastAsia="Calibri" w:hAnsi="Open Sans" w:cs="Open Sans"/>
                <w:b/>
                <w:color w:val="000000"/>
                <w:sz w:val="24"/>
                <w:szCs w:val="24"/>
              </w:rPr>
              <w:t>.</w:t>
            </w:r>
          </w:p>
        </w:tc>
      </w:tr>
    </w:tbl>
    <w:sdt>
      <w:sdtPr>
        <w:rPr>
          <w:rFonts w:asciiTheme="minorHAnsi" w:eastAsiaTheme="minorEastAsia" w:hAnsiTheme="minorHAnsi" w:cs="Times New Roman"/>
          <w:b w:val="0"/>
          <w:bCs w:val="0"/>
          <w:color w:val="33006F"/>
          <w:sz w:val="22"/>
          <w:szCs w:val="22"/>
        </w:rPr>
        <w:id w:val="-360892776"/>
        <w:docPartObj>
          <w:docPartGallery w:val="Table of Contents"/>
          <w:docPartUnique/>
        </w:docPartObj>
      </w:sdtPr>
      <w:sdtEndPr>
        <w:rPr>
          <w:noProof/>
        </w:rPr>
      </w:sdtEndPr>
      <w:sdtContent>
        <w:p w14:paraId="4025BD53" w14:textId="77777777" w:rsidR="000A34F1" w:rsidRPr="00AE45C3" w:rsidRDefault="000A34F1">
          <w:pPr>
            <w:pStyle w:val="TOCHeading"/>
            <w:rPr>
              <w:rFonts w:cs="Times New Roman"/>
              <w:color w:val="33006F"/>
            </w:rPr>
          </w:pPr>
          <w:r w:rsidRPr="00AE45C3">
            <w:rPr>
              <w:rFonts w:cs="Times New Roman"/>
              <w:color w:val="33006F"/>
            </w:rPr>
            <w:t>Contents</w:t>
          </w:r>
        </w:p>
        <w:p w14:paraId="37A424E5" w14:textId="27C22076" w:rsidR="00980F91" w:rsidRDefault="000A34F1">
          <w:pPr>
            <w:pStyle w:val="TOC1"/>
            <w:tabs>
              <w:tab w:val="right" w:leader="dot" w:pos="9638"/>
            </w:tabs>
            <w:rPr>
              <w:noProof/>
              <w:lang w:eastAsia="en-US"/>
            </w:rPr>
          </w:pPr>
          <w:r w:rsidRPr="00AE45C3">
            <w:rPr>
              <w:rFonts w:cs="Times New Roman"/>
              <w:color w:val="33006F"/>
            </w:rPr>
            <w:fldChar w:fldCharType="begin"/>
          </w:r>
          <w:r w:rsidRPr="00AE45C3">
            <w:rPr>
              <w:rFonts w:cs="Times New Roman"/>
              <w:color w:val="33006F"/>
            </w:rPr>
            <w:instrText xml:space="preserve"> TOC \o "1-3" \h \z \u </w:instrText>
          </w:r>
          <w:r w:rsidRPr="00AE45C3">
            <w:rPr>
              <w:rFonts w:cs="Times New Roman"/>
              <w:color w:val="33006F"/>
            </w:rPr>
            <w:fldChar w:fldCharType="separate"/>
          </w:r>
          <w:hyperlink w:anchor="_Toc52017924" w:history="1">
            <w:r w:rsidR="00980F91" w:rsidRPr="001339BE">
              <w:rPr>
                <w:rStyle w:val="Hyperlink"/>
                <w:smallCaps/>
                <w:noProof/>
              </w:rPr>
              <w:t>Case Brief</w:t>
            </w:r>
            <w:r w:rsidR="00980F91">
              <w:rPr>
                <w:noProof/>
                <w:webHidden/>
              </w:rPr>
              <w:tab/>
            </w:r>
            <w:r w:rsidR="00980F91">
              <w:rPr>
                <w:noProof/>
                <w:webHidden/>
              </w:rPr>
              <w:fldChar w:fldCharType="begin"/>
            </w:r>
            <w:r w:rsidR="00980F91">
              <w:rPr>
                <w:noProof/>
                <w:webHidden/>
              </w:rPr>
              <w:instrText xml:space="preserve"> PAGEREF _Toc52017924 \h </w:instrText>
            </w:r>
            <w:r w:rsidR="00980F91">
              <w:rPr>
                <w:noProof/>
                <w:webHidden/>
              </w:rPr>
            </w:r>
            <w:r w:rsidR="00980F91">
              <w:rPr>
                <w:noProof/>
                <w:webHidden/>
              </w:rPr>
              <w:fldChar w:fldCharType="separate"/>
            </w:r>
            <w:r w:rsidR="00980F91">
              <w:rPr>
                <w:noProof/>
                <w:webHidden/>
              </w:rPr>
              <w:t>2</w:t>
            </w:r>
            <w:r w:rsidR="00980F91">
              <w:rPr>
                <w:noProof/>
                <w:webHidden/>
              </w:rPr>
              <w:fldChar w:fldCharType="end"/>
            </w:r>
          </w:hyperlink>
        </w:p>
        <w:p w14:paraId="2F2824A8" w14:textId="33662203" w:rsidR="00980F91" w:rsidRDefault="00980F91">
          <w:pPr>
            <w:pStyle w:val="TOC1"/>
            <w:tabs>
              <w:tab w:val="right" w:leader="dot" w:pos="9638"/>
            </w:tabs>
            <w:rPr>
              <w:noProof/>
              <w:lang w:eastAsia="en-US"/>
            </w:rPr>
          </w:pPr>
          <w:hyperlink w:anchor="_Toc52017925" w:history="1">
            <w:r w:rsidRPr="001339BE">
              <w:rPr>
                <w:rStyle w:val="Hyperlink"/>
                <w:smallCaps/>
                <w:noProof/>
              </w:rPr>
              <w:t>Accounting Analytics</w:t>
            </w:r>
            <w:r>
              <w:rPr>
                <w:noProof/>
                <w:webHidden/>
              </w:rPr>
              <w:tab/>
            </w:r>
            <w:r>
              <w:rPr>
                <w:noProof/>
                <w:webHidden/>
              </w:rPr>
              <w:fldChar w:fldCharType="begin"/>
            </w:r>
            <w:r>
              <w:rPr>
                <w:noProof/>
                <w:webHidden/>
              </w:rPr>
              <w:instrText xml:space="preserve"> PAGEREF _Toc52017925 \h </w:instrText>
            </w:r>
            <w:r>
              <w:rPr>
                <w:noProof/>
                <w:webHidden/>
              </w:rPr>
            </w:r>
            <w:r>
              <w:rPr>
                <w:noProof/>
                <w:webHidden/>
              </w:rPr>
              <w:fldChar w:fldCharType="separate"/>
            </w:r>
            <w:r>
              <w:rPr>
                <w:noProof/>
                <w:webHidden/>
              </w:rPr>
              <w:t>2</w:t>
            </w:r>
            <w:r>
              <w:rPr>
                <w:noProof/>
                <w:webHidden/>
              </w:rPr>
              <w:fldChar w:fldCharType="end"/>
            </w:r>
          </w:hyperlink>
        </w:p>
        <w:p w14:paraId="3213151A" w14:textId="05956CCC" w:rsidR="00980F91" w:rsidRDefault="00980F91">
          <w:pPr>
            <w:pStyle w:val="TOC2"/>
            <w:tabs>
              <w:tab w:val="right" w:leader="dot" w:pos="9638"/>
            </w:tabs>
            <w:rPr>
              <w:noProof/>
              <w:lang w:eastAsia="en-US"/>
            </w:rPr>
          </w:pPr>
          <w:hyperlink w:anchor="_Toc52017926" w:history="1">
            <w:r w:rsidRPr="001339BE">
              <w:rPr>
                <w:rStyle w:val="Hyperlink"/>
                <w:i/>
                <w:noProof/>
              </w:rPr>
              <w:t>Sales Forecasting</w:t>
            </w:r>
            <w:r>
              <w:rPr>
                <w:noProof/>
                <w:webHidden/>
              </w:rPr>
              <w:tab/>
            </w:r>
            <w:r>
              <w:rPr>
                <w:noProof/>
                <w:webHidden/>
              </w:rPr>
              <w:fldChar w:fldCharType="begin"/>
            </w:r>
            <w:r>
              <w:rPr>
                <w:noProof/>
                <w:webHidden/>
              </w:rPr>
              <w:instrText xml:space="preserve"> PAGEREF _Toc52017926 \h </w:instrText>
            </w:r>
            <w:r>
              <w:rPr>
                <w:noProof/>
                <w:webHidden/>
              </w:rPr>
            </w:r>
            <w:r>
              <w:rPr>
                <w:noProof/>
                <w:webHidden/>
              </w:rPr>
              <w:fldChar w:fldCharType="separate"/>
            </w:r>
            <w:r>
              <w:rPr>
                <w:noProof/>
                <w:webHidden/>
              </w:rPr>
              <w:t>2</w:t>
            </w:r>
            <w:r>
              <w:rPr>
                <w:noProof/>
                <w:webHidden/>
              </w:rPr>
              <w:fldChar w:fldCharType="end"/>
            </w:r>
          </w:hyperlink>
        </w:p>
        <w:p w14:paraId="211D58A5" w14:textId="2BE537A6" w:rsidR="00980F91" w:rsidRDefault="00980F91">
          <w:pPr>
            <w:pStyle w:val="TOC2"/>
            <w:tabs>
              <w:tab w:val="right" w:leader="dot" w:pos="9638"/>
            </w:tabs>
            <w:rPr>
              <w:noProof/>
              <w:lang w:eastAsia="en-US"/>
            </w:rPr>
          </w:pPr>
          <w:hyperlink w:anchor="_Toc52017927" w:history="1">
            <w:r w:rsidRPr="001339BE">
              <w:rPr>
                <w:rStyle w:val="Hyperlink"/>
                <w:i/>
                <w:noProof/>
              </w:rPr>
              <w:t>Customer Churn</w:t>
            </w:r>
            <w:r>
              <w:rPr>
                <w:noProof/>
                <w:webHidden/>
              </w:rPr>
              <w:tab/>
            </w:r>
            <w:r>
              <w:rPr>
                <w:noProof/>
                <w:webHidden/>
              </w:rPr>
              <w:fldChar w:fldCharType="begin"/>
            </w:r>
            <w:r>
              <w:rPr>
                <w:noProof/>
                <w:webHidden/>
              </w:rPr>
              <w:instrText xml:space="preserve"> PAGEREF _Toc52017927 \h </w:instrText>
            </w:r>
            <w:r>
              <w:rPr>
                <w:noProof/>
                <w:webHidden/>
              </w:rPr>
            </w:r>
            <w:r>
              <w:rPr>
                <w:noProof/>
                <w:webHidden/>
              </w:rPr>
              <w:fldChar w:fldCharType="separate"/>
            </w:r>
            <w:r>
              <w:rPr>
                <w:noProof/>
                <w:webHidden/>
              </w:rPr>
              <w:t>4</w:t>
            </w:r>
            <w:r>
              <w:rPr>
                <w:noProof/>
                <w:webHidden/>
              </w:rPr>
              <w:fldChar w:fldCharType="end"/>
            </w:r>
          </w:hyperlink>
        </w:p>
        <w:p w14:paraId="7DDE6F61" w14:textId="4B12DCD2" w:rsidR="00980F91" w:rsidRDefault="00980F91">
          <w:pPr>
            <w:pStyle w:val="TOC1"/>
            <w:tabs>
              <w:tab w:val="right" w:leader="dot" w:pos="9638"/>
            </w:tabs>
            <w:rPr>
              <w:noProof/>
              <w:lang w:eastAsia="en-US"/>
            </w:rPr>
          </w:pPr>
          <w:hyperlink w:anchor="_Toc52017928" w:history="1">
            <w:r w:rsidRPr="001339BE">
              <w:rPr>
                <w:rStyle w:val="Hyperlink"/>
                <w:smallCaps/>
                <w:noProof/>
              </w:rPr>
              <w:t>Application to Netflix</w:t>
            </w:r>
            <w:r>
              <w:rPr>
                <w:noProof/>
                <w:webHidden/>
              </w:rPr>
              <w:tab/>
            </w:r>
            <w:r>
              <w:rPr>
                <w:noProof/>
                <w:webHidden/>
              </w:rPr>
              <w:fldChar w:fldCharType="begin"/>
            </w:r>
            <w:r>
              <w:rPr>
                <w:noProof/>
                <w:webHidden/>
              </w:rPr>
              <w:instrText xml:space="preserve"> PAGEREF _Toc52017928 \h </w:instrText>
            </w:r>
            <w:r>
              <w:rPr>
                <w:noProof/>
                <w:webHidden/>
              </w:rPr>
            </w:r>
            <w:r>
              <w:rPr>
                <w:noProof/>
                <w:webHidden/>
              </w:rPr>
              <w:fldChar w:fldCharType="separate"/>
            </w:r>
            <w:r>
              <w:rPr>
                <w:noProof/>
                <w:webHidden/>
              </w:rPr>
              <w:t>5</w:t>
            </w:r>
            <w:r>
              <w:rPr>
                <w:noProof/>
                <w:webHidden/>
              </w:rPr>
              <w:fldChar w:fldCharType="end"/>
            </w:r>
          </w:hyperlink>
        </w:p>
        <w:p w14:paraId="5963DA57" w14:textId="1013CF5B" w:rsidR="00980F91" w:rsidRDefault="00980F91">
          <w:pPr>
            <w:pStyle w:val="TOC2"/>
            <w:tabs>
              <w:tab w:val="right" w:leader="dot" w:pos="9638"/>
            </w:tabs>
            <w:rPr>
              <w:noProof/>
              <w:lang w:eastAsia="en-US"/>
            </w:rPr>
          </w:pPr>
          <w:hyperlink w:anchor="_Toc52017929" w:history="1">
            <w:r w:rsidRPr="001339BE">
              <w:rPr>
                <w:rStyle w:val="Hyperlink"/>
                <w:i/>
                <w:noProof/>
              </w:rPr>
              <w:t>Netflix’s Operating Segments</w:t>
            </w:r>
            <w:r>
              <w:rPr>
                <w:noProof/>
                <w:webHidden/>
              </w:rPr>
              <w:tab/>
            </w:r>
            <w:r>
              <w:rPr>
                <w:noProof/>
                <w:webHidden/>
              </w:rPr>
              <w:fldChar w:fldCharType="begin"/>
            </w:r>
            <w:r>
              <w:rPr>
                <w:noProof/>
                <w:webHidden/>
              </w:rPr>
              <w:instrText xml:space="preserve"> PAGEREF _Toc52017929 \h </w:instrText>
            </w:r>
            <w:r>
              <w:rPr>
                <w:noProof/>
                <w:webHidden/>
              </w:rPr>
            </w:r>
            <w:r>
              <w:rPr>
                <w:noProof/>
                <w:webHidden/>
              </w:rPr>
              <w:fldChar w:fldCharType="separate"/>
            </w:r>
            <w:r>
              <w:rPr>
                <w:noProof/>
                <w:webHidden/>
              </w:rPr>
              <w:t>7</w:t>
            </w:r>
            <w:r>
              <w:rPr>
                <w:noProof/>
                <w:webHidden/>
              </w:rPr>
              <w:fldChar w:fldCharType="end"/>
            </w:r>
          </w:hyperlink>
        </w:p>
        <w:p w14:paraId="66BC306B" w14:textId="0B337154" w:rsidR="00980F91" w:rsidRDefault="00980F91">
          <w:pPr>
            <w:pStyle w:val="TOC2"/>
            <w:tabs>
              <w:tab w:val="right" w:leader="dot" w:pos="9638"/>
            </w:tabs>
            <w:rPr>
              <w:noProof/>
              <w:lang w:eastAsia="en-US"/>
            </w:rPr>
          </w:pPr>
          <w:hyperlink w:anchor="_Toc52017930" w:history="1">
            <w:r w:rsidRPr="001339BE">
              <w:rPr>
                <w:rStyle w:val="Hyperlink"/>
                <w:i/>
                <w:noProof/>
              </w:rPr>
              <w:t>Netflix’s Disclosure Policy</w:t>
            </w:r>
            <w:r>
              <w:rPr>
                <w:noProof/>
                <w:webHidden/>
              </w:rPr>
              <w:tab/>
            </w:r>
            <w:r>
              <w:rPr>
                <w:noProof/>
                <w:webHidden/>
              </w:rPr>
              <w:fldChar w:fldCharType="begin"/>
            </w:r>
            <w:r>
              <w:rPr>
                <w:noProof/>
                <w:webHidden/>
              </w:rPr>
              <w:instrText xml:space="preserve"> PAGEREF _Toc52017930 \h </w:instrText>
            </w:r>
            <w:r>
              <w:rPr>
                <w:noProof/>
                <w:webHidden/>
              </w:rPr>
            </w:r>
            <w:r>
              <w:rPr>
                <w:noProof/>
                <w:webHidden/>
              </w:rPr>
              <w:fldChar w:fldCharType="separate"/>
            </w:r>
            <w:r>
              <w:rPr>
                <w:noProof/>
                <w:webHidden/>
              </w:rPr>
              <w:t>7</w:t>
            </w:r>
            <w:r>
              <w:rPr>
                <w:noProof/>
                <w:webHidden/>
              </w:rPr>
              <w:fldChar w:fldCharType="end"/>
            </w:r>
          </w:hyperlink>
        </w:p>
        <w:p w14:paraId="5C9A5987" w14:textId="472635AC" w:rsidR="00980F91" w:rsidRDefault="00980F91">
          <w:pPr>
            <w:pStyle w:val="TOC2"/>
            <w:tabs>
              <w:tab w:val="right" w:leader="dot" w:pos="9638"/>
            </w:tabs>
            <w:rPr>
              <w:noProof/>
              <w:lang w:eastAsia="en-US"/>
            </w:rPr>
          </w:pPr>
          <w:hyperlink w:anchor="_Toc52017931" w:history="1">
            <w:r w:rsidRPr="001339BE">
              <w:rPr>
                <w:rStyle w:val="Hyperlink"/>
                <w:i/>
                <w:noProof/>
              </w:rPr>
              <w:t>Customer Forecasts for Netflix</w:t>
            </w:r>
            <w:r>
              <w:rPr>
                <w:noProof/>
                <w:webHidden/>
              </w:rPr>
              <w:tab/>
            </w:r>
            <w:r>
              <w:rPr>
                <w:noProof/>
                <w:webHidden/>
              </w:rPr>
              <w:fldChar w:fldCharType="begin"/>
            </w:r>
            <w:r>
              <w:rPr>
                <w:noProof/>
                <w:webHidden/>
              </w:rPr>
              <w:instrText xml:space="preserve"> PAGEREF _Toc52017931 \h </w:instrText>
            </w:r>
            <w:r>
              <w:rPr>
                <w:noProof/>
                <w:webHidden/>
              </w:rPr>
            </w:r>
            <w:r>
              <w:rPr>
                <w:noProof/>
                <w:webHidden/>
              </w:rPr>
              <w:fldChar w:fldCharType="separate"/>
            </w:r>
            <w:r>
              <w:rPr>
                <w:noProof/>
                <w:webHidden/>
              </w:rPr>
              <w:t>9</w:t>
            </w:r>
            <w:r>
              <w:rPr>
                <w:noProof/>
                <w:webHidden/>
              </w:rPr>
              <w:fldChar w:fldCharType="end"/>
            </w:r>
          </w:hyperlink>
        </w:p>
        <w:p w14:paraId="28697606" w14:textId="5135BC7F" w:rsidR="00980F91" w:rsidRDefault="00980F91">
          <w:pPr>
            <w:pStyle w:val="TOC1"/>
            <w:tabs>
              <w:tab w:val="right" w:leader="dot" w:pos="9638"/>
            </w:tabs>
            <w:rPr>
              <w:noProof/>
              <w:lang w:eastAsia="en-US"/>
            </w:rPr>
          </w:pPr>
          <w:hyperlink w:anchor="_Toc52017932" w:history="1">
            <w:r w:rsidRPr="001339BE">
              <w:rPr>
                <w:rStyle w:val="Hyperlink"/>
                <w:smallCaps/>
                <w:noProof/>
              </w:rPr>
              <w:t>Conclusion</w:t>
            </w:r>
            <w:r>
              <w:rPr>
                <w:noProof/>
                <w:webHidden/>
              </w:rPr>
              <w:tab/>
            </w:r>
            <w:r>
              <w:rPr>
                <w:noProof/>
                <w:webHidden/>
              </w:rPr>
              <w:fldChar w:fldCharType="begin"/>
            </w:r>
            <w:r>
              <w:rPr>
                <w:noProof/>
                <w:webHidden/>
              </w:rPr>
              <w:instrText xml:space="preserve"> PAGEREF _Toc52017932 \h </w:instrText>
            </w:r>
            <w:r>
              <w:rPr>
                <w:noProof/>
                <w:webHidden/>
              </w:rPr>
            </w:r>
            <w:r>
              <w:rPr>
                <w:noProof/>
                <w:webHidden/>
              </w:rPr>
              <w:fldChar w:fldCharType="separate"/>
            </w:r>
            <w:r>
              <w:rPr>
                <w:noProof/>
                <w:webHidden/>
              </w:rPr>
              <w:t>9</w:t>
            </w:r>
            <w:r>
              <w:rPr>
                <w:noProof/>
                <w:webHidden/>
              </w:rPr>
              <w:fldChar w:fldCharType="end"/>
            </w:r>
          </w:hyperlink>
        </w:p>
        <w:p w14:paraId="70E17FD2" w14:textId="647A1DDE" w:rsidR="00980F91" w:rsidRDefault="00980F91">
          <w:pPr>
            <w:pStyle w:val="TOC1"/>
            <w:tabs>
              <w:tab w:val="right" w:leader="dot" w:pos="9638"/>
            </w:tabs>
            <w:rPr>
              <w:noProof/>
              <w:lang w:eastAsia="en-US"/>
            </w:rPr>
          </w:pPr>
          <w:hyperlink w:anchor="_Toc52017933" w:history="1">
            <w:r w:rsidRPr="001339BE">
              <w:rPr>
                <w:rStyle w:val="Hyperlink"/>
                <w:smallCaps/>
                <w:noProof/>
              </w:rPr>
              <w:t>Data and Resources</w:t>
            </w:r>
            <w:r>
              <w:rPr>
                <w:noProof/>
                <w:webHidden/>
              </w:rPr>
              <w:tab/>
            </w:r>
            <w:r>
              <w:rPr>
                <w:noProof/>
                <w:webHidden/>
              </w:rPr>
              <w:fldChar w:fldCharType="begin"/>
            </w:r>
            <w:r>
              <w:rPr>
                <w:noProof/>
                <w:webHidden/>
              </w:rPr>
              <w:instrText xml:space="preserve"> PAGEREF _Toc52017933 \h </w:instrText>
            </w:r>
            <w:r>
              <w:rPr>
                <w:noProof/>
                <w:webHidden/>
              </w:rPr>
            </w:r>
            <w:r>
              <w:rPr>
                <w:noProof/>
                <w:webHidden/>
              </w:rPr>
              <w:fldChar w:fldCharType="separate"/>
            </w:r>
            <w:r>
              <w:rPr>
                <w:noProof/>
                <w:webHidden/>
              </w:rPr>
              <w:t>9</w:t>
            </w:r>
            <w:r>
              <w:rPr>
                <w:noProof/>
                <w:webHidden/>
              </w:rPr>
              <w:fldChar w:fldCharType="end"/>
            </w:r>
          </w:hyperlink>
        </w:p>
        <w:p w14:paraId="15F18B9C" w14:textId="0741372A" w:rsidR="00980F91" w:rsidRDefault="00980F91">
          <w:pPr>
            <w:pStyle w:val="TOC1"/>
            <w:tabs>
              <w:tab w:val="right" w:leader="dot" w:pos="9638"/>
            </w:tabs>
            <w:rPr>
              <w:noProof/>
              <w:lang w:eastAsia="en-US"/>
            </w:rPr>
          </w:pPr>
          <w:hyperlink w:anchor="_Toc52017934" w:history="1">
            <w:r w:rsidRPr="001339BE">
              <w:rPr>
                <w:rStyle w:val="Hyperlink"/>
                <w:smallCaps/>
                <w:noProof/>
              </w:rPr>
              <w:t>References</w:t>
            </w:r>
            <w:r>
              <w:rPr>
                <w:noProof/>
                <w:webHidden/>
              </w:rPr>
              <w:tab/>
            </w:r>
            <w:r>
              <w:rPr>
                <w:noProof/>
                <w:webHidden/>
              </w:rPr>
              <w:fldChar w:fldCharType="begin"/>
            </w:r>
            <w:r>
              <w:rPr>
                <w:noProof/>
                <w:webHidden/>
              </w:rPr>
              <w:instrText xml:space="preserve"> PAGEREF _Toc52017934 \h </w:instrText>
            </w:r>
            <w:r>
              <w:rPr>
                <w:noProof/>
                <w:webHidden/>
              </w:rPr>
            </w:r>
            <w:r>
              <w:rPr>
                <w:noProof/>
                <w:webHidden/>
              </w:rPr>
              <w:fldChar w:fldCharType="separate"/>
            </w:r>
            <w:r>
              <w:rPr>
                <w:noProof/>
                <w:webHidden/>
              </w:rPr>
              <w:t>9</w:t>
            </w:r>
            <w:r>
              <w:rPr>
                <w:noProof/>
                <w:webHidden/>
              </w:rPr>
              <w:fldChar w:fldCharType="end"/>
            </w:r>
          </w:hyperlink>
        </w:p>
        <w:p w14:paraId="42252688" w14:textId="6E859DEF" w:rsidR="000A34F1" w:rsidRPr="00AE45C3" w:rsidRDefault="000A34F1" w:rsidP="00AE45C3">
          <w:pPr>
            <w:pStyle w:val="TOC1"/>
            <w:tabs>
              <w:tab w:val="right" w:leader="dot" w:pos="7838"/>
            </w:tabs>
            <w:rPr>
              <w:rFonts w:cs="Times New Roman"/>
              <w:color w:val="33006F"/>
            </w:rPr>
          </w:pPr>
          <w:r w:rsidRPr="00AE45C3">
            <w:rPr>
              <w:rFonts w:cs="Times New Roman"/>
              <w:b/>
              <w:bCs/>
              <w:noProof/>
              <w:color w:val="33006F"/>
            </w:rPr>
            <w:fldChar w:fldCharType="end"/>
          </w:r>
        </w:p>
      </w:sdtContent>
    </w:sdt>
    <w:p w14:paraId="2643F803" w14:textId="77777777" w:rsidR="000A34F1" w:rsidRDefault="000A34F1">
      <w:pPr>
        <w:spacing w:line="240" w:lineRule="auto"/>
      </w:pPr>
      <w:r>
        <w:br w:type="page"/>
      </w:r>
    </w:p>
    <w:p w14:paraId="188E654E" w14:textId="77777777" w:rsidR="00F8742C" w:rsidRPr="00732C96" w:rsidRDefault="00623BB3" w:rsidP="00F8742C">
      <w:pPr>
        <w:pStyle w:val="Heading1"/>
        <w:rPr>
          <w:smallCaps/>
          <w:color w:val="33006F"/>
        </w:rPr>
      </w:pPr>
      <w:bookmarkStart w:id="0" w:name="_Toc52017924"/>
      <w:r>
        <w:rPr>
          <w:smallCaps/>
          <w:color w:val="33006F"/>
        </w:rPr>
        <w:lastRenderedPageBreak/>
        <w:t>Case</w:t>
      </w:r>
      <w:r w:rsidR="00F8742C" w:rsidRPr="00732C96">
        <w:rPr>
          <w:smallCaps/>
          <w:color w:val="33006F"/>
        </w:rPr>
        <w:t xml:space="preserve"> Brief</w:t>
      </w:r>
      <w:bookmarkEnd w:id="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
        <w:gridCol w:w="6390"/>
        <w:gridCol w:w="846"/>
      </w:tblGrid>
      <w:tr w:rsidR="000A34F1" w14:paraId="7D14ABD8" w14:textId="77777777" w:rsidTr="000A34F1">
        <w:tc>
          <w:tcPr>
            <w:tcW w:w="828" w:type="dxa"/>
          </w:tcPr>
          <w:p w14:paraId="29D12F7D" w14:textId="77777777" w:rsidR="000A34F1" w:rsidRDefault="000A34F1" w:rsidP="003D11EC">
            <w:pPr>
              <w:spacing w:before="120" w:after="120" w:line="360" w:lineRule="auto"/>
              <w:jc w:val="both"/>
            </w:pPr>
          </w:p>
        </w:tc>
        <w:tc>
          <w:tcPr>
            <w:tcW w:w="6390" w:type="dxa"/>
          </w:tcPr>
          <w:p w14:paraId="59179331" w14:textId="77777777" w:rsidR="000A34F1" w:rsidRPr="000A34F1" w:rsidRDefault="000A34F1" w:rsidP="003D11EC">
            <w:pPr>
              <w:spacing w:before="120" w:after="120" w:line="360" w:lineRule="auto"/>
              <w:jc w:val="both"/>
              <w:rPr>
                <w:i/>
              </w:rPr>
            </w:pPr>
            <w:r w:rsidRPr="000A34F1">
              <w:rPr>
                <w:i/>
              </w:rPr>
              <w:t>How can Netflix best increase revenue from customers?</w:t>
            </w:r>
          </w:p>
        </w:tc>
        <w:tc>
          <w:tcPr>
            <w:tcW w:w="846" w:type="dxa"/>
          </w:tcPr>
          <w:p w14:paraId="7876B542" w14:textId="77777777" w:rsidR="000A34F1" w:rsidRDefault="000A34F1" w:rsidP="003D11EC">
            <w:pPr>
              <w:spacing w:before="120" w:after="120" w:line="360" w:lineRule="auto"/>
              <w:jc w:val="both"/>
            </w:pPr>
          </w:p>
        </w:tc>
      </w:tr>
    </w:tbl>
    <w:p w14:paraId="1D117BE0" w14:textId="77777777" w:rsidR="000A34F1" w:rsidRDefault="000A34F1" w:rsidP="003D11EC">
      <w:pPr>
        <w:spacing w:before="120" w:after="120" w:line="360" w:lineRule="auto"/>
        <w:jc w:val="both"/>
      </w:pPr>
      <w:r>
        <w:t xml:space="preserve">Your consulting firm has been requested by Netflix to develop one </w:t>
      </w:r>
      <w:r w:rsidR="00AC1A3E">
        <w:t>strategy</w:t>
      </w:r>
      <w:r>
        <w:t xml:space="preserve"> to increase revenue from customers. </w:t>
      </w:r>
      <w:r w:rsidR="00A830BE">
        <w:t xml:space="preserve">You have been asked to pitch a new strategy. To do so, you need to think about Netflix’s prior strategies and how they have influenced subscriber growth. </w:t>
      </w:r>
      <w:r>
        <w:t xml:space="preserve">You will have the opportunity to discuss the rationale for and the practicalities of your recommendation(s) in class. </w:t>
      </w:r>
    </w:p>
    <w:p w14:paraId="42CA0456" w14:textId="77777777" w:rsidR="00AC1A3E" w:rsidRDefault="00AC1A3E" w:rsidP="003D11EC">
      <w:pPr>
        <w:spacing w:before="120" w:after="120" w:line="360" w:lineRule="auto"/>
        <w:jc w:val="both"/>
      </w:pPr>
      <w:r>
        <w:t xml:space="preserve">Future growth for Netflix is unlikely to stem from global expansion, as Netflix operates in almost 200 countries worldwide </w:t>
      </w:r>
      <w:r>
        <w:fldChar w:fldCharType="begin"/>
      </w:r>
      <w:r>
        <w:instrText xml:space="preserve"> ADDIN EN.CITE &lt;EndNote&gt;&lt;Cite&gt;&lt;Author&gt;Stelter&lt;/Author&gt;&lt;Year&gt;2016&lt;/Year&gt;&lt;RecNum&gt;349&lt;/RecNum&gt;&lt;DisplayText&gt;(Stelter 2016)&lt;/DisplayText&gt;&lt;record&gt;&lt;rec-number&gt;349&lt;/rec-number&gt;&lt;foreign-keys&gt;&lt;key app="EN" db-id="5wddtwtdltavvheer5vvrda5pftspd2zre9e" timestamp="1481575223"&gt;349&lt;/key&gt;&lt;/foreign-keys&gt;&lt;ref-type name="Newspaper Article"&gt;23&lt;/ref-type&gt;&lt;contributors&gt;&lt;authors&gt;&lt;author&gt;Stelter, Brian&lt;/author&gt;&lt;/authors&gt;&lt;/contributors&gt;&lt;titles&gt;&lt;title&gt;Countries where Netflix is now available&lt;/title&gt;&lt;secondary-title&gt;CNN Money&lt;/secondary-title&gt;&lt;/titles&gt;&lt;dates&gt;&lt;year&gt;2016&lt;/year&gt;&lt;/dates&gt;&lt;pub-location&gt;http://money.cnn.com/2016/01/06/media/netflix-global-launch-countries/&lt;/pub-location&gt;&lt;urls&gt;&lt;/urls&gt;&lt;/record&gt;&lt;/Cite&gt;&lt;/EndNote&gt;</w:instrText>
      </w:r>
      <w:r>
        <w:fldChar w:fldCharType="separate"/>
      </w:r>
      <w:r>
        <w:rPr>
          <w:noProof/>
        </w:rPr>
        <w:t>(Stelter 2016)</w:t>
      </w:r>
      <w:r>
        <w:fldChar w:fldCharType="end"/>
      </w:r>
      <w:r>
        <w:t>. This means that you will have to propose a more innovative strategy that will allow for organic growth of the company.</w:t>
      </w:r>
    </w:p>
    <w:p w14:paraId="5B15276A" w14:textId="401B955F" w:rsidR="00894735" w:rsidRDefault="00A830BE" w:rsidP="003D11EC">
      <w:pPr>
        <w:spacing w:before="120" w:after="120" w:line="360" w:lineRule="auto"/>
        <w:jc w:val="both"/>
      </w:pPr>
      <w:r>
        <w:t>Enjoy and b</w:t>
      </w:r>
      <w:r w:rsidR="00894735">
        <w:t>e creative and innovative</w:t>
      </w:r>
      <w:r w:rsidR="00BE7102">
        <w:t xml:space="preserve"> in this case</w:t>
      </w:r>
      <w:r w:rsidR="00894735">
        <w:t>!</w:t>
      </w:r>
    </w:p>
    <w:p w14:paraId="391F30D7" w14:textId="650841D3" w:rsidR="00EA3205" w:rsidRPr="00732C96" w:rsidRDefault="00387E42" w:rsidP="00EA3205">
      <w:pPr>
        <w:pStyle w:val="Heading1"/>
        <w:rPr>
          <w:smallCaps/>
          <w:color w:val="33006F"/>
        </w:rPr>
      </w:pPr>
      <w:bookmarkStart w:id="1" w:name="_Toc52017925"/>
      <w:r>
        <w:rPr>
          <w:smallCaps/>
          <w:color w:val="33006F"/>
        </w:rPr>
        <w:t xml:space="preserve">Accounting </w:t>
      </w:r>
      <w:r w:rsidR="00EA3205" w:rsidRPr="00732C96">
        <w:rPr>
          <w:smallCaps/>
          <w:color w:val="33006F"/>
        </w:rPr>
        <w:t>Analytics</w:t>
      </w:r>
      <w:bookmarkEnd w:id="1"/>
    </w:p>
    <w:p w14:paraId="7CA16BFD" w14:textId="77777777" w:rsidR="00F8742C" w:rsidRPr="00732C96" w:rsidRDefault="00F8742C" w:rsidP="00732C96">
      <w:pPr>
        <w:pStyle w:val="Heading2"/>
        <w:rPr>
          <w:i/>
          <w:color w:val="33006F"/>
        </w:rPr>
      </w:pPr>
      <w:bookmarkStart w:id="2" w:name="_Toc52017926"/>
      <w:r w:rsidRPr="00732C96">
        <w:rPr>
          <w:i/>
          <w:color w:val="33006F"/>
        </w:rPr>
        <w:t>Sales Forecasting</w:t>
      </w:r>
      <w:bookmarkEnd w:id="2"/>
    </w:p>
    <w:p w14:paraId="57B8B87A" w14:textId="77777777" w:rsidR="00F8742C" w:rsidRDefault="00F8742C" w:rsidP="00F8742C">
      <w:pPr>
        <w:spacing w:before="120" w:after="120" w:line="360" w:lineRule="auto"/>
        <w:jc w:val="both"/>
      </w:pPr>
      <w:r>
        <w:t>Every financial statement forecast begins with a sales estimate. Typically</w:t>
      </w:r>
      <w:r w:rsidR="009D4C0E">
        <w:t>,</w:t>
      </w:r>
      <w:r>
        <w:t xml:space="preserve"> the sales estimate is then combined with margin forecasts to estimate future income, and combined with turnover forecasts to estimate future assets, but the entire process is predicated on a precise sales forecast. In this case, we will explicitly incorporate information from two distinct sources of future sales growth – changes in the number of sales-generating units (e.g. new subscribers) and changes in the rate of sales per unit (e.g. the subscription fee Netflix can charge).</w:t>
      </w:r>
    </w:p>
    <w:p w14:paraId="648A0BFE" w14:textId="77777777" w:rsidR="00F8742C" w:rsidRDefault="00F8742C" w:rsidP="00F8742C">
      <w:pPr>
        <w:spacing w:before="120" w:after="120" w:line="360" w:lineRule="auto"/>
        <w:jc w:val="both"/>
      </w:pPr>
      <w:r>
        <w:t>Netflix is a subscription service and their revenues can be considered most simply as a function of the number of subscribers they are able to retain times the subscription fee they are able to charge, this can be written in terms of sales growth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
        <w:gridCol w:w="7920"/>
        <w:gridCol w:w="828"/>
      </w:tblGrid>
      <w:tr w:rsidR="00FE4D48" w14:paraId="13C842FF" w14:textId="77777777" w:rsidTr="001E63CB">
        <w:tc>
          <w:tcPr>
            <w:tcW w:w="828" w:type="dxa"/>
          </w:tcPr>
          <w:p w14:paraId="1EFAE9CA" w14:textId="77777777" w:rsidR="001E63CB" w:rsidRDefault="001E63CB" w:rsidP="00350694">
            <w:pPr>
              <w:spacing w:line="360" w:lineRule="auto"/>
              <w:jc w:val="both"/>
              <w:rPr>
                <w:rFonts w:eastAsia="Times New Roman"/>
                <w:sz w:val="24"/>
                <w:szCs w:val="24"/>
              </w:rPr>
            </w:pPr>
          </w:p>
        </w:tc>
        <w:tc>
          <w:tcPr>
            <w:tcW w:w="7920" w:type="dxa"/>
            <w:vAlign w:val="center"/>
          </w:tcPr>
          <w:p w14:paraId="1AE7AE0C" w14:textId="77777777" w:rsidR="001E63CB" w:rsidRDefault="00FE4D48" w:rsidP="00FE4D48">
            <w:pPr>
              <w:spacing w:line="360" w:lineRule="auto"/>
              <w:jc w:val="center"/>
              <w:rPr>
                <w:rFonts w:eastAsia="Times New Roman"/>
                <w:sz w:val="24"/>
                <w:szCs w:val="24"/>
              </w:rPr>
            </w:pPr>
            <m:oMathPara>
              <m:oMath>
                <m:r>
                  <w:rPr>
                    <w:rFonts w:ascii="Cambria Math" w:eastAsia="Times New Roman" w:hAnsi="Cambria Math"/>
                    <w:sz w:val="24"/>
                    <w:szCs w:val="24"/>
                  </w:rPr>
                  <m:t>%Sales Growth=</m:t>
                </m:r>
                <m:d>
                  <m:dPr>
                    <m:ctrlPr>
                      <w:rPr>
                        <w:rFonts w:ascii="Cambria Math" w:eastAsia="Times New Roman" w:hAnsi="Cambria Math"/>
                        <w:i/>
                        <w:sz w:val="24"/>
                        <w:szCs w:val="24"/>
                      </w:rPr>
                    </m:ctrlPr>
                  </m:dPr>
                  <m:e>
                    <m:r>
                      <w:rPr>
                        <w:rFonts w:ascii="Cambria Math" w:eastAsia="Times New Roman" w:hAnsi="Cambria Math"/>
                        <w:sz w:val="24"/>
                        <w:szCs w:val="24"/>
                      </w:rPr>
                      <m:t>1+%growth in #subscribers</m:t>
                    </m:r>
                  </m:e>
                </m:d>
                <m:r>
                  <w:rPr>
                    <w:rFonts w:ascii="Cambria Math" w:eastAsia="Times New Roman" w:hAnsi="Cambria Math"/>
                    <w:sz w:val="24"/>
                    <w:szCs w:val="24"/>
                  </w:rPr>
                  <m:t>×</m:t>
                </m:r>
                <m:d>
                  <m:dPr>
                    <m:ctrlPr>
                      <w:rPr>
                        <w:rFonts w:ascii="Cambria Math" w:eastAsia="Times New Roman" w:hAnsi="Cambria Math"/>
                        <w:i/>
                        <w:sz w:val="24"/>
                        <w:szCs w:val="24"/>
                      </w:rPr>
                    </m:ctrlPr>
                  </m:dPr>
                  <m:e>
                    <m:r>
                      <w:rPr>
                        <w:rFonts w:ascii="Cambria Math" w:eastAsia="Times New Roman" w:hAnsi="Cambria Math"/>
                        <w:sz w:val="24"/>
                        <w:szCs w:val="24"/>
                      </w:rPr>
                      <m:t>1+%growth in revenue/subscriber</m:t>
                    </m:r>
                  </m:e>
                </m:d>
              </m:oMath>
            </m:oMathPara>
          </w:p>
        </w:tc>
        <w:tc>
          <w:tcPr>
            <w:tcW w:w="828" w:type="dxa"/>
            <w:vAlign w:val="center"/>
          </w:tcPr>
          <w:p w14:paraId="450CB6A9" w14:textId="7F8F3B11" w:rsidR="001E63CB" w:rsidRDefault="001E63CB" w:rsidP="00350694">
            <w:pPr>
              <w:spacing w:line="360" w:lineRule="auto"/>
              <w:jc w:val="right"/>
              <w:rPr>
                <w:rFonts w:eastAsia="Times New Roman"/>
                <w:sz w:val="24"/>
                <w:szCs w:val="24"/>
              </w:rPr>
            </w:pPr>
            <w:r>
              <w:rPr>
                <w:rFonts w:eastAsia="Times New Roman"/>
                <w:sz w:val="24"/>
                <w:szCs w:val="24"/>
              </w:rPr>
              <w:t>(</w:t>
            </w:r>
            <w:r>
              <w:rPr>
                <w:rFonts w:eastAsia="Times New Roman"/>
                <w:sz w:val="24"/>
                <w:szCs w:val="24"/>
              </w:rPr>
              <w:fldChar w:fldCharType="begin"/>
            </w:r>
            <w:r>
              <w:rPr>
                <w:rFonts w:eastAsia="Times New Roman"/>
                <w:sz w:val="24"/>
                <w:szCs w:val="24"/>
              </w:rPr>
              <w:instrText xml:space="preserve"> SEQ Eq \* MERGEFORMAT </w:instrText>
            </w:r>
            <w:r>
              <w:rPr>
                <w:rFonts w:eastAsia="Times New Roman"/>
                <w:sz w:val="24"/>
                <w:szCs w:val="24"/>
              </w:rPr>
              <w:fldChar w:fldCharType="separate"/>
            </w:r>
            <w:r w:rsidR="00980F91">
              <w:rPr>
                <w:rFonts w:eastAsia="Times New Roman"/>
                <w:noProof/>
                <w:sz w:val="24"/>
                <w:szCs w:val="24"/>
              </w:rPr>
              <w:t>1</w:t>
            </w:r>
            <w:r>
              <w:rPr>
                <w:rFonts w:eastAsia="Times New Roman"/>
                <w:sz w:val="24"/>
                <w:szCs w:val="24"/>
              </w:rPr>
              <w:fldChar w:fldCharType="end"/>
            </w:r>
            <w:r>
              <w:rPr>
                <w:rFonts w:eastAsia="Times New Roman"/>
                <w:sz w:val="24"/>
                <w:szCs w:val="24"/>
              </w:rPr>
              <w:t>)</w:t>
            </w:r>
          </w:p>
        </w:tc>
      </w:tr>
    </w:tbl>
    <w:p w14:paraId="04BEDCB3" w14:textId="77777777" w:rsidR="001E63CB" w:rsidRDefault="00FE4D48" w:rsidP="00F8742C">
      <w:pPr>
        <w:spacing w:before="120" w:after="120" w:line="360" w:lineRule="auto"/>
        <w:jc w:val="both"/>
      </w:pPr>
      <w:r>
        <w:lastRenderedPageBreak/>
        <w:t xml:space="preserve">Note that all the terms are in percentages, for example, </w:t>
      </w:r>
      <w:r w:rsidR="00177FDE">
        <w:t>the percentage growth in the number of subscribers is calculated as (</w:t>
      </w:r>
      <m:oMath>
        <m:r>
          <w:rPr>
            <w:rFonts w:ascii="Cambria Math" w:eastAsia="Times New Roman" w:hAnsi="Cambria Math"/>
            <w:sz w:val="24"/>
            <w:szCs w:val="24"/>
          </w:rPr>
          <m:t>#subscriber</m:t>
        </m:r>
        <m:sSub>
          <m:sSubPr>
            <m:ctrlPr>
              <w:rPr>
                <w:rFonts w:ascii="Cambria Math" w:eastAsia="Times New Roman" w:hAnsi="Cambria Math"/>
                <w:i/>
                <w:sz w:val="24"/>
                <w:szCs w:val="24"/>
              </w:rPr>
            </m:ctrlPr>
          </m:sSubPr>
          <m:e>
            <m:r>
              <w:rPr>
                <w:rFonts w:ascii="Cambria Math" w:eastAsia="Times New Roman" w:hAnsi="Cambria Math"/>
                <w:sz w:val="24"/>
                <w:szCs w:val="24"/>
              </w:rPr>
              <m:t>s</m:t>
            </m:r>
          </m:e>
          <m:sub>
            <m:r>
              <w:rPr>
                <w:rFonts w:ascii="Cambria Math" w:eastAsia="Times New Roman" w:hAnsi="Cambria Math"/>
                <w:sz w:val="24"/>
                <w:szCs w:val="24"/>
              </w:rPr>
              <m:t>t+1</m:t>
            </m:r>
          </m:sub>
        </m:sSub>
        <m:r>
          <w:rPr>
            <w:rFonts w:ascii="Cambria Math" w:eastAsia="Times New Roman" w:hAnsi="Cambria Math"/>
            <w:sz w:val="24"/>
            <w:szCs w:val="24"/>
          </w:rPr>
          <m:t>/#subscriber</m:t>
        </m:r>
        <m:sSub>
          <m:sSubPr>
            <m:ctrlPr>
              <w:rPr>
                <w:rFonts w:ascii="Cambria Math" w:eastAsia="Times New Roman" w:hAnsi="Cambria Math"/>
                <w:i/>
                <w:sz w:val="24"/>
                <w:szCs w:val="24"/>
              </w:rPr>
            </m:ctrlPr>
          </m:sSubPr>
          <m:e>
            <m:r>
              <w:rPr>
                <w:rFonts w:ascii="Cambria Math" w:eastAsia="Times New Roman" w:hAnsi="Cambria Math"/>
                <w:sz w:val="24"/>
                <w:szCs w:val="24"/>
              </w:rPr>
              <m:t>s</m:t>
            </m:r>
          </m:e>
          <m:sub>
            <m:r>
              <w:rPr>
                <w:rFonts w:ascii="Cambria Math" w:eastAsia="Times New Roman" w:hAnsi="Cambria Math"/>
                <w:sz w:val="24"/>
                <w:szCs w:val="24"/>
              </w:rPr>
              <m:t>t</m:t>
            </m:r>
          </m:sub>
        </m:sSub>
        <m:r>
          <w:rPr>
            <w:rFonts w:ascii="Cambria Math" w:eastAsia="Times New Roman" w:hAnsi="Cambria Math"/>
            <w:sz w:val="24"/>
            <w:szCs w:val="24"/>
          </w:rPr>
          <m:t>)-1</m:t>
        </m:r>
      </m:oMath>
      <w:r w:rsidR="00177FDE">
        <w:rPr>
          <w:rFonts w:eastAsiaTheme="minorEastAsia"/>
          <w:sz w:val="24"/>
          <w:szCs w:val="24"/>
        </w:rPr>
        <w:t>.</w:t>
      </w:r>
    </w:p>
    <w:p w14:paraId="29256B03" w14:textId="77777777" w:rsidR="00FE4D48" w:rsidRDefault="00FE4D48" w:rsidP="00F8742C">
      <w:pPr>
        <w:spacing w:before="120" w:after="120" w:line="360" w:lineRule="auto"/>
        <w:jc w:val="both"/>
      </w:pPr>
      <w:r>
        <w:t>The formula can be rewritten to calculate the dollar value of the increase in sales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
        <w:gridCol w:w="7920"/>
        <w:gridCol w:w="828"/>
      </w:tblGrid>
      <w:tr w:rsidR="00FE4D48" w14:paraId="5AC4901D" w14:textId="77777777" w:rsidTr="00350694">
        <w:tc>
          <w:tcPr>
            <w:tcW w:w="828" w:type="dxa"/>
          </w:tcPr>
          <w:p w14:paraId="1B871D78" w14:textId="77777777" w:rsidR="00FE4D48" w:rsidRDefault="00FE4D48" w:rsidP="00350694">
            <w:pPr>
              <w:spacing w:line="360" w:lineRule="auto"/>
              <w:jc w:val="both"/>
              <w:rPr>
                <w:rFonts w:eastAsia="Times New Roman"/>
                <w:sz w:val="24"/>
                <w:szCs w:val="24"/>
              </w:rPr>
            </w:pPr>
          </w:p>
        </w:tc>
        <w:tc>
          <w:tcPr>
            <w:tcW w:w="7920" w:type="dxa"/>
            <w:vAlign w:val="center"/>
          </w:tcPr>
          <w:p w14:paraId="29825418" w14:textId="77777777" w:rsidR="00FE4D48" w:rsidRDefault="00FE4D48" w:rsidP="00FE4D48">
            <w:pPr>
              <w:spacing w:line="360" w:lineRule="auto"/>
              <w:jc w:val="center"/>
              <w:rPr>
                <w:rFonts w:eastAsia="Times New Roman"/>
                <w:sz w:val="24"/>
                <w:szCs w:val="24"/>
              </w:rPr>
            </w:pPr>
            <m:oMathPara>
              <m:oMath>
                <m:r>
                  <w:rPr>
                    <w:rFonts w:ascii="Cambria Math" w:eastAsia="Times New Roman" w:hAnsi="Cambria Math"/>
                    <w:sz w:val="24"/>
                    <w:szCs w:val="24"/>
                  </w:rPr>
                  <m:t>$Sales Growt</m:t>
                </m:r>
                <m:sSub>
                  <m:sSubPr>
                    <m:ctrlPr>
                      <w:rPr>
                        <w:rFonts w:ascii="Cambria Math" w:eastAsia="Times New Roman" w:hAnsi="Cambria Math"/>
                        <w:i/>
                        <w:sz w:val="24"/>
                        <w:szCs w:val="24"/>
                      </w:rPr>
                    </m:ctrlPr>
                  </m:sSubPr>
                  <m:e>
                    <m:r>
                      <w:rPr>
                        <w:rFonts w:ascii="Cambria Math" w:eastAsia="Times New Roman" w:hAnsi="Cambria Math"/>
                        <w:sz w:val="24"/>
                        <w:szCs w:val="24"/>
                      </w:rPr>
                      <m:t>h</m:t>
                    </m:r>
                  </m:e>
                  <m:sub>
                    <m:r>
                      <w:rPr>
                        <w:rFonts w:ascii="Cambria Math" w:eastAsia="Times New Roman" w:hAnsi="Cambria Math"/>
                        <w:sz w:val="24"/>
                        <w:szCs w:val="24"/>
                      </w:rPr>
                      <m:t>t+1</m:t>
                    </m:r>
                  </m:sub>
                </m:sSub>
                <m:r>
                  <w:rPr>
                    <w:rFonts w:ascii="Cambria Math" w:eastAsia="Times New Roman" w:hAnsi="Cambria Math"/>
                    <w:sz w:val="24"/>
                    <w:szCs w:val="24"/>
                  </w:rPr>
                  <m:t xml:space="preserve"> =Expected</m:t>
                </m:r>
                <m:d>
                  <m:dPr>
                    <m:ctrlPr>
                      <w:rPr>
                        <w:rFonts w:ascii="Cambria Math" w:eastAsia="Times New Roman" w:hAnsi="Cambria Math"/>
                        <w:i/>
                        <w:sz w:val="24"/>
                        <w:szCs w:val="24"/>
                      </w:rPr>
                    </m:ctrlPr>
                  </m:dPr>
                  <m:e>
                    <m:r>
                      <w:rPr>
                        <w:rFonts w:ascii="Cambria Math" w:eastAsia="Times New Roman" w:hAnsi="Cambria Math"/>
                        <w:sz w:val="24"/>
                        <w:szCs w:val="24"/>
                      </w:rPr>
                      <m:t>#sub</m:t>
                    </m:r>
                    <m:sSub>
                      <m:sSubPr>
                        <m:ctrlPr>
                          <w:rPr>
                            <w:rFonts w:ascii="Cambria Math" w:eastAsia="Times New Roman" w:hAnsi="Cambria Math"/>
                            <w:i/>
                            <w:sz w:val="24"/>
                            <w:szCs w:val="24"/>
                          </w:rPr>
                        </m:ctrlPr>
                      </m:sSubPr>
                      <m:e>
                        <m:r>
                          <w:rPr>
                            <w:rFonts w:ascii="Cambria Math" w:eastAsia="Times New Roman" w:hAnsi="Cambria Math"/>
                            <w:sz w:val="24"/>
                            <w:szCs w:val="24"/>
                          </w:rPr>
                          <m:t>s</m:t>
                        </m:r>
                      </m:e>
                      <m:sub>
                        <m:r>
                          <w:rPr>
                            <w:rFonts w:ascii="Cambria Math" w:eastAsia="Times New Roman" w:hAnsi="Cambria Math"/>
                            <w:sz w:val="24"/>
                            <w:szCs w:val="24"/>
                          </w:rPr>
                          <m:t>t+1</m:t>
                        </m:r>
                      </m:sub>
                    </m:sSub>
                    <m:r>
                      <w:rPr>
                        <w:rFonts w:ascii="Cambria Math" w:eastAsia="Times New Roman" w:hAnsi="Cambria Math"/>
                        <w:sz w:val="24"/>
                        <w:szCs w:val="24"/>
                      </w:rPr>
                      <m:t>*rev/sub</m:t>
                    </m:r>
                    <m:sSub>
                      <m:sSubPr>
                        <m:ctrlPr>
                          <w:rPr>
                            <w:rFonts w:ascii="Cambria Math" w:eastAsia="Times New Roman" w:hAnsi="Cambria Math"/>
                            <w:i/>
                            <w:sz w:val="24"/>
                            <w:szCs w:val="24"/>
                          </w:rPr>
                        </m:ctrlPr>
                      </m:sSubPr>
                      <m:e>
                        <m:r>
                          <w:rPr>
                            <w:rFonts w:ascii="Cambria Math" w:eastAsia="Times New Roman" w:hAnsi="Cambria Math"/>
                            <w:sz w:val="24"/>
                            <w:szCs w:val="24"/>
                          </w:rPr>
                          <m:t>s</m:t>
                        </m:r>
                      </m:e>
                      <m:sub>
                        <m:r>
                          <w:rPr>
                            <w:rFonts w:ascii="Cambria Math" w:eastAsia="Times New Roman" w:hAnsi="Cambria Math"/>
                            <w:sz w:val="24"/>
                            <w:szCs w:val="24"/>
                          </w:rPr>
                          <m:t>t+1</m:t>
                        </m:r>
                      </m:sub>
                    </m:sSub>
                  </m:e>
                </m:d>
                <m:r>
                  <w:rPr>
                    <w:rFonts w:ascii="Cambria Math" w:eastAsia="Times New Roman" w:hAnsi="Cambria Math"/>
                    <w:sz w:val="24"/>
                    <w:szCs w:val="24"/>
                  </w:rPr>
                  <m:t>-Actual</m:t>
                </m:r>
                <m:d>
                  <m:dPr>
                    <m:ctrlPr>
                      <w:rPr>
                        <w:rFonts w:ascii="Cambria Math" w:eastAsia="Times New Roman" w:hAnsi="Cambria Math"/>
                        <w:i/>
                        <w:sz w:val="24"/>
                        <w:szCs w:val="24"/>
                      </w:rPr>
                    </m:ctrlPr>
                  </m:dPr>
                  <m:e>
                    <m:r>
                      <w:rPr>
                        <w:rFonts w:ascii="Cambria Math" w:eastAsia="Times New Roman" w:hAnsi="Cambria Math"/>
                        <w:sz w:val="24"/>
                        <w:szCs w:val="24"/>
                      </w:rPr>
                      <m:t>#sub</m:t>
                    </m:r>
                    <m:sSub>
                      <m:sSubPr>
                        <m:ctrlPr>
                          <w:rPr>
                            <w:rFonts w:ascii="Cambria Math" w:eastAsia="Times New Roman" w:hAnsi="Cambria Math"/>
                            <w:i/>
                            <w:sz w:val="24"/>
                            <w:szCs w:val="24"/>
                          </w:rPr>
                        </m:ctrlPr>
                      </m:sSubPr>
                      <m:e>
                        <m:r>
                          <w:rPr>
                            <w:rFonts w:ascii="Cambria Math" w:eastAsia="Times New Roman" w:hAnsi="Cambria Math"/>
                            <w:sz w:val="24"/>
                            <w:szCs w:val="24"/>
                          </w:rPr>
                          <m:t>s</m:t>
                        </m:r>
                      </m:e>
                      <m:sub>
                        <m:r>
                          <w:rPr>
                            <w:rFonts w:ascii="Cambria Math" w:eastAsia="Times New Roman" w:hAnsi="Cambria Math"/>
                            <w:sz w:val="24"/>
                            <w:szCs w:val="24"/>
                          </w:rPr>
                          <m:t>t</m:t>
                        </m:r>
                      </m:sub>
                    </m:sSub>
                    <m:r>
                      <w:rPr>
                        <w:rFonts w:ascii="Cambria Math" w:eastAsia="Times New Roman" w:hAnsi="Cambria Math"/>
                        <w:sz w:val="24"/>
                        <w:szCs w:val="24"/>
                      </w:rPr>
                      <m:t>*rev/sub</m:t>
                    </m:r>
                    <m:sSub>
                      <m:sSubPr>
                        <m:ctrlPr>
                          <w:rPr>
                            <w:rFonts w:ascii="Cambria Math" w:eastAsia="Times New Roman" w:hAnsi="Cambria Math"/>
                            <w:i/>
                            <w:sz w:val="24"/>
                            <w:szCs w:val="24"/>
                          </w:rPr>
                        </m:ctrlPr>
                      </m:sSubPr>
                      <m:e>
                        <m:r>
                          <w:rPr>
                            <w:rFonts w:ascii="Cambria Math" w:eastAsia="Times New Roman" w:hAnsi="Cambria Math"/>
                            <w:sz w:val="24"/>
                            <w:szCs w:val="24"/>
                          </w:rPr>
                          <m:t>s</m:t>
                        </m:r>
                      </m:e>
                      <m:sub>
                        <m:r>
                          <w:rPr>
                            <w:rFonts w:ascii="Cambria Math" w:eastAsia="Times New Roman" w:hAnsi="Cambria Math"/>
                            <w:sz w:val="24"/>
                            <w:szCs w:val="24"/>
                          </w:rPr>
                          <m:t>t</m:t>
                        </m:r>
                      </m:sub>
                    </m:sSub>
                  </m:e>
                </m:d>
              </m:oMath>
            </m:oMathPara>
          </w:p>
        </w:tc>
        <w:tc>
          <w:tcPr>
            <w:tcW w:w="828" w:type="dxa"/>
            <w:vAlign w:val="center"/>
          </w:tcPr>
          <w:p w14:paraId="07E0EBD9" w14:textId="29E6A60D" w:rsidR="00FE4D48" w:rsidRDefault="00FE4D48" w:rsidP="00350694">
            <w:pPr>
              <w:spacing w:line="360" w:lineRule="auto"/>
              <w:jc w:val="right"/>
              <w:rPr>
                <w:rFonts w:eastAsia="Times New Roman"/>
                <w:sz w:val="24"/>
                <w:szCs w:val="24"/>
              </w:rPr>
            </w:pPr>
            <w:r>
              <w:rPr>
                <w:rFonts w:eastAsia="Times New Roman"/>
                <w:sz w:val="24"/>
                <w:szCs w:val="24"/>
              </w:rPr>
              <w:t>(</w:t>
            </w:r>
            <w:r>
              <w:rPr>
                <w:rFonts w:eastAsia="Times New Roman"/>
                <w:sz w:val="24"/>
                <w:szCs w:val="24"/>
              </w:rPr>
              <w:fldChar w:fldCharType="begin"/>
            </w:r>
            <w:r>
              <w:rPr>
                <w:rFonts w:eastAsia="Times New Roman"/>
                <w:sz w:val="24"/>
                <w:szCs w:val="24"/>
              </w:rPr>
              <w:instrText xml:space="preserve"> SEQ Eq \* MERGEFORMAT </w:instrText>
            </w:r>
            <w:r>
              <w:rPr>
                <w:rFonts w:eastAsia="Times New Roman"/>
                <w:sz w:val="24"/>
                <w:szCs w:val="24"/>
              </w:rPr>
              <w:fldChar w:fldCharType="separate"/>
            </w:r>
            <w:r w:rsidR="00980F91">
              <w:rPr>
                <w:rFonts w:eastAsia="Times New Roman"/>
                <w:noProof/>
                <w:sz w:val="24"/>
                <w:szCs w:val="24"/>
              </w:rPr>
              <w:t>2</w:t>
            </w:r>
            <w:r>
              <w:rPr>
                <w:rFonts w:eastAsia="Times New Roman"/>
                <w:sz w:val="24"/>
                <w:szCs w:val="24"/>
              </w:rPr>
              <w:fldChar w:fldCharType="end"/>
            </w:r>
            <w:r>
              <w:rPr>
                <w:rFonts w:eastAsia="Times New Roman"/>
                <w:sz w:val="24"/>
                <w:szCs w:val="24"/>
              </w:rPr>
              <w:t>)</w:t>
            </w:r>
          </w:p>
        </w:tc>
      </w:tr>
    </w:tbl>
    <w:p w14:paraId="41D98FC9" w14:textId="77777777" w:rsidR="00FE4D48" w:rsidRDefault="00FE4D48" w:rsidP="00F8742C">
      <w:pPr>
        <w:spacing w:before="120" w:after="120" w:line="360" w:lineRule="auto"/>
        <w:jc w:val="both"/>
      </w:pPr>
      <w:r>
        <w:t xml:space="preserve">where subs </w:t>
      </w:r>
      <w:proofErr w:type="gramStart"/>
      <w:r>
        <w:t>is</w:t>
      </w:r>
      <w:proofErr w:type="gramEnd"/>
      <w:r>
        <w:t xml:space="preserve"> short for subscribers and rev is short for revenues. The subscript t refers to the most recent number of subscribers and revenue per subs</w:t>
      </w:r>
      <w:r w:rsidR="005C2AE2">
        <w:t>criber and t+1 is the forecast.</w:t>
      </w:r>
    </w:p>
    <w:p w14:paraId="526DF766" w14:textId="77777777" w:rsidR="007912F0" w:rsidRDefault="00177FDE" w:rsidP="00A830BE">
      <w:pPr>
        <w:spacing w:before="120" w:after="120" w:line="360" w:lineRule="auto"/>
        <w:jc w:val="both"/>
      </w:pPr>
      <w:r w:rsidRPr="00177FDE">
        <w:rPr>
          <w:b/>
          <w:i/>
          <w:color w:val="33006F"/>
        </w:rPr>
        <w:t>Challenges:</w:t>
      </w:r>
      <w:r>
        <w:t xml:space="preserve"> Successful start-up companies tend to have extremely high growth rates in their early years due to the small number denominators (i.e., the small number of people subscribing to the service in the early years). </w:t>
      </w:r>
      <w:r w:rsidR="007912F0">
        <w:t>Sales g</w:t>
      </w:r>
      <w:r>
        <w:t>rowth rates have a strong tendency to mean-revert</w:t>
      </w:r>
      <w:r w:rsidR="00BF2C70">
        <w:t>.</w:t>
      </w:r>
      <w:r w:rsidR="007912F0">
        <w:t xml:space="preserve"> See Figure 4 which provides evidence of mean-reversion for a large sample of publicly traded firms.</w:t>
      </w:r>
      <w:r w:rsidR="007912F0">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8"/>
        <w:gridCol w:w="5616"/>
      </w:tblGrid>
      <w:tr w:rsidR="00623BB3" w14:paraId="04D2F621" w14:textId="77777777" w:rsidTr="007912F0">
        <w:tc>
          <w:tcPr>
            <w:tcW w:w="8064" w:type="dxa"/>
            <w:gridSpan w:val="2"/>
          </w:tcPr>
          <w:p w14:paraId="5FB8D4AD" w14:textId="2A907690" w:rsidR="00623BB3" w:rsidRPr="009C6099" w:rsidRDefault="00623BB3" w:rsidP="00350694">
            <w:pPr>
              <w:jc w:val="center"/>
              <w:rPr>
                <w:rFonts w:asciiTheme="majorHAnsi" w:hAnsiTheme="majorHAnsi"/>
                <w:b/>
              </w:rPr>
            </w:pPr>
            <w:r w:rsidRPr="009C6099">
              <w:rPr>
                <w:rFonts w:asciiTheme="majorHAnsi" w:hAnsiTheme="majorHAnsi"/>
                <w:b/>
              </w:rPr>
              <w:lastRenderedPageBreak/>
              <w:t xml:space="preserve">Figure </w:t>
            </w:r>
            <w:r>
              <w:rPr>
                <w:rFonts w:asciiTheme="majorHAnsi" w:hAnsiTheme="majorHAnsi"/>
                <w:b/>
              </w:rPr>
              <w:fldChar w:fldCharType="begin"/>
            </w:r>
            <w:r>
              <w:rPr>
                <w:rFonts w:asciiTheme="majorHAnsi" w:hAnsiTheme="majorHAnsi"/>
                <w:b/>
              </w:rPr>
              <w:instrText xml:space="preserve"> SEQ Figures \* MERGEFORMAT </w:instrText>
            </w:r>
            <w:r>
              <w:rPr>
                <w:rFonts w:asciiTheme="majorHAnsi" w:hAnsiTheme="majorHAnsi"/>
                <w:b/>
              </w:rPr>
              <w:fldChar w:fldCharType="separate"/>
            </w:r>
            <w:r w:rsidR="00980F91">
              <w:rPr>
                <w:rFonts w:asciiTheme="majorHAnsi" w:hAnsiTheme="majorHAnsi"/>
                <w:b/>
                <w:noProof/>
              </w:rPr>
              <w:t>1</w:t>
            </w:r>
            <w:r>
              <w:rPr>
                <w:rFonts w:asciiTheme="majorHAnsi" w:hAnsiTheme="majorHAnsi"/>
                <w:b/>
              </w:rPr>
              <w:fldChar w:fldCharType="end"/>
            </w:r>
          </w:p>
          <w:p w14:paraId="50C3DBC5" w14:textId="77777777" w:rsidR="00623BB3" w:rsidRDefault="00623BB3" w:rsidP="00350694">
            <w:pPr>
              <w:jc w:val="center"/>
            </w:pPr>
            <w:r>
              <w:rPr>
                <w:rFonts w:asciiTheme="majorHAnsi" w:hAnsiTheme="majorHAnsi"/>
                <w:b/>
              </w:rPr>
              <w:t>Evidence of Mean-Reversion in Sales Growth</w:t>
            </w:r>
          </w:p>
        </w:tc>
      </w:tr>
      <w:tr w:rsidR="00623BB3" w14:paraId="1F611F45" w14:textId="77777777" w:rsidTr="007912F0">
        <w:trPr>
          <w:trHeight w:val="2547"/>
        </w:trPr>
        <w:tc>
          <w:tcPr>
            <w:tcW w:w="8064" w:type="dxa"/>
            <w:gridSpan w:val="2"/>
          </w:tcPr>
          <w:p w14:paraId="2C38F022" w14:textId="77777777" w:rsidR="00623BB3" w:rsidRDefault="00623BB3" w:rsidP="00350694">
            <w:pPr>
              <w:jc w:val="center"/>
            </w:pPr>
            <w:r w:rsidRPr="00623BB3">
              <w:rPr>
                <w:noProof/>
              </w:rPr>
              <w:drawing>
                <wp:inline distT="0" distB="0" distL="0" distR="0" wp14:anchorId="5B1CBF04" wp14:editId="78D8D8E9">
                  <wp:extent cx="4773336" cy="3158255"/>
                  <wp:effectExtent l="0" t="0" r="8255" b="4445"/>
                  <wp:docPr id="36867" name="Picture 8"/>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6867" name="Picture 8"/>
                          <pic:cNvPicPr>
                            <a:picLocks noGrp="1"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773336" cy="3158255"/>
                          </a:xfrm>
                          <a:prstGeom prst="rect">
                            <a:avLst/>
                          </a:prstGeom>
                          <a:solidFill>
                            <a:srgbClr val="FFFFFF"/>
                          </a:solidFill>
                        </pic:spPr>
                      </pic:pic>
                    </a:graphicData>
                  </a:graphic>
                </wp:inline>
              </w:drawing>
            </w:r>
          </w:p>
        </w:tc>
      </w:tr>
      <w:tr w:rsidR="00623BB3" w:rsidRPr="009C6099" w14:paraId="4F8BF6CC" w14:textId="77777777" w:rsidTr="007912F0">
        <w:trPr>
          <w:trHeight w:val="85"/>
        </w:trPr>
        <w:tc>
          <w:tcPr>
            <w:tcW w:w="2448" w:type="dxa"/>
            <w:tcBorders>
              <w:bottom w:val="single" w:sz="8" w:space="0" w:color="33006F"/>
            </w:tcBorders>
          </w:tcPr>
          <w:p w14:paraId="6BF96884" w14:textId="77777777" w:rsidR="00623BB3" w:rsidRPr="009C6099" w:rsidRDefault="00623BB3" w:rsidP="00350694">
            <w:pPr>
              <w:rPr>
                <w:sz w:val="8"/>
              </w:rPr>
            </w:pPr>
          </w:p>
        </w:tc>
        <w:tc>
          <w:tcPr>
            <w:tcW w:w="5616" w:type="dxa"/>
          </w:tcPr>
          <w:p w14:paraId="5A2B709C" w14:textId="77777777" w:rsidR="00623BB3" w:rsidRPr="009C6099" w:rsidRDefault="00623BB3" w:rsidP="00350694">
            <w:pPr>
              <w:rPr>
                <w:sz w:val="8"/>
              </w:rPr>
            </w:pPr>
          </w:p>
        </w:tc>
      </w:tr>
      <w:tr w:rsidR="00623BB3" w14:paraId="42AB3ACC" w14:textId="77777777" w:rsidTr="007912F0">
        <w:trPr>
          <w:trHeight w:val="612"/>
        </w:trPr>
        <w:tc>
          <w:tcPr>
            <w:tcW w:w="8064" w:type="dxa"/>
            <w:gridSpan w:val="2"/>
          </w:tcPr>
          <w:p w14:paraId="4787E00D" w14:textId="77777777" w:rsidR="00623BB3" w:rsidRPr="00AE45C3" w:rsidRDefault="00623BB3" w:rsidP="009B2FF7">
            <w:pPr>
              <w:spacing w:line="240" w:lineRule="auto"/>
              <w:jc w:val="both"/>
              <w:rPr>
                <w:sz w:val="20"/>
                <w:szCs w:val="20"/>
              </w:rPr>
            </w:pPr>
            <w:r w:rsidRPr="00AE45C3">
              <w:rPr>
                <w:sz w:val="20"/>
                <w:szCs w:val="20"/>
              </w:rPr>
              <w:t xml:space="preserve">Notes: This figure is </w:t>
            </w:r>
            <w:r>
              <w:rPr>
                <w:sz w:val="20"/>
                <w:szCs w:val="20"/>
              </w:rPr>
              <w:t xml:space="preserve">based on </w:t>
            </w:r>
            <w:r w:rsidR="00437BBD">
              <w:rPr>
                <w:sz w:val="20"/>
                <w:szCs w:val="20"/>
              </w:rPr>
              <w:fldChar w:fldCharType="begin"/>
            </w:r>
            <w:r w:rsidR="009B2FF7">
              <w:rPr>
                <w:sz w:val="20"/>
                <w:szCs w:val="20"/>
              </w:rPr>
              <w:instrText xml:space="preserve"> ADDIN EN.CITE &lt;EndNote&gt;&lt;Cite AuthorYear="1"&gt;&lt;Author&gt;Nissim&lt;/Author&gt;&lt;Year&gt;2001&lt;/Year&gt;&lt;RecNum&gt;353&lt;/RecNum&gt;&lt;DisplayText&gt;Nissim and Penman (2001)&lt;/DisplayText&gt;&lt;record&gt;&lt;rec-number&gt;353&lt;/rec-number&gt;&lt;foreign-keys&gt;&lt;key app="EN" db-id="5wddtwtdltavvheer5vvrda5pftspd2zre9e" timestamp="1481582536"&gt;353&lt;/key&gt;&lt;/foreign-keys&gt;&lt;ref-type name="Journal Article"&gt;17&lt;/ref-type&gt;&lt;contributors&gt;&lt;authors&gt;&lt;author&gt;Nissim, Doron&lt;/author&gt;&lt;author&gt;Penman, Stephen H.&lt;/author&gt;&lt;/authors&gt;&lt;/contributors&gt;&lt;titles&gt;&lt;title&gt;Ratio Analysis and Equity Valuation: From Research to Practice&lt;/title&gt;&lt;secondary-title&gt;Review of Accounting Studies&lt;/secondary-title&gt;&lt;/titles&gt;&lt;periodical&gt;&lt;full-title&gt;Review of Accounting Studies&lt;/full-title&gt;&lt;/periodical&gt;&lt;pages&gt;109-154&lt;/pages&gt;&lt;volume&gt;6&lt;/volume&gt;&lt;number&gt;1&lt;/number&gt;&lt;dates&gt;&lt;year&gt;2001&lt;/year&gt;&lt;/dates&gt;&lt;isbn&gt;1573-7136&lt;/isbn&gt;&lt;label&gt;Nissim2001&lt;/label&gt;&lt;work-type&gt;journal article&lt;/work-type&gt;&lt;urls&gt;&lt;related-urls&gt;&lt;url&gt;http://dx.doi.org/10.1023/A:1011338221623&lt;/url&gt;&lt;/related-urls&gt;&lt;/urls&gt;&lt;electronic-resource-num&gt;10.1023/a:1011338221623&lt;/electronic-resource-num&gt;&lt;/record&gt;&lt;/Cite&gt;&lt;/EndNote&gt;</w:instrText>
            </w:r>
            <w:r w:rsidR="00437BBD">
              <w:rPr>
                <w:sz w:val="20"/>
                <w:szCs w:val="20"/>
              </w:rPr>
              <w:fldChar w:fldCharType="separate"/>
            </w:r>
            <w:r w:rsidR="009B2FF7">
              <w:rPr>
                <w:noProof/>
                <w:sz w:val="20"/>
                <w:szCs w:val="20"/>
              </w:rPr>
              <w:t>Nissim and Penman (2001)</w:t>
            </w:r>
            <w:r w:rsidR="00437BBD">
              <w:rPr>
                <w:sz w:val="20"/>
                <w:szCs w:val="20"/>
              </w:rPr>
              <w:fldChar w:fldCharType="end"/>
            </w:r>
            <w:r>
              <w:rPr>
                <w:sz w:val="20"/>
                <w:szCs w:val="20"/>
              </w:rPr>
              <w:t>. Each line represents the average sales growth</w:t>
            </w:r>
            <w:r w:rsidR="00437BBD">
              <w:rPr>
                <w:sz w:val="20"/>
                <w:szCs w:val="20"/>
              </w:rPr>
              <w:t xml:space="preserve"> rate</w:t>
            </w:r>
            <w:r>
              <w:rPr>
                <w:sz w:val="20"/>
                <w:szCs w:val="20"/>
              </w:rPr>
              <w:t xml:space="preserve"> for a portfolio of firms. Each </w:t>
            </w:r>
            <w:r w:rsidR="00437BBD">
              <w:rPr>
                <w:sz w:val="20"/>
                <w:szCs w:val="20"/>
              </w:rPr>
              <w:t xml:space="preserve">of the 10 </w:t>
            </w:r>
            <w:r>
              <w:rPr>
                <w:sz w:val="20"/>
                <w:szCs w:val="20"/>
              </w:rPr>
              <w:t>portfolio</w:t>
            </w:r>
            <w:r w:rsidR="00437BBD">
              <w:rPr>
                <w:sz w:val="20"/>
                <w:szCs w:val="20"/>
              </w:rPr>
              <w:t>s</w:t>
            </w:r>
            <w:r>
              <w:rPr>
                <w:sz w:val="20"/>
                <w:szCs w:val="20"/>
              </w:rPr>
              <w:t xml:space="preserve"> </w:t>
            </w:r>
            <w:r w:rsidR="00437BBD">
              <w:rPr>
                <w:sz w:val="20"/>
                <w:szCs w:val="20"/>
              </w:rPr>
              <w:t>are</w:t>
            </w:r>
            <w:r>
              <w:rPr>
                <w:sz w:val="20"/>
                <w:szCs w:val="20"/>
              </w:rPr>
              <w:t xml:space="preserve"> </w:t>
            </w:r>
            <w:r w:rsidR="00437BBD">
              <w:rPr>
                <w:sz w:val="20"/>
                <w:szCs w:val="20"/>
              </w:rPr>
              <w:t xml:space="preserve">formed in year 1 based on the level of sales growth. The top group represents the top 10% of firms ranked on sales growth in year 1, and the bottom line represents the bottom 10% of firms ranked on sales growth in year 1. Over the subsequent five years, the differences between the portfolios narrows, with all portfolios moving closer to the mean; we label this </w:t>
            </w:r>
            <w:r w:rsidR="009B2FF7">
              <w:rPr>
                <w:sz w:val="20"/>
                <w:szCs w:val="20"/>
              </w:rPr>
              <w:t>regularity as “</w:t>
            </w:r>
            <w:r w:rsidR="00437BBD">
              <w:rPr>
                <w:sz w:val="20"/>
                <w:szCs w:val="20"/>
              </w:rPr>
              <w:t>mean-reversion</w:t>
            </w:r>
            <w:r w:rsidR="009B2FF7">
              <w:rPr>
                <w:sz w:val="20"/>
                <w:szCs w:val="20"/>
              </w:rPr>
              <w:t>.”</w:t>
            </w:r>
            <w:r w:rsidR="00437BBD">
              <w:rPr>
                <w:sz w:val="20"/>
                <w:szCs w:val="20"/>
              </w:rPr>
              <w:t xml:space="preserve"> </w:t>
            </w:r>
          </w:p>
        </w:tc>
      </w:tr>
    </w:tbl>
    <w:p w14:paraId="3DFB896A" w14:textId="77777777" w:rsidR="00732C96" w:rsidRPr="00732C96" w:rsidRDefault="00732C96" w:rsidP="00732C96">
      <w:pPr>
        <w:pStyle w:val="Heading2"/>
        <w:rPr>
          <w:i/>
          <w:color w:val="33006F"/>
        </w:rPr>
      </w:pPr>
      <w:bookmarkStart w:id="3" w:name="_Toc52017927"/>
      <w:r>
        <w:rPr>
          <w:i/>
          <w:color w:val="33006F"/>
        </w:rPr>
        <w:t>Customer Churn</w:t>
      </w:r>
      <w:bookmarkEnd w:id="3"/>
    </w:p>
    <w:p w14:paraId="75D37129" w14:textId="77777777" w:rsidR="00732C96" w:rsidRDefault="00A26258" w:rsidP="00732C96">
      <w:pPr>
        <w:spacing w:before="120" w:after="120" w:line="360" w:lineRule="auto"/>
        <w:jc w:val="both"/>
      </w:pPr>
      <w:r>
        <w:t xml:space="preserve">In addition to acquiring new customers, </w:t>
      </w:r>
      <w:r w:rsidR="009D4C0E">
        <w:t>companies</w:t>
      </w:r>
      <w:r>
        <w:t xml:space="preserve"> are concerned with customer retention. A useful business statistic is the churn ratio. </w:t>
      </w:r>
      <w:r w:rsidR="003D3C49">
        <w:t xml:space="preserve">The goal of calculating the churn ratio is to measure customer churn – the percentage of customers that stop using the service. </w:t>
      </w:r>
    </w:p>
    <w:p w14:paraId="4BA920F0" w14:textId="77777777" w:rsidR="00177FDE" w:rsidRDefault="00177FDE" w:rsidP="00177FDE">
      <w:pPr>
        <w:spacing w:before="120" w:after="120" w:line="360" w:lineRule="auto"/>
        <w:jc w:val="both"/>
      </w:pPr>
      <w:r w:rsidRPr="00177FDE">
        <w:rPr>
          <w:b/>
          <w:i/>
          <w:color w:val="33006F"/>
        </w:rPr>
        <w:t>Challenges:</w:t>
      </w:r>
      <w:r w:rsidRPr="00177FDE">
        <w:t xml:space="preserve"> From Equation (1) notice that</w:t>
      </w:r>
      <w:r>
        <w:t xml:space="preserve"> for every customer lost, a new customer must be acquired </w:t>
      </w:r>
      <w:r w:rsidR="009D4C0E">
        <w:t>to</w:t>
      </w:r>
      <w:r>
        <w:t xml:space="preserve"> achieve a growth rate of zero. </w:t>
      </w:r>
      <w:r w:rsidR="009B2FF7">
        <w:t xml:space="preserve">In percentages, this is additive. That is, to achieve a target percentage growth rate the percentage churn rate </w:t>
      </w:r>
      <w:r w:rsidR="009D4C0E">
        <w:t>must</w:t>
      </w:r>
      <w:r w:rsidR="009B2FF7">
        <w:t xml:space="preserve"> be added to the actual growth rate. For example, assuming Netflix has 40 million subscribers and a churn rate of 5%, to achieve 10% growth and reach 44 Million subscribers, new acquisitions must equal 6 million customers, or 15% new acquisitions.</w:t>
      </w:r>
    </w:p>
    <w:p w14:paraId="32617885" w14:textId="77777777" w:rsidR="00350694" w:rsidRDefault="00350694" w:rsidP="00350694">
      <w:pPr>
        <w:spacing w:before="120" w:after="120" w:line="360" w:lineRule="auto"/>
        <w:jc w:val="both"/>
      </w:pPr>
      <w:r w:rsidRPr="00350694">
        <w:rPr>
          <w:b/>
          <w:i/>
          <w:color w:val="33006F"/>
        </w:rPr>
        <w:lastRenderedPageBreak/>
        <w:t>Measuring Churn:</w:t>
      </w:r>
      <w:r>
        <w:t xml:space="preserve"> As Netflix is a subscription service we are interested in considering how many individuals cancel their subscriptions. As such we would like to be able to measure churn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
        <w:gridCol w:w="7920"/>
        <w:gridCol w:w="828"/>
      </w:tblGrid>
      <w:tr w:rsidR="00350694" w14:paraId="598F8750" w14:textId="77777777" w:rsidTr="00350694">
        <w:tc>
          <w:tcPr>
            <w:tcW w:w="828" w:type="dxa"/>
          </w:tcPr>
          <w:p w14:paraId="60595E48" w14:textId="77777777" w:rsidR="00350694" w:rsidRDefault="00350694" w:rsidP="00350694">
            <w:pPr>
              <w:spacing w:line="360" w:lineRule="auto"/>
              <w:jc w:val="both"/>
              <w:rPr>
                <w:rFonts w:eastAsia="Times New Roman"/>
                <w:sz w:val="24"/>
                <w:szCs w:val="24"/>
              </w:rPr>
            </w:pPr>
          </w:p>
        </w:tc>
        <w:tc>
          <w:tcPr>
            <w:tcW w:w="7920" w:type="dxa"/>
            <w:vAlign w:val="center"/>
          </w:tcPr>
          <w:p w14:paraId="5F82D36F" w14:textId="77777777" w:rsidR="00350694" w:rsidRDefault="00350694" w:rsidP="00350694">
            <w:pPr>
              <w:spacing w:line="360" w:lineRule="auto"/>
              <w:jc w:val="center"/>
              <w:rPr>
                <w:rFonts w:eastAsia="Times New Roman"/>
                <w:sz w:val="24"/>
                <w:szCs w:val="24"/>
              </w:rPr>
            </w:pPr>
            <m:oMathPara>
              <m:oMath>
                <m:r>
                  <w:rPr>
                    <w:rFonts w:ascii="Cambria Math" w:eastAsia="Times New Roman" w:hAnsi="Cambria Math"/>
                    <w:sz w:val="24"/>
                    <w:szCs w:val="24"/>
                  </w:rPr>
                  <m:t>%Churn=</m:t>
                </m:r>
                <m:f>
                  <m:fPr>
                    <m:ctrlPr>
                      <w:rPr>
                        <w:rFonts w:ascii="Cambria Math" w:eastAsia="Times New Roman" w:hAnsi="Cambria Math"/>
                        <w:i/>
                        <w:sz w:val="24"/>
                        <w:szCs w:val="24"/>
                      </w:rPr>
                    </m:ctrlPr>
                  </m:fPr>
                  <m:num>
                    <m:r>
                      <w:rPr>
                        <w:rFonts w:ascii="Cambria Math" w:eastAsia="Times New Roman" w:hAnsi="Cambria Math"/>
                        <w:sz w:val="24"/>
                        <w:szCs w:val="24"/>
                      </w:rPr>
                      <m:t>cancellations</m:t>
                    </m:r>
                  </m:num>
                  <m:den>
                    <m:r>
                      <w:rPr>
                        <w:rFonts w:ascii="Cambria Math" w:eastAsia="Times New Roman" w:hAnsi="Cambria Math"/>
                        <w:sz w:val="24"/>
                        <w:szCs w:val="24"/>
                      </w:rPr>
                      <m:t>average subscribers</m:t>
                    </m:r>
                  </m:den>
                </m:f>
              </m:oMath>
            </m:oMathPara>
          </w:p>
        </w:tc>
        <w:tc>
          <w:tcPr>
            <w:tcW w:w="828" w:type="dxa"/>
            <w:vAlign w:val="center"/>
          </w:tcPr>
          <w:p w14:paraId="38F63D04" w14:textId="2E56B2A5" w:rsidR="00350694" w:rsidRDefault="00350694" w:rsidP="00350694">
            <w:pPr>
              <w:spacing w:line="360" w:lineRule="auto"/>
              <w:jc w:val="right"/>
              <w:rPr>
                <w:rFonts w:eastAsia="Times New Roman"/>
                <w:sz w:val="24"/>
                <w:szCs w:val="24"/>
              </w:rPr>
            </w:pPr>
            <w:r>
              <w:rPr>
                <w:rFonts w:eastAsia="Times New Roman"/>
                <w:sz w:val="24"/>
                <w:szCs w:val="24"/>
              </w:rPr>
              <w:t>(</w:t>
            </w:r>
            <w:r>
              <w:rPr>
                <w:rFonts w:eastAsia="Times New Roman"/>
                <w:sz w:val="24"/>
                <w:szCs w:val="24"/>
              </w:rPr>
              <w:fldChar w:fldCharType="begin"/>
            </w:r>
            <w:r>
              <w:rPr>
                <w:rFonts w:eastAsia="Times New Roman"/>
                <w:sz w:val="24"/>
                <w:szCs w:val="24"/>
              </w:rPr>
              <w:instrText xml:space="preserve"> SEQ Eq \* MERGEFORMAT </w:instrText>
            </w:r>
            <w:r>
              <w:rPr>
                <w:rFonts w:eastAsia="Times New Roman"/>
                <w:sz w:val="24"/>
                <w:szCs w:val="24"/>
              </w:rPr>
              <w:fldChar w:fldCharType="separate"/>
            </w:r>
            <w:r w:rsidR="00980F91">
              <w:rPr>
                <w:rFonts w:eastAsia="Times New Roman"/>
                <w:noProof/>
                <w:sz w:val="24"/>
                <w:szCs w:val="24"/>
              </w:rPr>
              <w:t>3</w:t>
            </w:r>
            <w:r>
              <w:rPr>
                <w:rFonts w:eastAsia="Times New Roman"/>
                <w:sz w:val="24"/>
                <w:szCs w:val="24"/>
              </w:rPr>
              <w:fldChar w:fldCharType="end"/>
            </w:r>
            <w:r>
              <w:rPr>
                <w:rFonts w:eastAsia="Times New Roman"/>
                <w:sz w:val="24"/>
                <w:szCs w:val="24"/>
              </w:rPr>
              <w:t>)</w:t>
            </w:r>
          </w:p>
        </w:tc>
      </w:tr>
    </w:tbl>
    <w:p w14:paraId="7246DF20" w14:textId="4A221F3C" w:rsidR="00350694" w:rsidRDefault="00350694" w:rsidP="00177FDE">
      <w:pPr>
        <w:spacing w:before="120" w:after="120" w:line="360" w:lineRule="auto"/>
        <w:jc w:val="both"/>
      </w:pPr>
      <w:r>
        <w:t xml:space="preserve">where </w:t>
      </w:r>
      <m:oMath>
        <m:r>
          <w:rPr>
            <w:rFonts w:ascii="Cambria Math" w:eastAsia="Times New Roman" w:hAnsi="Cambria Math"/>
            <w:sz w:val="24"/>
            <w:szCs w:val="24"/>
          </w:rPr>
          <m:t>average subscribers</m:t>
        </m:r>
      </m:oMath>
      <w:r w:rsidR="00F46D11">
        <w:rPr>
          <w:rFonts w:eastAsiaTheme="minorEastAsia"/>
          <w:sz w:val="24"/>
          <w:szCs w:val="24"/>
        </w:rPr>
        <w:t xml:space="preserve"> </w:t>
      </w:r>
      <w:r w:rsidR="00F46D11" w:rsidRPr="00F46D11">
        <w:t>is the average of the beginning and ending number of subscribers over which we are measuring churn (for example one year).</w:t>
      </w:r>
      <w:r w:rsidR="00F46D11">
        <w:t xml:space="preserve"> It is difficult to estimate churn without the number of cancellations. As mentioned above, Netflix stopped providing this information in 2011.</w:t>
      </w:r>
    </w:p>
    <w:p w14:paraId="0FE8626F" w14:textId="12F9F8CB" w:rsidR="00C33D7C" w:rsidRPr="00732C96" w:rsidRDefault="00C33D7C" w:rsidP="00C33D7C">
      <w:pPr>
        <w:pStyle w:val="Heading1"/>
        <w:rPr>
          <w:smallCaps/>
          <w:color w:val="33006F"/>
        </w:rPr>
      </w:pPr>
      <w:bookmarkStart w:id="4" w:name="_Toc52017928"/>
      <w:r>
        <w:rPr>
          <w:smallCaps/>
          <w:color w:val="33006F"/>
        </w:rPr>
        <w:t>Application to Netflix</w:t>
      </w:r>
      <w:bookmarkEnd w:id="4"/>
    </w:p>
    <w:p w14:paraId="611503F4" w14:textId="5D55F91D" w:rsidR="00C33D7C" w:rsidRDefault="00C33D7C" w:rsidP="00C33D7C">
      <w:pPr>
        <w:spacing w:before="120" w:after="120" w:line="360" w:lineRule="auto"/>
        <w:jc w:val="both"/>
      </w:pPr>
      <w:r>
        <w:rPr>
          <w:noProof/>
        </w:rPr>
        <w:drawing>
          <wp:anchor distT="0" distB="0" distL="114300" distR="114300" simplePos="0" relativeHeight="251659264" behindDoc="1" locked="0" layoutInCell="1" allowOverlap="1" wp14:anchorId="68CE7E1D" wp14:editId="54C8FFDE">
            <wp:simplePos x="0" y="0"/>
            <wp:positionH relativeFrom="column">
              <wp:posOffset>-1905</wp:posOffset>
            </wp:positionH>
            <wp:positionV relativeFrom="paragraph">
              <wp:posOffset>126365</wp:posOffset>
            </wp:positionV>
            <wp:extent cx="876300" cy="876300"/>
            <wp:effectExtent l="0" t="0" r="0" b="0"/>
            <wp:wrapTight wrapText="bothSides">
              <wp:wrapPolygon edited="0">
                <wp:start x="0" y="0"/>
                <wp:lineTo x="0" y="21130"/>
                <wp:lineTo x="21130" y="21130"/>
                <wp:lineTo x="21130" y="0"/>
                <wp:lineTo x="0" y="0"/>
              </wp:wrapPolygon>
            </wp:wrapTight>
            <wp:docPr id="7" name="Picture 7" descr="Image result for Netfl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Netflix"/>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Netflix, Inc. was founded in 1997 and is headquartered in Los Gatos, California. Netflix, Inc. provides </w:t>
      </w:r>
      <w:r>
        <w:t>subscription-based</w:t>
      </w:r>
      <w:r>
        <w:t xml:space="preserve"> Internet services for TV shows and movies in the United States and internationally. Netflix began as an alternative to the traditional “brick and mortar” DVD rental stores which was dominated by the now bankrupt </w:t>
      </w:r>
      <w:proofErr w:type="spellStart"/>
      <w:r>
        <w:t>BlockBuster</w:t>
      </w:r>
      <w:proofErr w:type="spellEnd"/>
      <w:r>
        <w:t>. The innovation that Netflix provided was to offer a subscription service with DVDs being delivered by mail. This innovation was initially very successful, appealing to consumers due to the convenience of receiving DVDs by mail, the large selection of DVDs available, the useful interface that helped consumers select movies they would like based on their ratings of prior DVDs viewed and a flat rate monthly subscription fee meant that there were no penalties for returning a DVD late.</w:t>
      </w:r>
    </w:p>
    <w:p w14:paraId="7E459A5A" w14:textId="77777777" w:rsidR="00C33D7C" w:rsidRDefault="00C33D7C" w:rsidP="00C33D7C">
      <w:pPr>
        <w:spacing w:before="120" w:after="120" w:line="360" w:lineRule="auto"/>
        <w:jc w:val="both"/>
      </w:pPr>
      <w:r>
        <w:t>With broadband becoming increasingly affordable during the 2000’s the company was among the first to provide online “streaming” of video material over the internet. Currently, the company allows its subscribers to watch unlimited TV shows and movies streamed over the Internet to their televisions, computers, and mobile devices. Its subscribers in the United States can also receive standard definition DVDs and Blu-ray discs delivered to their homes. As of December 31, 2010, the company had approximately 25 million subscribers, and was growing rapidly.</w:t>
      </w:r>
    </w:p>
    <w:p w14:paraId="4F3F726B" w14:textId="77777777" w:rsidR="00C33D7C" w:rsidRDefault="00C33D7C" w:rsidP="00C33D7C">
      <w:pPr>
        <w:spacing w:before="120" w:after="120" w:line="360" w:lineRule="auto"/>
        <w:jc w:val="both"/>
      </w:pPr>
      <w:r w:rsidRPr="00EA3205">
        <w:rPr>
          <w:b/>
          <w:i/>
          <w:color w:val="33006F"/>
        </w:rPr>
        <w:t>Netflix becomes a “Darling of Wall Street”</w:t>
      </w:r>
      <w:r>
        <w:rPr>
          <w:b/>
          <w:i/>
          <w:color w:val="33006F"/>
        </w:rPr>
        <w:t>:</w:t>
      </w:r>
      <w:r w:rsidRPr="00EA3205">
        <w:rPr>
          <w:color w:val="33006F"/>
        </w:rPr>
        <w:t xml:space="preserve"> </w:t>
      </w:r>
      <w:r>
        <w:t xml:space="preserve">By the middle of </w:t>
      </w:r>
      <w:proofErr w:type="gramStart"/>
      <w:r>
        <w:t>February,</w:t>
      </w:r>
      <w:proofErr w:type="gramEnd"/>
      <w:r>
        <w:t xml:space="preserve"> 2011 Netflix was trading around $240/share, giving it a market capitalization of approximately $12.5 billion. One year earlier, Netflix was trading around $60/share, giving it a market capitalization of approximately $3.1 billion. The fourfold increase in the share price was not all “smooth sailing” but led to an impressive following of the company from analysts </w:t>
      </w:r>
      <w:r>
        <w:lastRenderedPageBreak/>
        <w:t>and other market pundits. Many of these observers have made their claims as to why Netflix has had significant growth and share price volatility. The careful financial analyst, however, maps qualitative assessments and analysis into a quantitative accounting based framework, thus allowing him/her to offer a more informed perspective on why Netflix’s value has fluctuated significantly over the past two years, and a more precise forecast.</w:t>
      </w:r>
    </w:p>
    <w:p w14:paraId="5015594C" w14:textId="77777777" w:rsidR="00C33D7C" w:rsidRDefault="00C33D7C" w:rsidP="00C33D7C">
      <w:pPr>
        <w:spacing w:before="120" w:after="120" w:line="360" w:lineRule="auto"/>
        <w:jc w:val="both"/>
      </w:pPr>
      <w:r w:rsidRPr="00EA3205">
        <w:rPr>
          <w:b/>
          <w:i/>
          <w:color w:val="33006F"/>
        </w:rPr>
        <w:t xml:space="preserve">Netflix </w:t>
      </w:r>
      <w:r>
        <w:rPr>
          <w:b/>
          <w:i/>
          <w:color w:val="33006F"/>
        </w:rPr>
        <w:t>announces but later abandons “</w:t>
      </w:r>
      <w:proofErr w:type="spellStart"/>
      <w:r>
        <w:rPr>
          <w:b/>
          <w:i/>
          <w:color w:val="33006F"/>
        </w:rPr>
        <w:t>Qwikster</w:t>
      </w:r>
      <w:proofErr w:type="spellEnd"/>
      <w:r>
        <w:rPr>
          <w:b/>
          <w:i/>
          <w:color w:val="33006F"/>
        </w:rPr>
        <w:t>”:</w:t>
      </w:r>
      <w:r w:rsidRPr="00EA3205">
        <w:rPr>
          <w:color w:val="33006F"/>
        </w:rPr>
        <w:t xml:space="preserve"> </w:t>
      </w:r>
      <w:r>
        <w:t xml:space="preserve">Later in 2011 Netflix announced that they planned to split the </w:t>
      </w:r>
      <w:proofErr w:type="gramStart"/>
      <w:r>
        <w:t>disc based</w:t>
      </w:r>
      <w:proofErr w:type="gramEnd"/>
      <w:r>
        <w:t xml:space="preserve"> mail delivery service and the online streaming service into two separate products. The plan was to relabel the DVD delivery business as “</w:t>
      </w:r>
      <w:proofErr w:type="spellStart"/>
      <w:r>
        <w:t>Qwikster</w:t>
      </w:r>
      <w:proofErr w:type="spellEnd"/>
      <w:r>
        <w:t xml:space="preserve">” in order to better focus on providing their online service, although at the time Reed Hastings did state </w:t>
      </w:r>
      <w:r w:rsidRPr="00AE4AA3">
        <w:t>"it is possible we are moving too fast—it is hard to say."</w:t>
      </w:r>
      <w:r>
        <w:t xml:space="preserve"> The market reaction to this announcement was very negative, and Hastings quickly reversed course, keeping Netflix as a single company </w:t>
      </w:r>
      <w:r>
        <w:fldChar w:fldCharType="begin"/>
      </w:r>
      <w:r>
        <w:instrText xml:space="preserve"> ADDIN EN.CITE &lt;EndNote&gt;&lt;Cite&gt;&lt;Author&gt;Woo&lt;/Author&gt;&lt;Year&gt;2011&lt;/Year&gt;&lt;RecNum&gt;350&lt;/RecNum&gt;&lt;DisplayText&gt;(Woo 2011)&lt;/DisplayText&gt;&lt;record&gt;&lt;rec-number&gt;350&lt;/rec-number&gt;&lt;foreign-keys&gt;&lt;key app="EN" db-id="5wddtwtdltavvheer5vvrda5pftspd2zre9e" timestamp="1481577497"&gt;350&lt;/key&gt;&lt;/foreign-keys&gt;&lt;ref-type name="Newspaper Article"&gt;23&lt;/ref-type&gt;&lt;contributors&gt;&lt;authors&gt;&lt;author&gt;Woo, Stu&lt;/author&gt;&lt;/authors&gt;&lt;/contributors&gt;&lt;titles&gt;&lt;title&gt;Under Fire, Netflix Rewinds DVD Plan&lt;/title&gt;&lt;secondary-title&gt;Wall Street Journal: http://www.wsj.com/articles/SB10001424052970203499704576622674082410578&lt;/secondary-title&gt;&lt;/titles&gt;&lt;dates&gt;&lt;year&gt;2011&lt;/year&gt;&lt;pub-dates&gt;&lt;date&gt;10/11/2011&lt;/date&gt;&lt;/pub-dates&gt;&lt;/dates&gt;&lt;urls&gt;&lt;/urls&gt;&lt;/record&gt;&lt;/Cite&gt;&lt;/EndNote&gt;</w:instrText>
      </w:r>
      <w:r>
        <w:fldChar w:fldCharType="separate"/>
      </w:r>
      <w:r>
        <w:rPr>
          <w:noProof/>
        </w:rPr>
        <w:t>(Woo 2011)</w:t>
      </w:r>
      <w:r>
        <w:fldChar w:fldCharType="end"/>
      </w:r>
      <w:r>
        <w:t>.</w:t>
      </w:r>
    </w:p>
    <w:p w14:paraId="5E0F9E10" w14:textId="102D484E" w:rsidR="00C33D7C" w:rsidRDefault="00C33D7C" w:rsidP="00C33D7C">
      <w:pPr>
        <w:spacing w:before="120" w:after="120" w:line="360" w:lineRule="auto"/>
        <w:jc w:val="both"/>
      </w:pPr>
      <w:r w:rsidRPr="00EA3205">
        <w:rPr>
          <w:b/>
          <w:i/>
          <w:color w:val="33006F"/>
        </w:rPr>
        <w:t xml:space="preserve">Netflix </w:t>
      </w:r>
      <w:r>
        <w:rPr>
          <w:b/>
          <w:i/>
          <w:color w:val="33006F"/>
        </w:rPr>
        <w:t>expands worldwide (except for China):</w:t>
      </w:r>
      <w:r w:rsidRPr="005951C3">
        <w:t xml:space="preserve"> </w:t>
      </w:r>
      <w:r>
        <w:t xml:space="preserve">Netflix first began expanding globally in September 2010 to Canada. </w:t>
      </w:r>
      <w:r w:rsidRPr="005951C3">
        <w:t xml:space="preserve">By January 2016, </w:t>
      </w:r>
      <w:r>
        <w:t xml:space="preserve">Netflix had expanded to 190 countries </w:t>
      </w:r>
      <w:r>
        <w:fldChar w:fldCharType="begin"/>
      </w:r>
      <w:r>
        <w:instrText xml:space="preserve"> ADDIN EN.CITE &lt;EndNote&gt;&lt;Cite&gt;&lt;Author&gt;Stelter&lt;/Author&gt;&lt;Year&gt;2016&lt;/Year&gt;&lt;RecNum&gt;349&lt;/RecNum&gt;&lt;DisplayText&gt;(Stelter 2016)&lt;/DisplayText&gt;&lt;record&gt;&lt;rec-number&gt;349&lt;/rec-number&gt;&lt;foreign-keys&gt;&lt;key app="EN" db-id="5wddtwtdltavvheer5vvrda5pftspd2zre9e" timestamp="1481575223"&gt;349&lt;/key&gt;&lt;/foreign-keys&gt;&lt;ref-type name="Newspaper Article"&gt;23&lt;/ref-type&gt;&lt;contributors&gt;&lt;authors&gt;&lt;author&gt;Stelter, Brian&lt;/author&gt;&lt;/authors&gt;&lt;/contributors&gt;&lt;titles&gt;&lt;title&gt;Countries where Netflix is now available&lt;/title&gt;&lt;secondary-title&gt;CNN Money&lt;/secondary-title&gt;&lt;/titles&gt;&lt;dates&gt;&lt;year&gt;2016&lt;/year&gt;&lt;/dates&gt;&lt;pub-location&gt;http://money.cnn.com/2016/01/06/media/netflix-global-launch-countries/&lt;/pub-location&gt;&lt;urls&gt;&lt;/urls&gt;&lt;/record&gt;&lt;/Cite&gt;&lt;/EndNote&gt;</w:instrText>
      </w:r>
      <w:r>
        <w:fldChar w:fldCharType="separate"/>
      </w:r>
      <w:r>
        <w:rPr>
          <w:noProof/>
        </w:rPr>
        <w:t>(Stelter 2016)</w:t>
      </w:r>
      <w:r>
        <w:fldChar w:fldCharType="end"/>
      </w:r>
      <w:r>
        <w:t xml:space="preserve">, which is roughly were it is available as of 2020.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8"/>
        <w:gridCol w:w="7128"/>
      </w:tblGrid>
      <w:tr w:rsidR="00C33D7C" w14:paraId="746A5FE9" w14:textId="77777777" w:rsidTr="000E386D">
        <w:tc>
          <w:tcPr>
            <w:tcW w:w="9576" w:type="dxa"/>
            <w:gridSpan w:val="2"/>
          </w:tcPr>
          <w:p w14:paraId="6EE27F46" w14:textId="3AF4434B" w:rsidR="00C33D7C" w:rsidRPr="009C6099" w:rsidRDefault="00C33D7C" w:rsidP="000E386D">
            <w:pPr>
              <w:jc w:val="center"/>
              <w:rPr>
                <w:rFonts w:asciiTheme="majorHAnsi" w:hAnsiTheme="majorHAnsi"/>
                <w:b/>
              </w:rPr>
            </w:pPr>
            <w:r w:rsidRPr="009C6099">
              <w:rPr>
                <w:rFonts w:asciiTheme="majorHAnsi" w:hAnsiTheme="majorHAnsi"/>
                <w:b/>
              </w:rPr>
              <w:t xml:space="preserve">Figure </w:t>
            </w:r>
            <w:r>
              <w:rPr>
                <w:rFonts w:asciiTheme="majorHAnsi" w:hAnsiTheme="majorHAnsi"/>
                <w:b/>
              </w:rPr>
              <w:fldChar w:fldCharType="begin"/>
            </w:r>
            <w:r>
              <w:rPr>
                <w:rFonts w:asciiTheme="majorHAnsi" w:hAnsiTheme="majorHAnsi"/>
                <w:b/>
              </w:rPr>
              <w:instrText xml:space="preserve"> SEQ Figures \* MERGEFORMAT </w:instrText>
            </w:r>
            <w:r>
              <w:rPr>
                <w:rFonts w:asciiTheme="majorHAnsi" w:hAnsiTheme="majorHAnsi"/>
                <w:b/>
              </w:rPr>
              <w:fldChar w:fldCharType="separate"/>
            </w:r>
            <w:r w:rsidR="00980F91">
              <w:rPr>
                <w:rFonts w:asciiTheme="majorHAnsi" w:hAnsiTheme="majorHAnsi"/>
                <w:b/>
                <w:noProof/>
              </w:rPr>
              <w:t>2</w:t>
            </w:r>
            <w:r>
              <w:rPr>
                <w:rFonts w:asciiTheme="majorHAnsi" w:hAnsiTheme="majorHAnsi"/>
                <w:b/>
              </w:rPr>
              <w:fldChar w:fldCharType="end"/>
            </w:r>
          </w:p>
          <w:p w14:paraId="023989DC" w14:textId="77777777" w:rsidR="00C33D7C" w:rsidRDefault="00C33D7C" w:rsidP="000E386D">
            <w:pPr>
              <w:jc w:val="center"/>
            </w:pPr>
            <w:r>
              <w:rPr>
                <w:rFonts w:asciiTheme="majorHAnsi" w:hAnsiTheme="majorHAnsi"/>
                <w:b/>
              </w:rPr>
              <w:t>Netflix’s Global Reach</w:t>
            </w:r>
          </w:p>
        </w:tc>
      </w:tr>
      <w:tr w:rsidR="00C33D7C" w14:paraId="67F93217" w14:textId="77777777" w:rsidTr="000E386D">
        <w:trPr>
          <w:trHeight w:val="2547"/>
        </w:trPr>
        <w:tc>
          <w:tcPr>
            <w:tcW w:w="9576" w:type="dxa"/>
            <w:gridSpan w:val="2"/>
          </w:tcPr>
          <w:p w14:paraId="2FEE672F" w14:textId="77777777" w:rsidR="00C33D7C" w:rsidRDefault="00C33D7C" w:rsidP="000E386D">
            <w:pPr>
              <w:jc w:val="center"/>
            </w:pPr>
            <w:r>
              <w:rPr>
                <w:noProof/>
              </w:rPr>
              <w:drawing>
                <wp:inline distT="0" distB="0" distL="0" distR="0" wp14:anchorId="3E0CBF9D" wp14:editId="0A1FCD52">
                  <wp:extent cx="4261608" cy="2399055"/>
                  <wp:effectExtent l="0" t="0" r="5715" b="1270"/>
                  <wp:docPr id="3" name="Picture 3" descr="netflix available countries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tflix available countries ma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61966" cy="2399257"/>
                          </a:xfrm>
                          <a:prstGeom prst="rect">
                            <a:avLst/>
                          </a:prstGeom>
                          <a:noFill/>
                          <a:ln>
                            <a:noFill/>
                          </a:ln>
                        </pic:spPr>
                      </pic:pic>
                    </a:graphicData>
                  </a:graphic>
                </wp:inline>
              </w:drawing>
            </w:r>
          </w:p>
        </w:tc>
      </w:tr>
      <w:tr w:rsidR="00C33D7C" w:rsidRPr="009C6099" w14:paraId="59B3EA78" w14:textId="77777777" w:rsidTr="000E386D">
        <w:trPr>
          <w:trHeight w:val="85"/>
        </w:trPr>
        <w:tc>
          <w:tcPr>
            <w:tcW w:w="2448" w:type="dxa"/>
            <w:tcBorders>
              <w:bottom w:val="single" w:sz="8" w:space="0" w:color="33006F"/>
            </w:tcBorders>
          </w:tcPr>
          <w:p w14:paraId="5E038926" w14:textId="77777777" w:rsidR="00C33D7C" w:rsidRPr="009C6099" w:rsidRDefault="00C33D7C" w:rsidP="000E386D">
            <w:pPr>
              <w:rPr>
                <w:sz w:val="8"/>
              </w:rPr>
            </w:pPr>
          </w:p>
        </w:tc>
        <w:tc>
          <w:tcPr>
            <w:tcW w:w="7128" w:type="dxa"/>
          </w:tcPr>
          <w:p w14:paraId="48B16D1E" w14:textId="77777777" w:rsidR="00C33D7C" w:rsidRPr="009C6099" w:rsidRDefault="00C33D7C" w:rsidP="000E386D">
            <w:pPr>
              <w:rPr>
                <w:sz w:val="8"/>
              </w:rPr>
            </w:pPr>
          </w:p>
        </w:tc>
      </w:tr>
      <w:tr w:rsidR="00C33D7C" w14:paraId="61EAC3DF" w14:textId="77777777" w:rsidTr="000E386D">
        <w:trPr>
          <w:trHeight w:val="612"/>
        </w:trPr>
        <w:tc>
          <w:tcPr>
            <w:tcW w:w="9576" w:type="dxa"/>
            <w:gridSpan w:val="2"/>
          </w:tcPr>
          <w:p w14:paraId="6636DDE0" w14:textId="77777777" w:rsidR="00C33D7C" w:rsidRPr="00AE45C3" w:rsidRDefault="00C33D7C" w:rsidP="000E386D">
            <w:pPr>
              <w:spacing w:line="240" w:lineRule="auto"/>
              <w:jc w:val="both"/>
              <w:rPr>
                <w:sz w:val="20"/>
                <w:szCs w:val="20"/>
              </w:rPr>
            </w:pPr>
            <w:r w:rsidRPr="00AE45C3">
              <w:rPr>
                <w:sz w:val="20"/>
                <w:szCs w:val="20"/>
              </w:rPr>
              <w:t xml:space="preserve">Notes: This figure is taken from </w:t>
            </w:r>
            <w:r w:rsidRPr="00AE45C3">
              <w:rPr>
                <w:sz w:val="20"/>
                <w:szCs w:val="20"/>
              </w:rPr>
              <w:fldChar w:fldCharType="begin"/>
            </w:r>
            <w:r w:rsidRPr="00AE45C3">
              <w:rPr>
                <w:sz w:val="20"/>
                <w:szCs w:val="20"/>
              </w:rPr>
              <w:instrText xml:space="preserve"> ADDIN EN.CITE &lt;EndNote&gt;&lt;Cite AuthorYear="1"&gt;&lt;Author&gt;Stelter&lt;/Author&gt;&lt;Year&gt;2016&lt;/Year&gt;&lt;RecNum&gt;349&lt;/RecNum&gt;&lt;DisplayText&gt;Stelter (2016)&lt;/DisplayText&gt;&lt;record&gt;&lt;rec-number&gt;349&lt;/rec-number&gt;&lt;foreign-keys&gt;&lt;key app="EN" db-id="5wddtwtdltavvheer5vvrda5pftspd2zre9e" timestamp="1481575223"&gt;349&lt;/key&gt;&lt;/foreign-keys&gt;&lt;ref-type name="Newspaper Article"&gt;23&lt;/ref-type&gt;&lt;contributors&gt;&lt;authors&gt;&lt;author&gt;Stelter, Brian&lt;/author&gt;&lt;/authors&gt;&lt;/contributors&gt;&lt;titles&gt;&lt;title&gt;Countries where Netflix is now available&lt;/title&gt;&lt;secondary-title&gt;CNN Money&lt;/secondary-title&gt;&lt;/titles&gt;&lt;dates&gt;&lt;year&gt;2016&lt;/year&gt;&lt;/dates&gt;&lt;pub-location&gt;http://money.cnn.com/2016/01/06/media/netflix-global-launch-countries/&lt;/pub-location&gt;&lt;urls&gt;&lt;/urls&gt;&lt;/record&gt;&lt;/Cite&gt;&lt;/EndNote&gt;</w:instrText>
            </w:r>
            <w:r w:rsidRPr="00AE45C3">
              <w:rPr>
                <w:sz w:val="20"/>
                <w:szCs w:val="20"/>
              </w:rPr>
              <w:fldChar w:fldCharType="separate"/>
            </w:r>
            <w:r w:rsidRPr="00AE45C3">
              <w:rPr>
                <w:noProof/>
                <w:sz w:val="20"/>
                <w:szCs w:val="20"/>
              </w:rPr>
              <w:t>Stelter (2016)</w:t>
            </w:r>
            <w:r w:rsidRPr="00AE45C3">
              <w:rPr>
                <w:sz w:val="20"/>
                <w:szCs w:val="20"/>
              </w:rPr>
              <w:fldChar w:fldCharType="end"/>
            </w:r>
            <w:r w:rsidRPr="00AE45C3">
              <w:rPr>
                <w:sz w:val="20"/>
                <w:szCs w:val="20"/>
              </w:rPr>
              <w:t xml:space="preserve"> and displays the global reach of Netflix, with the 190 countries where Netflix operates shaded in red, the most notable exceptions in grey (where Netflix does not operate) include China, Crimea, North Korea and Syria.</w:t>
            </w:r>
          </w:p>
        </w:tc>
      </w:tr>
    </w:tbl>
    <w:p w14:paraId="066938A1" w14:textId="77777777" w:rsidR="00C33D7C" w:rsidRDefault="00C33D7C" w:rsidP="00C33D7C">
      <w:pPr>
        <w:spacing w:before="120" w:after="120" w:line="360" w:lineRule="auto"/>
        <w:jc w:val="both"/>
      </w:pPr>
      <w:r>
        <w:lastRenderedPageBreak/>
        <w:t xml:space="preserve">Netflix stated that their choice of not getting into the Chinese market is due to </w:t>
      </w:r>
      <w:r w:rsidRPr="00AE45C3">
        <w:t>“The regulatory environment for foreign digital content services in China has become challenging,”</w:t>
      </w:r>
      <w:r>
        <w:t xml:space="preserve"> and instead, they opted to </w:t>
      </w:r>
      <w:r w:rsidRPr="00A26258">
        <w:t>“We now plan to license content to existing online service providers in China rather than operate our own service in China in the near term.”</w:t>
      </w:r>
      <w:r>
        <w:t xml:space="preserve"> Analysts and the media, however, assume that there is some possibility that Netflix will enter China in the future </w:t>
      </w:r>
      <w:r>
        <w:fldChar w:fldCharType="begin"/>
      </w:r>
      <w:r>
        <w:instrText xml:space="preserve"> ADDIN EN.CITE &lt;EndNote&gt;&lt;Cite&gt;&lt;Author&gt;Poletti&lt;/Author&gt;&lt;Year&gt;2016&lt;/Year&gt;&lt;RecNum&gt;351&lt;/RecNum&gt;&lt;DisplayText&gt;(Poletti 2016)&lt;/DisplayText&gt;&lt;record&gt;&lt;rec-number&gt;351&lt;/rec-number&gt;&lt;foreign-keys&gt;&lt;key app="EN" db-id="5wddtwtdltavvheer5vvrda5pftspd2zre9e" timestamp="1481578856"&gt;351&lt;/key&gt;&lt;/foreign-keys&gt;&lt;ref-type name="Generic"&gt;13&lt;/ref-type&gt;&lt;contributors&gt;&lt;authors&gt;&lt;author&gt;Poletti, Therese&lt;/author&gt;&lt;/authors&gt;&lt;/contributors&gt;&lt;titles&gt;&lt;title&gt;Why Netflix gave up on streaming into China, for now&lt;/title&gt;&lt;/titles&gt;&lt;dates&gt;&lt;year&gt;2016&lt;/year&gt;&lt;pub-dates&gt;&lt;date&gt;10/18/2016&lt;/date&gt;&lt;/pub-dates&gt;&lt;/dates&gt;&lt;publisher&gt;MarketWatch: http://www.marketwatch.com/story/netflix-takes-china-off-its-to-do-list-for-now-2016-10-17&lt;/publisher&gt;&lt;urls&gt;&lt;/urls&gt;&lt;/record&gt;&lt;/Cite&gt;&lt;/EndNote&gt;</w:instrText>
      </w:r>
      <w:r>
        <w:fldChar w:fldCharType="separate"/>
      </w:r>
      <w:r>
        <w:rPr>
          <w:noProof/>
        </w:rPr>
        <w:t>(Poletti 2016)</w:t>
      </w:r>
      <w:r>
        <w:fldChar w:fldCharType="end"/>
      </w:r>
      <w:r>
        <w:t>.</w:t>
      </w:r>
    </w:p>
    <w:p w14:paraId="0DAE1A36" w14:textId="77777777" w:rsidR="00C33D7C" w:rsidRPr="00732C96" w:rsidRDefault="00C33D7C" w:rsidP="00C33D7C">
      <w:pPr>
        <w:pStyle w:val="Heading2"/>
        <w:rPr>
          <w:i/>
          <w:color w:val="33006F"/>
        </w:rPr>
      </w:pPr>
      <w:bookmarkStart w:id="5" w:name="_Toc52017929"/>
      <w:r>
        <w:rPr>
          <w:i/>
          <w:color w:val="33006F"/>
        </w:rPr>
        <w:t>Netflix’s Operating Segments</w:t>
      </w:r>
      <w:bookmarkEnd w:id="5"/>
    </w:p>
    <w:p w14:paraId="6B30330D" w14:textId="77777777" w:rsidR="00C33D7C" w:rsidRDefault="00C33D7C" w:rsidP="00C33D7C">
      <w:pPr>
        <w:spacing w:before="120" w:after="120" w:line="360" w:lineRule="auto"/>
        <w:jc w:val="both"/>
      </w:pPr>
      <w:r>
        <w:t>Netflix maintains three operating segments, domestic streaming, domestic DVD delivery, and international streaming. The recent focus of the company is on their streaming products as can be seen with the recent move into producing “Netflix Originals.”</w:t>
      </w:r>
    </w:p>
    <w:tbl>
      <w:tblPr>
        <w:tblStyle w:val="TableGrid"/>
        <w:tblW w:w="103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236"/>
        <w:gridCol w:w="5074"/>
        <w:gridCol w:w="670"/>
      </w:tblGrid>
      <w:tr w:rsidR="00C33D7C" w14:paraId="2254BEAE" w14:textId="77777777" w:rsidTr="000E386D">
        <w:trPr>
          <w:gridAfter w:val="1"/>
          <w:wAfter w:w="670" w:type="dxa"/>
        </w:trPr>
        <w:tc>
          <w:tcPr>
            <w:tcW w:w="4320" w:type="dxa"/>
            <w:vMerge w:val="restart"/>
          </w:tcPr>
          <w:p w14:paraId="5EAF31E6" w14:textId="77777777" w:rsidR="00C33D7C" w:rsidRPr="009C6099" w:rsidRDefault="00C33D7C" w:rsidP="000E386D">
            <w:pPr>
              <w:spacing w:before="120" w:after="120" w:line="360" w:lineRule="auto"/>
              <w:jc w:val="both"/>
              <w:rPr>
                <w:rFonts w:asciiTheme="majorHAnsi" w:hAnsiTheme="majorHAnsi"/>
                <w:b/>
              </w:rPr>
            </w:pPr>
            <w:r w:rsidRPr="00177FDE">
              <w:rPr>
                <w:b/>
                <w:i/>
                <w:color w:val="33006F"/>
              </w:rPr>
              <w:t>Netflix original programming:</w:t>
            </w:r>
            <w:r>
              <w:t xml:space="preserve"> Beginning in 2013 with the premiere of “House of Cards” on </w:t>
            </w:r>
            <w:r w:rsidRPr="00A70D39">
              <w:t>February 1, 2013</w:t>
            </w:r>
            <w:r>
              <w:t>, Netflix began producing their own television shows, and later documentaries and movie-length features. As early as 2016, they were expected to launch 126 Netflix original series or films, making them the most prolific content provider. As of 2020, many of these titles have been very successful.</w:t>
            </w:r>
          </w:p>
        </w:tc>
        <w:tc>
          <w:tcPr>
            <w:tcW w:w="5310" w:type="dxa"/>
            <w:gridSpan w:val="2"/>
          </w:tcPr>
          <w:p w14:paraId="021A1C00" w14:textId="1F8335CF" w:rsidR="00C33D7C" w:rsidRPr="009C6099" w:rsidRDefault="00C33D7C" w:rsidP="000E386D">
            <w:pPr>
              <w:jc w:val="center"/>
              <w:rPr>
                <w:rFonts w:asciiTheme="majorHAnsi" w:hAnsiTheme="majorHAnsi"/>
                <w:b/>
              </w:rPr>
            </w:pPr>
            <w:r w:rsidRPr="009C6099">
              <w:rPr>
                <w:rFonts w:asciiTheme="majorHAnsi" w:hAnsiTheme="majorHAnsi"/>
                <w:b/>
              </w:rPr>
              <w:t xml:space="preserve">Figure </w:t>
            </w:r>
            <w:r>
              <w:rPr>
                <w:rFonts w:asciiTheme="majorHAnsi" w:hAnsiTheme="majorHAnsi"/>
                <w:b/>
              </w:rPr>
              <w:fldChar w:fldCharType="begin"/>
            </w:r>
            <w:r>
              <w:rPr>
                <w:rFonts w:asciiTheme="majorHAnsi" w:hAnsiTheme="majorHAnsi"/>
                <w:b/>
              </w:rPr>
              <w:instrText xml:space="preserve"> SEQ Figures \* MERGEFORMAT </w:instrText>
            </w:r>
            <w:r>
              <w:rPr>
                <w:rFonts w:asciiTheme="majorHAnsi" w:hAnsiTheme="majorHAnsi"/>
                <w:b/>
              </w:rPr>
              <w:fldChar w:fldCharType="separate"/>
            </w:r>
            <w:r w:rsidR="00980F91">
              <w:rPr>
                <w:rFonts w:asciiTheme="majorHAnsi" w:hAnsiTheme="majorHAnsi"/>
                <w:b/>
                <w:noProof/>
              </w:rPr>
              <w:t>3</w:t>
            </w:r>
            <w:r>
              <w:rPr>
                <w:rFonts w:asciiTheme="majorHAnsi" w:hAnsiTheme="majorHAnsi"/>
                <w:b/>
              </w:rPr>
              <w:fldChar w:fldCharType="end"/>
            </w:r>
          </w:p>
          <w:p w14:paraId="3EB0DE81" w14:textId="77777777" w:rsidR="00C33D7C" w:rsidRDefault="00C33D7C" w:rsidP="000E386D">
            <w:pPr>
              <w:jc w:val="center"/>
            </w:pPr>
            <w:r>
              <w:rPr>
                <w:rFonts w:asciiTheme="majorHAnsi" w:hAnsiTheme="majorHAnsi"/>
                <w:b/>
              </w:rPr>
              <w:t xml:space="preserve">Why Do People Join Netflix? </w:t>
            </w:r>
          </w:p>
        </w:tc>
      </w:tr>
      <w:tr w:rsidR="00C33D7C" w14:paraId="7D2AE3EF" w14:textId="77777777" w:rsidTr="000E386D">
        <w:trPr>
          <w:gridAfter w:val="1"/>
          <w:wAfter w:w="670" w:type="dxa"/>
          <w:trHeight w:val="2547"/>
        </w:trPr>
        <w:tc>
          <w:tcPr>
            <w:tcW w:w="4320" w:type="dxa"/>
            <w:vMerge/>
          </w:tcPr>
          <w:p w14:paraId="2823CC17" w14:textId="77777777" w:rsidR="00C33D7C" w:rsidRDefault="00C33D7C" w:rsidP="000E386D">
            <w:pPr>
              <w:jc w:val="center"/>
              <w:rPr>
                <w:noProof/>
              </w:rPr>
            </w:pPr>
          </w:p>
        </w:tc>
        <w:tc>
          <w:tcPr>
            <w:tcW w:w="5310" w:type="dxa"/>
            <w:gridSpan w:val="2"/>
          </w:tcPr>
          <w:p w14:paraId="00594EA6" w14:textId="77777777" w:rsidR="00C33D7C" w:rsidRDefault="00C33D7C" w:rsidP="000E386D">
            <w:pPr>
              <w:jc w:val="center"/>
            </w:pPr>
            <w:r>
              <w:rPr>
                <w:noProof/>
              </w:rPr>
              <w:drawing>
                <wp:inline distT="0" distB="0" distL="0" distR="0" wp14:anchorId="011469C2" wp14:editId="0729D5FA">
                  <wp:extent cx="2703494" cy="1841384"/>
                  <wp:effectExtent l="0" t="0" r="1905" b="6985"/>
                  <wp:docPr id="13" name="Picture 13" descr="Reasons that US Netflix Subscribers Subscribe to Netflix, March 2016 (% of respon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asons that US Netflix Subscribers Subscribe to Netflix, March 2016 (% of respondents)"/>
                          <pic:cNvPicPr>
                            <a:picLocks noChangeAspect="1" noChangeArrowheads="1"/>
                          </pic:cNvPicPr>
                        </pic:nvPicPr>
                        <pic:blipFill rotWithShape="1">
                          <a:blip r:embed="rId14">
                            <a:extLst>
                              <a:ext uri="{28A0092B-C50C-407E-A947-70E740481C1C}">
                                <a14:useLocalDpi xmlns:a14="http://schemas.microsoft.com/office/drawing/2010/main" val="0"/>
                              </a:ext>
                            </a:extLst>
                          </a:blip>
                          <a:srcRect t="15620" b="13687"/>
                          <a:stretch/>
                        </pic:blipFill>
                        <pic:spPr bwMode="auto">
                          <a:xfrm>
                            <a:off x="0" y="0"/>
                            <a:ext cx="2705729" cy="184290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C33D7C" w:rsidRPr="009C6099" w14:paraId="213D4F14" w14:textId="77777777" w:rsidTr="000E386D">
        <w:trPr>
          <w:trHeight w:val="85"/>
        </w:trPr>
        <w:tc>
          <w:tcPr>
            <w:tcW w:w="4320" w:type="dxa"/>
            <w:vMerge/>
          </w:tcPr>
          <w:p w14:paraId="7177396A" w14:textId="77777777" w:rsidR="00C33D7C" w:rsidRPr="009C6099" w:rsidRDefault="00C33D7C" w:rsidP="000E386D">
            <w:pPr>
              <w:rPr>
                <w:sz w:val="8"/>
              </w:rPr>
            </w:pPr>
          </w:p>
        </w:tc>
        <w:tc>
          <w:tcPr>
            <w:tcW w:w="236" w:type="dxa"/>
            <w:tcBorders>
              <w:bottom w:val="single" w:sz="8" w:space="0" w:color="33006F"/>
            </w:tcBorders>
          </w:tcPr>
          <w:p w14:paraId="05E28DD3" w14:textId="77777777" w:rsidR="00C33D7C" w:rsidRPr="009C6099" w:rsidRDefault="00C33D7C" w:rsidP="000E386D">
            <w:pPr>
              <w:rPr>
                <w:sz w:val="8"/>
              </w:rPr>
            </w:pPr>
          </w:p>
        </w:tc>
        <w:tc>
          <w:tcPr>
            <w:tcW w:w="5744" w:type="dxa"/>
            <w:gridSpan w:val="2"/>
          </w:tcPr>
          <w:p w14:paraId="5F6783EF" w14:textId="77777777" w:rsidR="00C33D7C" w:rsidRPr="009C6099" w:rsidRDefault="00C33D7C" w:rsidP="000E386D">
            <w:pPr>
              <w:rPr>
                <w:sz w:val="8"/>
              </w:rPr>
            </w:pPr>
          </w:p>
        </w:tc>
      </w:tr>
      <w:tr w:rsidR="00C33D7C" w14:paraId="3D266837" w14:textId="77777777" w:rsidTr="000E386D">
        <w:trPr>
          <w:gridAfter w:val="1"/>
          <w:wAfter w:w="670" w:type="dxa"/>
          <w:trHeight w:val="612"/>
        </w:trPr>
        <w:tc>
          <w:tcPr>
            <w:tcW w:w="4320" w:type="dxa"/>
            <w:vMerge/>
          </w:tcPr>
          <w:p w14:paraId="480F7148" w14:textId="77777777" w:rsidR="00C33D7C" w:rsidRPr="00AE45C3" w:rsidRDefault="00C33D7C" w:rsidP="000E386D">
            <w:pPr>
              <w:spacing w:line="240" w:lineRule="auto"/>
              <w:jc w:val="both"/>
              <w:rPr>
                <w:sz w:val="20"/>
                <w:szCs w:val="20"/>
              </w:rPr>
            </w:pPr>
          </w:p>
        </w:tc>
        <w:tc>
          <w:tcPr>
            <w:tcW w:w="5310" w:type="dxa"/>
            <w:gridSpan w:val="2"/>
          </w:tcPr>
          <w:p w14:paraId="1379A7C8" w14:textId="77777777" w:rsidR="00C33D7C" w:rsidRPr="00AE45C3" w:rsidRDefault="00C33D7C" w:rsidP="000E386D">
            <w:pPr>
              <w:spacing w:line="240" w:lineRule="auto"/>
              <w:jc w:val="both"/>
              <w:rPr>
                <w:sz w:val="20"/>
                <w:szCs w:val="20"/>
              </w:rPr>
            </w:pPr>
            <w:r w:rsidRPr="001E63CB">
              <w:rPr>
                <w:sz w:val="18"/>
                <w:szCs w:val="20"/>
              </w:rPr>
              <w:t xml:space="preserve">Notes: This figure is taken from </w:t>
            </w:r>
            <w:r w:rsidRPr="001E63CB">
              <w:rPr>
                <w:sz w:val="18"/>
                <w:szCs w:val="20"/>
              </w:rPr>
              <w:fldChar w:fldCharType="begin"/>
            </w:r>
            <w:r w:rsidRPr="001E63CB">
              <w:rPr>
                <w:sz w:val="18"/>
                <w:szCs w:val="20"/>
              </w:rPr>
              <w:instrText xml:space="preserve"> ADDIN EN.CITE &lt;EndNote&gt;&lt;Cite AuthorYear="1"&gt;&lt;Author&gt;eMarketer&lt;/Author&gt;&lt;Year&gt;2016&lt;/Year&gt;&lt;RecNum&gt;352&lt;/RecNum&gt;&lt;DisplayText&gt;eMarketer (2016)&lt;/DisplayText&gt;&lt;record&gt;&lt;rec-number&gt;352&lt;/rec-number&gt;&lt;foreign-keys&gt;&lt;key app="EN" db-id="5wddtwtdltavvheer5vvrda5pftspd2zre9e" timestamp="1481579365"&gt;352&lt;/key&gt;&lt;/foreign-keys&gt;&lt;ref-type name="Generic"&gt;13&lt;/ref-type&gt;&lt;contributors&gt;&lt;authors&gt;&lt;author&gt;eMarketer&lt;/author&gt;&lt;/authors&gt;&lt;/contributors&gt;&lt;titles&gt;&lt;title&gt;Netflix Reports Churn as Subscribers Leave over Price Increase&lt;/title&gt;&lt;/titles&gt;&lt;dates&gt;&lt;year&gt;2016&lt;/year&gt;&lt;pub-dates&gt;&lt;date&gt;7/25/2016&lt;/date&gt;&lt;/pub-dates&gt;&lt;/dates&gt;&lt;publisher&gt;https://www.emarketer.com/Article/Netflix-Reports-Churn-Subscribers-Leave-over-Price-Increase/1014254&lt;/publisher&gt;&lt;urls&gt;&lt;/urls&gt;&lt;/record&gt;&lt;/Cite&gt;&lt;/EndNote&gt;</w:instrText>
            </w:r>
            <w:r w:rsidRPr="001E63CB">
              <w:rPr>
                <w:sz w:val="18"/>
                <w:szCs w:val="20"/>
              </w:rPr>
              <w:fldChar w:fldCharType="separate"/>
            </w:r>
            <w:r w:rsidRPr="001E63CB">
              <w:rPr>
                <w:noProof/>
                <w:sz w:val="18"/>
                <w:szCs w:val="20"/>
              </w:rPr>
              <w:t>eMarketer (2016)</w:t>
            </w:r>
            <w:r w:rsidRPr="001E63CB">
              <w:rPr>
                <w:sz w:val="18"/>
                <w:szCs w:val="20"/>
              </w:rPr>
              <w:fldChar w:fldCharType="end"/>
            </w:r>
            <w:r w:rsidRPr="001E63CB">
              <w:rPr>
                <w:sz w:val="18"/>
                <w:szCs w:val="20"/>
              </w:rPr>
              <w:t xml:space="preserve"> and displays the % of respondents to a Cowen and Company survey of Netflix Customers.</w:t>
            </w:r>
          </w:p>
        </w:tc>
      </w:tr>
    </w:tbl>
    <w:p w14:paraId="0578E78A" w14:textId="77777777" w:rsidR="00C33D7C" w:rsidRDefault="00C33D7C" w:rsidP="00C33D7C">
      <w:pPr>
        <w:spacing w:before="120" w:after="120" w:line="360" w:lineRule="auto"/>
        <w:jc w:val="both"/>
      </w:pPr>
      <w:r>
        <w:t>The appeal of Netflix original programming is apparent from a 2016 survey of Netflix users who rank the availability of Netflix Originals as equal third reason to join Netflix.</w:t>
      </w:r>
    </w:p>
    <w:p w14:paraId="0A575FA5" w14:textId="77777777" w:rsidR="00C33D7C" w:rsidRPr="00732C96" w:rsidRDefault="00C33D7C" w:rsidP="00C33D7C">
      <w:pPr>
        <w:pStyle w:val="Heading2"/>
        <w:rPr>
          <w:i/>
          <w:color w:val="33006F"/>
        </w:rPr>
      </w:pPr>
      <w:bookmarkStart w:id="6" w:name="_Toc52017930"/>
      <w:r>
        <w:rPr>
          <w:i/>
          <w:color w:val="33006F"/>
        </w:rPr>
        <w:t>Netflix’s Disclosure Policy</w:t>
      </w:r>
      <w:bookmarkEnd w:id="6"/>
    </w:p>
    <w:p w14:paraId="54FCED7E" w14:textId="77777777" w:rsidR="00C33D7C" w:rsidRDefault="00C33D7C" w:rsidP="00C33D7C">
      <w:pPr>
        <w:spacing w:before="120" w:after="120" w:line="360" w:lineRule="auto"/>
        <w:jc w:val="both"/>
      </w:pPr>
      <w:r>
        <w:t xml:space="preserve">Netflix, like most large publicly traded companies, has a dedicated investor relations (IR) team that facilitates the disclosure of all publicly required filings. See: </w:t>
      </w:r>
      <w:hyperlink r:id="rId15" w:history="1">
        <w:r w:rsidRPr="00EF48DD">
          <w:rPr>
            <w:rStyle w:val="Hyperlink"/>
          </w:rPr>
          <w:t>https://ir.netflix.com/</w:t>
        </w:r>
      </w:hyperlink>
      <w:r>
        <w:t xml:space="preserve">. Despite this, Netflix has attracted significant regulatory scrutiny for a couple of their disclosure choices. </w:t>
      </w:r>
    </w:p>
    <w:p w14:paraId="062FEF97" w14:textId="77777777" w:rsidR="00C33D7C" w:rsidRDefault="00C33D7C" w:rsidP="00C33D7C">
      <w:pPr>
        <w:spacing w:before="120" w:after="120" w:line="360" w:lineRule="auto"/>
        <w:jc w:val="both"/>
      </w:pPr>
      <w:r>
        <w:rPr>
          <w:b/>
          <w:i/>
          <w:color w:val="33006F"/>
        </w:rPr>
        <w:t>Disclosure of Churn</w:t>
      </w:r>
      <w:r w:rsidRPr="00177FDE">
        <w:rPr>
          <w:b/>
          <w:i/>
          <w:color w:val="33006F"/>
        </w:rPr>
        <w:t>:</w:t>
      </w:r>
      <w:r w:rsidRPr="00177FDE">
        <w:rPr>
          <w:i/>
        </w:rPr>
        <w:t xml:space="preserve"> </w:t>
      </w:r>
      <w:r>
        <w:t>In 2011, the Securities and Exchange Commission (SEC) queried Netflix on their decision to cease providing information on changes in their subscriber base including “g</w:t>
      </w:r>
      <w:r w:rsidRPr="002924B7">
        <w:t xml:space="preserve">ross subscriber additions, </w:t>
      </w:r>
      <w:r w:rsidRPr="002924B7">
        <w:lastRenderedPageBreak/>
        <w:t>subscriber acquisition costs and churn</w:t>
      </w:r>
      <w:r>
        <w:t xml:space="preserve">.” These useful, but voluntary, disclosures are no longer a feature of the excel spreadsheets that Netflix provides through their IR website. Many analysts, however, considered these to be useful metrics </w:t>
      </w:r>
      <w:r>
        <w:fldChar w:fldCharType="begin"/>
      </w:r>
      <w:r>
        <w:instrText xml:space="preserve"> ADDIN EN.CITE &lt;EndNote&gt;&lt;Cite&gt;&lt;Author&gt;Savitz&lt;/Author&gt;&lt;Year&gt;2011&lt;/Year&gt;&lt;RecNum&gt;363&lt;/RecNum&gt;&lt;Prefix&gt;see &lt;/Prefix&gt;&lt;DisplayText&gt;(see Savitz 2011)&lt;/DisplayText&gt;&lt;record&gt;&lt;rec-number&gt;363&lt;/rec-number&gt;&lt;foreign-keys&gt;&lt;key app="EN" db-id="5wddtwtdltavvheer5vvrda5pftspd2zre9e" timestamp="1484084013"&gt;363&lt;/key&gt;&lt;/foreign-keys&gt;&lt;ref-type name="Newspaper Article"&gt;23&lt;/ref-type&gt;&lt;contributors&gt;&lt;authors&gt;&lt;author&gt;Savitz, Eric &lt;/author&gt;&lt;/authors&gt;&lt;/contributors&gt;&lt;titles&gt;&lt;title&gt;Should Netflix Keep Disclosing Churn? Analyst Says Yes&lt;/title&gt;&lt;secondary-title&gt;Forbes&lt;/secondary-title&gt;&lt;/titles&gt;&lt;dates&gt;&lt;year&gt;2011&lt;/year&gt;&lt;pub-dates&gt;&lt;date&gt;9/19/2011&lt;/date&gt;&lt;/pub-dates&gt;&lt;/dates&gt;&lt;urls&gt;&lt;related-urls&gt;&lt;url&gt;http://www.forbes.com/sites/ericsavitz/2011/09/19/should-netflix-keep-disclosing-churn-analyst-says-yes/&lt;/url&gt;&lt;/related-urls&gt;&lt;/urls&gt;&lt;/record&gt;&lt;/Cite&gt;&lt;/EndNote&gt;</w:instrText>
      </w:r>
      <w:r>
        <w:fldChar w:fldCharType="separate"/>
      </w:r>
      <w:r>
        <w:rPr>
          <w:noProof/>
        </w:rPr>
        <w:t>(see Savitz 2011)</w:t>
      </w:r>
      <w:r>
        <w:fldChar w:fldCharType="end"/>
      </w:r>
      <w:r>
        <w:t>.</w:t>
      </w:r>
    </w:p>
    <w:p w14:paraId="78072E26" w14:textId="77777777" w:rsidR="00C33D7C" w:rsidRDefault="00C33D7C" w:rsidP="00C33D7C">
      <w:pPr>
        <w:spacing w:before="120" w:after="120" w:line="360" w:lineRule="auto"/>
        <w:jc w:val="both"/>
      </w:pPr>
      <w:r>
        <w:rPr>
          <w:b/>
          <w:i/>
          <w:color w:val="33006F"/>
        </w:rPr>
        <w:t>Disclosure on social media</w:t>
      </w:r>
      <w:r w:rsidRPr="00177FDE">
        <w:rPr>
          <w:b/>
          <w:i/>
          <w:color w:val="33006F"/>
        </w:rPr>
        <w:t>:</w:t>
      </w:r>
      <w:r w:rsidRPr="00177FDE">
        <w:rPr>
          <w:i/>
        </w:rPr>
        <w:t xml:space="preserve"> </w:t>
      </w:r>
      <w:r>
        <w:t xml:space="preserve">In July of 2012, Reed Hastings attracted the attention of the SEC from his decision to post on Facebook that Netflix </w:t>
      </w:r>
      <w:r w:rsidRPr="00C05386">
        <w:t xml:space="preserve">had </w:t>
      </w:r>
      <w:r>
        <w:t xml:space="preserve">surpassed </w:t>
      </w:r>
      <w:r w:rsidRPr="00C05386">
        <w:t xml:space="preserve">one billion hours of streaming video in a </w:t>
      </w:r>
      <w:r>
        <w:t xml:space="preserve">single </w:t>
      </w:r>
      <w:r w:rsidRPr="00C05386">
        <w:t>month</w:t>
      </w:r>
      <w:r>
        <w:t>. The stock market reacted to this news prompting enquiries into whether this disclosure was selective disclosure (as his Facebook friends are the only ones who could see his post). The SEC considered brining charges against Reed Hastings in December 2012, but later determined not to undertake an enforcement action. Interestingly, this sparked a change at the IR website, which now includes a webpage that facilitates access to their social media disclosures – see Figure 3.</w:t>
      </w:r>
    </w:p>
    <w:p w14:paraId="46824DC8" w14:textId="77777777" w:rsidR="00C33D7C" w:rsidRDefault="00C33D7C" w:rsidP="00C33D7C">
      <w:pPr>
        <w:spacing w:before="120" w:after="120" w:line="360" w:lineRule="auto"/>
        <w:jc w:val="both"/>
      </w:pPr>
      <w:r w:rsidRPr="007912F0">
        <w:rPr>
          <w:b/>
          <w:i/>
          <w:color w:val="33006F"/>
        </w:rPr>
        <w:t>Other concerns:</w:t>
      </w:r>
      <w:r>
        <w:t xml:space="preserve"> Some analysts have questioned Netflix accounting, among the more critical perspectives is the firm New Constructs, who provide estimates of how misleading they believe earnings are for thousands of companies. In their most recent report on Netflix, they consider Netflix’s earnings to be “dangerously misleading.”</w:t>
      </w:r>
    </w:p>
    <w:p w14:paraId="0FEED3BE" w14:textId="77777777" w:rsidR="00C33D7C" w:rsidRDefault="00C33D7C" w:rsidP="00C33D7C">
      <w:pPr>
        <w:spacing w:line="24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0"/>
        <w:gridCol w:w="6916"/>
      </w:tblGrid>
      <w:tr w:rsidR="00C33D7C" w14:paraId="4D49E362" w14:textId="77777777" w:rsidTr="000E386D">
        <w:tc>
          <w:tcPr>
            <w:tcW w:w="8064" w:type="dxa"/>
            <w:gridSpan w:val="2"/>
          </w:tcPr>
          <w:p w14:paraId="583DCA95" w14:textId="207DDC80" w:rsidR="00C33D7C" w:rsidRPr="009C6099" w:rsidRDefault="00C33D7C" w:rsidP="000E386D">
            <w:pPr>
              <w:jc w:val="center"/>
              <w:rPr>
                <w:rFonts w:asciiTheme="majorHAnsi" w:hAnsiTheme="majorHAnsi"/>
                <w:b/>
              </w:rPr>
            </w:pPr>
            <w:r w:rsidRPr="009C6099">
              <w:rPr>
                <w:rFonts w:asciiTheme="majorHAnsi" w:hAnsiTheme="majorHAnsi"/>
                <w:b/>
              </w:rPr>
              <w:t xml:space="preserve">Figure </w:t>
            </w:r>
            <w:r>
              <w:rPr>
                <w:rFonts w:asciiTheme="majorHAnsi" w:hAnsiTheme="majorHAnsi"/>
                <w:b/>
              </w:rPr>
              <w:fldChar w:fldCharType="begin"/>
            </w:r>
            <w:r>
              <w:rPr>
                <w:rFonts w:asciiTheme="majorHAnsi" w:hAnsiTheme="majorHAnsi"/>
                <w:b/>
              </w:rPr>
              <w:instrText xml:space="preserve"> SEQ Figures \* MERGEFORMAT </w:instrText>
            </w:r>
            <w:r>
              <w:rPr>
                <w:rFonts w:asciiTheme="majorHAnsi" w:hAnsiTheme="majorHAnsi"/>
                <w:b/>
              </w:rPr>
              <w:fldChar w:fldCharType="separate"/>
            </w:r>
            <w:r w:rsidR="00980F91">
              <w:rPr>
                <w:rFonts w:asciiTheme="majorHAnsi" w:hAnsiTheme="majorHAnsi"/>
                <w:b/>
                <w:noProof/>
              </w:rPr>
              <w:t>4</w:t>
            </w:r>
            <w:r>
              <w:rPr>
                <w:rFonts w:asciiTheme="majorHAnsi" w:hAnsiTheme="majorHAnsi"/>
                <w:b/>
              </w:rPr>
              <w:fldChar w:fldCharType="end"/>
            </w:r>
          </w:p>
          <w:p w14:paraId="55919690" w14:textId="77777777" w:rsidR="00C33D7C" w:rsidRDefault="00C33D7C" w:rsidP="000E386D">
            <w:pPr>
              <w:jc w:val="center"/>
            </w:pPr>
            <w:r>
              <w:rPr>
                <w:rFonts w:asciiTheme="majorHAnsi" w:hAnsiTheme="majorHAnsi"/>
                <w:b/>
              </w:rPr>
              <w:t>Netflix’s social media disclosure</w:t>
            </w:r>
          </w:p>
        </w:tc>
      </w:tr>
      <w:tr w:rsidR="00C33D7C" w14:paraId="26225D4A" w14:textId="77777777" w:rsidTr="000E386D">
        <w:trPr>
          <w:trHeight w:val="2547"/>
        </w:trPr>
        <w:tc>
          <w:tcPr>
            <w:tcW w:w="8064" w:type="dxa"/>
            <w:gridSpan w:val="2"/>
          </w:tcPr>
          <w:p w14:paraId="26A514F9" w14:textId="77777777" w:rsidR="00C33D7C" w:rsidRDefault="00C33D7C" w:rsidP="000E386D">
            <w:pPr>
              <w:jc w:val="center"/>
            </w:pPr>
            <w:r>
              <w:rPr>
                <w:noProof/>
              </w:rPr>
              <w:drawing>
                <wp:inline distT="0" distB="0" distL="0" distR="0" wp14:anchorId="6B028886" wp14:editId="5B3C6491">
                  <wp:extent cx="5943600" cy="22453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2245360"/>
                          </a:xfrm>
                          <a:prstGeom prst="rect">
                            <a:avLst/>
                          </a:prstGeom>
                        </pic:spPr>
                      </pic:pic>
                    </a:graphicData>
                  </a:graphic>
                </wp:inline>
              </w:drawing>
            </w:r>
          </w:p>
        </w:tc>
      </w:tr>
      <w:tr w:rsidR="00C33D7C" w:rsidRPr="009C6099" w14:paraId="06FDA50F" w14:textId="77777777" w:rsidTr="000E386D">
        <w:trPr>
          <w:trHeight w:val="85"/>
        </w:trPr>
        <w:tc>
          <w:tcPr>
            <w:tcW w:w="2079" w:type="dxa"/>
            <w:tcBorders>
              <w:bottom w:val="single" w:sz="8" w:space="0" w:color="33006F"/>
            </w:tcBorders>
          </w:tcPr>
          <w:p w14:paraId="0F61A8A4" w14:textId="77777777" w:rsidR="00C33D7C" w:rsidRPr="009C6099" w:rsidRDefault="00C33D7C" w:rsidP="000E386D">
            <w:pPr>
              <w:rPr>
                <w:sz w:val="8"/>
              </w:rPr>
            </w:pPr>
          </w:p>
        </w:tc>
        <w:tc>
          <w:tcPr>
            <w:tcW w:w="5985" w:type="dxa"/>
          </w:tcPr>
          <w:p w14:paraId="308F5D5E" w14:textId="77777777" w:rsidR="00C33D7C" w:rsidRPr="009C6099" w:rsidRDefault="00C33D7C" w:rsidP="000E386D">
            <w:pPr>
              <w:rPr>
                <w:sz w:val="8"/>
              </w:rPr>
            </w:pPr>
          </w:p>
        </w:tc>
      </w:tr>
      <w:tr w:rsidR="00C33D7C" w14:paraId="05368D9B" w14:textId="77777777" w:rsidTr="000E386D">
        <w:trPr>
          <w:trHeight w:val="612"/>
        </w:trPr>
        <w:tc>
          <w:tcPr>
            <w:tcW w:w="8064" w:type="dxa"/>
            <w:gridSpan w:val="2"/>
          </w:tcPr>
          <w:p w14:paraId="4BB1F5FB" w14:textId="77777777" w:rsidR="00C33D7C" w:rsidRPr="00AE45C3" w:rsidRDefault="00C33D7C" w:rsidP="000E386D">
            <w:pPr>
              <w:spacing w:line="240" w:lineRule="auto"/>
              <w:jc w:val="both"/>
              <w:rPr>
                <w:sz w:val="20"/>
                <w:szCs w:val="20"/>
              </w:rPr>
            </w:pPr>
            <w:r w:rsidRPr="00AE45C3">
              <w:rPr>
                <w:sz w:val="20"/>
                <w:szCs w:val="20"/>
              </w:rPr>
              <w:t xml:space="preserve">Notes: This figure is </w:t>
            </w:r>
            <w:r>
              <w:rPr>
                <w:sz w:val="20"/>
                <w:szCs w:val="20"/>
              </w:rPr>
              <w:t xml:space="preserve">taken from Netflix’s Investor Relations (IR) webpage, see: </w:t>
            </w:r>
            <w:hyperlink r:id="rId17" w:history="1">
              <w:r w:rsidRPr="00EF48DD">
                <w:rPr>
                  <w:rStyle w:val="Hyperlink"/>
                  <w:sz w:val="20"/>
                  <w:szCs w:val="20"/>
                </w:rPr>
                <w:t>https://ir.netflix.com/social-media-disclosure.cfm</w:t>
              </w:r>
            </w:hyperlink>
          </w:p>
        </w:tc>
      </w:tr>
    </w:tbl>
    <w:p w14:paraId="18E32A9C" w14:textId="77777777" w:rsidR="00C33D7C" w:rsidRPr="00732C96" w:rsidRDefault="00C33D7C" w:rsidP="00C33D7C">
      <w:pPr>
        <w:pStyle w:val="Heading2"/>
        <w:rPr>
          <w:i/>
          <w:color w:val="33006F"/>
        </w:rPr>
      </w:pPr>
      <w:bookmarkStart w:id="7" w:name="_Toc52017931"/>
      <w:r>
        <w:rPr>
          <w:i/>
          <w:color w:val="33006F"/>
        </w:rPr>
        <w:lastRenderedPageBreak/>
        <w:t>Customer Forecasts for Netflix</w:t>
      </w:r>
      <w:bookmarkEnd w:id="7"/>
    </w:p>
    <w:p w14:paraId="5DE65818" w14:textId="20FD95AC" w:rsidR="00C33D7C" w:rsidRDefault="00C33D7C" w:rsidP="00C33D7C">
      <w:pPr>
        <w:spacing w:before="120" w:after="120" w:line="360" w:lineRule="auto"/>
        <w:jc w:val="both"/>
      </w:pPr>
      <w:r>
        <w:t xml:space="preserve">In their 1/3/17 report JPMorgan forecast Netflix’s subscriber base in the US to be 53,200,000 by the end of 2017 growing to 60,603,000 by the end of 2019. In contrast, they expect significant growth in international subscribers, forecasting 56,405,000 subscribers by the end of 2017 growing strongly to 85,477,000 subscribers by the end of 2019. As of the June 30, 2020 quarter end, Netflix disclosed having 72,904 paid memberships in the US and Canada, and over 119 thousand paid international subscribers. Netflix certainly beat the JP Morgan forecasts. </w:t>
      </w:r>
      <w:r>
        <w:t>The question is, however, how much more growth in their subscriber base can Netflix obtain?</w:t>
      </w:r>
    </w:p>
    <w:p w14:paraId="23EAD160" w14:textId="77777777" w:rsidR="00F46D11" w:rsidRPr="00732C96" w:rsidRDefault="00F46D11" w:rsidP="00F46D11">
      <w:pPr>
        <w:pStyle w:val="Heading1"/>
        <w:rPr>
          <w:smallCaps/>
          <w:color w:val="33006F"/>
        </w:rPr>
      </w:pPr>
      <w:bookmarkStart w:id="8" w:name="_Toc52017932"/>
      <w:r>
        <w:rPr>
          <w:smallCaps/>
          <w:color w:val="33006F"/>
        </w:rPr>
        <w:t>Conclusion</w:t>
      </w:r>
      <w:bookmarkEnd w:id="8"/>
    </w:p>
    <w:p w14:paraId="026F285F" w14:textId="77777777" w:rsidR="00F46D11" w:rsidRDefault="00F46D11" w:rsidP="00177FDE">
      <w:pPr>
        <w:spacing w:before="120" w:after="120" w:line="360" w:lineRule="auto"/>
        <w:jc w:val="both"/>
      </w:pPr>
      <w:r>
        <w:t>Overall, customer acquisition and retention are the drivers of Netflix’s revenue growth and profitability. Strategies that enhance either or both customer acquisition and retention are of benefit to Netflix. With significant global expansion already underway, a creative and innovative solution is required.</w:t>
      </w:r>
      <w:r w:rsidR="0051098E">
        <w:t xml:space="preserve"> What do you suggest?</w:t>
      </w:r>
    </w:p>
    <w:p w14:paraId="427DF687" w14:textId="77777777" w:rsidR="005951C3" w:rsidRPr="00732C96" w:rsidRDefault="005951C3" w:rsidP="005951C3">
      <w:pPr>
        <w:pStyle w:val="Heading1"/>
        <w:rPr>
          <w:smallCaps/>
          <w:color w:val="33006F"/>
        </w:rPr>
      </w:pPr>
      <w:bookmarkStart w:id="9" w:name="_Toc52017933"/>
      <w:r>
        <w:rPr>
          <w:smallCaps/>
          <w:color w:val="33006F"/>
        </w:rPr>
        <w:t>Data and Resources</w:t>
      </w:r>
      <w:bookmarkEnd w:id="9"/>
    </w:p>
    <w:p w14:paraId="75677786" w14:textId="77777777" w:rsidR="00732C96" w:rsidRDefault="00177FDE" w:rsidP="00F8742C">
      <w:pPr>
        <w:spacing w:before="120" w:after="120" w:line="360" w:lineRule="auto"/>
        <w:jc w:val="both"/>
      </w:pPr>
      <w:r>
        <w:t>The following data</w:t>
      </w:r>
      <w:r w:rsidR="00BF2C70">
        <w:t xml:space="preserve"> and resources are </w:t>
      </w:r>
      <w:r>
        <w:t xml:space="preserve">available in the </w:t>
      </w:r>
      <w:r w:rsidR="00BF2C70">
        <w:t>case supplement</w:t>
      </w:r>
      <w:r>
        <w:t>:</w:t>
      </w:r>
    </w:p>
    <w:p w14:paraId="07B47697" w14:textId="2871C040" w:rsidR="00623BB3" w:rsidRDefault="00387E42" w:rsidP="00177FDE">
      <w:pPr>
        <w:pStyle w:val="ListParagraph"/>
        <w:numPr>
          <w:ilvl w:val="0"/>
          <w:numId w:val="8"/>
        </w:numPr>
        <w:spacing w:before="120" w:after="120" w:line="360" w:lineRule="auto"/>
        <w:jc w:val="both"/>
      </w:pPr>
      <w:r>
        <w:t>The Netflix 2020-Q2 financial disclosure (note that we are most interested in the regional information tab of that spreadsheet).</w:t>
      </w:r>
    </w:p>
    <w:p w14:paraId="31363016" w14:textId="4B86A897" w:rsidR="00AE73FC" w:rsidRDefault="00AE73FC" w:rsidP="00AE73FC">
      <w:pPr>
        <w:spacing w:before="120" w:after="120" w:line="360" w:lineRule="auto"/>
        <w:jc w:val="both"/>
      </w:pPr>
      <w:r>
        <w:t>Note that additional suggestions may be available sporadically in the Canvas discussion or the webpage relating to this case</w:t>
      </w:r>
      <w:r w:rsidR="00387E42">
        <w:t xml:space="preserve"> if Netflix releases newer quarterly financials.</w:t>
      </w:r>
    </w:p>
    <w:p w14:paraId="06DF7C6F" w14:textId="77777777" w:rsidR="00AE4AA3" w:rsidRPr="00732C96" w:rsidRDefault="00AE4AA3" w:rsidP="00AE4AA3">
      <w:pPr>
        <w:pStyle w:val="Heading1"/>
        <w:rPr>
          <w:smallCaps/>
          <w:color w:val="33006F"/>
        </w:rPr>
      </w:pPr>
      <w:bookmarkStart w:id="10" w:name="_Toc52017934"/>
      <w:r>
        <w:rPr>
          <w:smallCaps/>
          <w:color w:val="33006F"/>
        </w:rPr>
        <w:t>Reference</w:t>
      </w:r>
      <w:r w:rsidRPr="00732C96">
        <w:rPr>
          <w:smallCaps/>
          <w:color w:val="33006F"/>
        </w:rPr>
        <w:t>s</w:t>
      </w:r>
      <w:bookmarkEnd w:id="10"/>
    </w:p>
    <w:p w14:paraId="46B569E4" w14:textId="77777777" w:rsidR="007912F0" w:rsidRPr="007912F0" w:rsidRDefault="00AE4AA3" w:rsidP="007912F0">
      <w:pPr>
        <w:pStyle w:val="EndNoteBibliography"/>
        <w:ind w:left="720" w:hanging="720"/>
      </w:pPr>
      <w:r>
        <w:fldChar w:fldCharType="begin"/>
      </w:r>
      <w:r>
        <w:instrText xml:space="preserve"> ADDIN EN.REFLIST </w:instrText>
      </w:r>
      <w:r>
        <w:fldChar w:fldCharType="separate"/>
      </w:r>
      <w:r w:rsidR="007912F0" w:rsidRPr="007912F0">
        <w:t xml:space="preserve">eMarketer. 2016. Netflix Reports Churn as Subscribers Leave over Price Increase: </w:t>
      </w:r>
      <w:hyperlink r:id="rId18" w:history="1">
        <w:r w:rsidR="007912F0" w:rsidRPr="007912F0">
          <w:rPr>
            <w:rStyle w:val="Hyperlink"/>
          </w:rPr>
          <w:t>https://www.emarketer.com/Article/Netflix-Reports-Churn-Subscribers-Leave-over-Price-Increase/1014254</w:t>
        </w:r>
      </w:hyperlink>
      <w:r w:rsidR="007912F0" w:rsidRPr="007912F0">
        <w:t>.</w:t>
      </w:r>
    </w:p>
    <w:p w14:paraId="38AC392E" w14:textId="77777777" w:rsidR="007912F0" w:rsidRPr="007912F0" w:rsidRDefault="007912F0" w:rsidP="007912F0">
      <w:pPr>
        <w:pStyle w:val="EndNoteBibliography"/>
        <w:ind w:left="720" w:hanging="720"/>
      </w:pPr>
      <w:r w:rsidRPr="007912F0">
        <w:t xml:space="preserve">Nissim, D., and S. H. Penman. 2001. Ratio Analysis and Equity Valuation: From Research to Practice. </w:t>
      </w:r>
      <w:r w:rsidRPr="007912F0">
        <w:rPr>
          <w:i/>
        </w:rPr>
        <w:t>Review of Accounting Studies</w:t>
      </w:r>
      <w:r w:rsidRPr="007912F0">
        <w:t xml:space="preserve"> 6 (1):109-154.</w:t>
      </w:r>
    </w:p>
    <w:p w14:paraId="421A5C06" w14:textId="77777777" w:rsidR="007912F0" w:rsidRPr="007912F0" w:rsidRDefault="007912F0" w:rsidP="007912F0">
      <w:pPr>
        <w:pStyle w:val="EndNoteBibliography"/>
        <w:ind w:left="720" w:hanging="720"/>
      </w:pPr>
      <w:r w:rsidRPr="007912F0">
        <w:t xml:space="preserve">Poletti, T. 2016. Why Netflix gave up on streaming into China, for now: MarketWatch: </w:t>
      </w:r>
      <w:hyperlink r:id="rId19" w:history="1">
        <w:r w:rsidRPr="007912F0">
          <w:rPr>
            <w:rStyle w:val="Hyperlink"/>
          </w:rPr>
          <w:t>http://www.marketwatch.com/story/netflix-takes-china-off-its-to-do-list-for-now-2016-10-17</w:t>
        </w:r>
      </w:hyperlink>
      <w:r w:rsidRPr="007912F0">
        <w:t>.</w:t>
      </w:r>
    </w:p>
    <w:p w14:paraId="08492282" w14:textId="77777777" w:rsidR="007912F0" w:rsidRPr="007912F0" w:rsidRDefault="007912F0" w:rsidP="007912F0">
      <w:pPr>
        <w:pStyle w:val="EndNoteBibliography"/>
        <w:ind w:left="720" w:hanging="720"/>
      </w:pPr>
      <w:r w:rsidRPr="007912F0">
        <w:lastRenderedPageBreak/>
        <w:t xml:space="preserve">Savitz, E. 2011. Should Netflix Keep Disclosing Churn? Analyst Says Yes. </w:t>
      </w:r>
      <w:r w:rsidRPr="007912F0">
        <w:rPr>
          <w:i/>
        </w:rPr>
        <w:t>Forbes</w:t>
      </w:r>
      <w:r w:rsidRPr="007912F0">
        <w:t>, 9/19/2011.</w:t>
      </w:r>
    </w:p>
    <w:p w14:paraId="78BD7DE9" w14:textId="77777777" w:rsidR="007912F0" w:rsidRPr="007912F0" w:rsidRDefault="007912F0" w:rsidP="007912F0">
      <w:pPr>
        <w:pStyle w:val="EndNoteBibliography"/>
        <w:ind w:left="720" w:hanging="720"/>
      </w:pPr>
      <w:r w:rsidRPr="007912F0">
        <w:t xml:space="preserve">Stelter, B. 2016. Countries where Netflix is now available. </w:t>
      </w:r>
      <w:r w:rsidRPr="007912F0">
        <w:rPr>
          <w:i/>
        </w:rPr>
        <w:t>CNN Money</w:t>
      </w:r>
      <w:r w:rsidRPr="007912F0">
        <w:t>.</w:t>
      </w:r>
    </w:p>
    <w:p w14:paraId="189445B0" w14:textId="77777777" w:rsidR="007912F0" w:rsidRPr="007912F0" w:rsidRDefault="007912F0" w:rsidP="007912F0">
      <w:pPr>
        <w:pStyle w:val="EndNoteBibliography"/>
        <w:ind w:left="720" w:hanging="720"/>
      </w:pPr>
      <w:r w:rsidRPr="007912F0">
        <w:t xml:space="preserve">Woo, S. 2011. Under Fire, Netflix Rewinds DVD Plan. </w:t>
      </w:r>
      <w:r w:rsidRPr="007912F0">
        <w:rPr>
          <w:i/>
        </w:rPr>
        <w:t xml:space="preserve">Wall Street Journal: </w:t>
      </w:r>
      <w:hyperlink r:id="rId20" w:history="1">
        <w:r w:rsidRPr="007912F0">
          <w:rPr>
            <w:rStyle w:val="Hyperlink"/>
            <w:i/>
          </w:rPr>
          <w:t>http://www.wsj.com/articles/SB10001424052970203499704576622674082410578</w:t>
        </w:r>
      </w:hyperlink>
      <w:r w:rsidRPr="007912F0">
        <w:t>, 10/11/2011.</w:t>
      </w:r>
    </w:p>
    <w:p w14:paraId="0B42361A" w14:textId="77777777" w:rsidR="00DE244B" w:rsidRDefault="00AE4AA3" w:rsidP="00BF2C70">
      <w:pPr>
        <w:spacing w:line="240" w:lineRule="auto"/>
      </w:pPr>
      <w:r>
        <w:fldChar w:fldCharType="end"/>
      </w:r>
    </w:p>
    <w:tbl>
      <w:tblPr>
        <w:tblStyle w:val="TableGrid"/>
        <w:tblpPr w:leftFromText="180" w:rightFromText="180" w:vertAnchor="text" w:horzAnchor="margin" w:tblpY="382"/>
        <w:tblW w:w="9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7"/>
        <w:gridCol w:w="7813"/>
      </w:tblGrid>
      <w:tr w:rsidR="00BF2C70" w:rsidRPr="009C6099" w14:paraId="40A2B186" w14:textId="77777777" w:rsidTr="002A30CF">
        <w:trPr>
          <w:trHeight w:val="85"/>
        </w:trPr>
        <w:tc>
          <w:tcPr>
            <w:tcW w:w="2087" w:type="dxa"/>
            <w:tcBorders>
              <w:bottom w:val="single" w:sz="4" w:space="0" w:color="auto"/>
            </w:tcBorders>
          </w:tcPr>
          <w:p w14:paraId="062229AA" w14:textId="77777777" w:rsidR="00BF2C70" w:rsidRPr="009C6099" w:rsidRDefault="00BF2C70" w:rsidP="00BF2C70">
            <w:pPr>
              <w:rPr>
                <w:sz w:val="8"/>
              </w:rPr>
            </w:pPr>
          </w:p>
        </w:tc>
        <w:tc>
          <w:tcPr>
            <w:tcW w:w="7813" w:type="dxa"/>
          </w:tcPr>
          <w:p w14:paraId="67A5044B" w14:textId="77777777" w:rsidR="00BF2C70" w:rsidRPr="009C6099" w:rsidRDefault="00BF2C70" w:rsidP="00BF2C70">
            <w:pPr>
              <w:rPr>
                <w:sz w:val="8"/>
              </w:rPr>
            </w:pPr>
          </w:p>
        </w:tc>
      </w:tr>
      <w:tr w:rsidR="00BF2C70" w14:paraId="44A7310F" w14:textId="77777777" w:rsidTr="002A30CF">
        <w:trPr>
          <w:trHeight w:val="612"/>
        </w:trPr>
        <w:tc>
          <w:tcPr>
            <w:tcW w:w="9900" w:type="dxa"/>
            <w:gridSpan w:val="2"/>
          </w:tcPr>
          <w:p w14:paraId="3C813A52" w14:textId="3103824F" w:rsidR="00BF2C70" w:rsidRDefault="00BF2C70" w:rsidP="00CC0CC9">
            <w:pPr>
              <w:spacing w:line="240" w:lineRule="auto"/>
              <w:jc w:val="both"/>
            </w:pPr>
            <w:r w:rsidRPr="00AE4AA3">
              <w:rPr>
                <w:b/>
                <w:color w:val="33006F"/>
                <w:sz w:val="20"/>
              </w:rPr>
              <w:t>Acknowledgements:</w:t>
            </w:r>
            <w:r w:rsidRPr="00B42F15">
              <w:rPr>
                <w:sz w:val="20"/>
              </w:rPr>
              <w:t xml:space="preserve"> This case is based on an earlier case written by </w:t>
            </w:r>
            <w:r>
              <w:rPr>
                <w:sz w:val="20"/>
              </w:rPr>
              <w:t>Asher Curtis and Robert Resutek (Dartmouth) originally titled “</w:t>
            </w:r>
            <w:r w:rsidRPr="00623BB3">
              <w:rPr>
                <w:sz w:val="20"/>
              </w:rPr>
              <w:t>Netflix: A Forecasting Case using Voluntary Disclosures</w:t>
            </w:r>
            <w:r>
              <w:rPr>
                <w:sz w:val="20"/>
              </w:rPr>
              <w:t>,” Revised; December 201</w:t>
            </w:r>
            <w:r w:rsidR="0051098E">
              <w:rPr>
                <w:sz w:val="20"/>
              </w:rPr>
              <w:t>2; December 2014; December 2016; This version created in Spring 2017; Revised Autumn 2017.</w:t>
            </w:r>
            <w:r w:rsidR="00387E42">
              <w:rPr>
                <w:sz w:val="20"/>
              </w:rPr>
              <w:t xml:space="preserve"> Revised September 2020.</w:t>
            </w:r>
          </w:p>
        </w:tc>
      </w:tr>
    </w:tbl>
    <w:p w14:paraId="5D11DB0C" w14:textId="77777777" w:rsidR="002706F3" w:rsidRDefault="002706F3" w:rsidP="00BF2C70">
      <w:pPr>
        <w:spacing w:line="240" w:lineRule="auto"/>
      </w:pPr>
    </w:p>
    <w:sectPr w:rsidR="002706F3" w:rsidSect="00A830BE">
      <w:headerReference w:type="default" r:id="rId21"/>
      <w:footerReference w:type="default" r:id="rId22"/>
      <w:headerReference w:type="first" r:id="rId23"/>
      <w:footerReference w:type="first" r:id="rId24"/>
      <w:pgSz w:w="12240" w:h="15840" w:code="1"/>
      <w:pgMar w:top="1440" w:right="1440" w:bottom="1440" w:left="1152" w:header="907"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CEE408C" w14:textId="77777777" w:rsidR="00A03D40" w:rsidRDefault="00A03D40" w:rsidP="00046408">
      <w:pPr>
        <w:spacing w:line="240" w:lineRule="auto"/>
      </w:pPr>
      <w:r>
        <w:separator/>
      </w:r>
    </w:p>
  </w:endnote>
  <w:endnote w:type="continuationSeparator" w:id="0">
    <w:p w14:paraId="526BCB8F" w14:textId="77777777" w:rsidR="00A03D40" w:rsidRDefault="00A03D40" w:rsidP="000464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BC7A7383-DD25-469B-8F8E-87D55A04DCDA}"/>
    <w:embedBold r:id="rId2" w:fontKey="{25889E8D-C84C-44FC-8DEF-375DBB17FE11}"/>
    <w:embedItalic r:id="rId3" w:fontKey="{FA3EACF5-10F9-4FD7-8621-0CD819EBBC33}"/>
    <w:embedBoldItalic r:id="rId4" w:fontKey="{1BC713DF-002F-475C-99E7-BB58738F04D4}"/>
  </w:font>
  <w:font w:name="Tahoma">
    <w:panose1 w:val="020B0604030504040204"/>
    <w:charset w:val="00"/>
    <w:family w:val="swiss"/>
    <w:pitch w:val="variable"/>
    <w:sig w:usb0="E1002EFF" w:usb1="C000605B" w:usb2="00000029" w:usb3="00000000" w:csb0="000101FF" w:csb1="00000000"/>
    <w:embedRegular r:id="rId5" w:fontKey="{B15C3E78-32B4-4002-BD13-70BD2476958D}"/>
  </w:font>
  <w:font w:name="Open Sans">
    <w:altName w:val="Segoe UI"/>
    <w:panose1 w:val="020B0606030504020204"/>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embedItalic r:id="rId6" w:fontKey="{2B76268A-78ED-4FAF-A2B8-B9652413982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20558761"/>
      <w:docPartObj>
        <w:docPartGallery w:val="Page Numbers (Bottom of Page)"/>
        <w:docPartUnique/>
      </w:docPartObj>
    </w:sdtPr>
    <w:sdtEndPr>
      <w:rPr>
        <w:color w:val="33006F"/>
        <w:spacing w:val="60"/>
      </w:rPr>
    </w:sdtEndPr>
    <w:sdtContent>
      <w:p w14:paraId="56DAF54F" w14:textId="77777777" w:rsidR="004D66FB" w:rsidRDefault="004D66FB">
        <w:pPr>
          <w:pStyle w:val="Footer"/>
          <w:pBdr>
            <w:top w:val="single" w:sz="4" w:space="1" w:color="D9D9D9" w:themeColor="background1" w:themeShade="D9"/>
          </w:pBdr>
          <w:jc w:val="right"/>
        </w:pPr>
        <w:r w:rsidRPr="005951C3">
          <w:rPr>
            <w:color w:val="33006F"/>
          </w:rPr>
          <w:fldChar w:fldCharType="begin"/>
        </w:r>
        <w:r w:rsidRPr="005951C3">
          <w:rPr>
            <w:color w:val="33006F"/>
          </w:rPr>
          <w:instrText xml:space="preserve"> PAGE   \* MERGEFORMAT </w:instrText>
        </w:r>
        <w:r w:rsidRPr="005951C3">
          <w:rPr>
            <w:color w:val="33006F"/>
          </w:rPr>
          <w:fldChar w:fldCharType="separate"/>
        </w:r>
        <w:r w:rsidR="009D4C0E">
          <w:rPr>
            <w:noProof/>
            <w:color w:val="33006F"/>
          </w:rPr>
          <w:t>2</w:t>
        </w:r>
        <w:r w:rsidRPr="005951C3">
          <w:rPr>
            <w:noProof/>
            <w:color w:val="33006F"/>
          </w:rPr>
          <w:fldChar w:fldCharType="end"/>
        </w:r>
        <w:r w:rsidRPr="005951C3">
          <w:rPr>
            <w:color w:val="33006F"/>
          </w:rPr>
          <w:t xml:space="preserve"> | </w:t>
        </w:r>
        <w:r w:rsidRPr="005951C3">
          <w:rPr>
            <w:color w:val="33006F"/>
            <w:spacing w:val="60"/>
          </w:rPr>
          <w:t>Page</w:t>
        </w:r>
      </w:p>
    </w:sdtContent>
  </w:sdt>
  <w:p w14:paraId="2901B476" w14:textId="77777777" w:rsidR="004D66FB" w:rsidRDefault="004D66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1"/>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78"/>
      <w:gridCol w:w="2160"/>
    </w:tblGrid>
    <w:tr w:rsidR="004D66FB" w:rsidRPr="005951C3" w14:paraId="560FC5F6" w14:textId="77777777" w:rsidTr="00A26258">
      <w:tc>
        <w:tcPr>
          <w:tcW w:w="6678" w:type="dxa"/>
        </w:tcPr>
        <w:p w14:paraId="4B08DE55" w14:textId="77777777" w:rsidR="004D66FB" w:rsidRPr="005951C3" w:rsidRDefault="004D66FB" w:rsidP="005951C3">
          <w:pPr>
            <w:spacing w:line="276" w:lineRule="auto"/>
            <w:jc w:val="both"/>
            <w:rPr>
              <w:rFonts w:ascii="Calibri" w:eastAsia="Calibri" w:hAnsi="Calibri" w:cs="Times New Roman"/>
              <w:caps/>
              <w:color w:val="37246A"/>
              <w:sz w:val="18"/>
            </w:rPr>
          </w:pPr>
          <w:r w:rsidRPr="005951C3">
            <w:rPr>
              <w:rFonts w:ascii="Calibri" w:eastAsia="Calibri" w:hAnsi="Calibri" w:cs="Times New Roman"/>
              <w:caps/>
              <w:color w:val="37246A"/>
              <w:sz w:val="18"/>
            </w:rPr>
            <w:t xml:space="preserve">© </w:t>
          </w:r>
          <w:r w:rsidRPr="005951C3">
            <w:rPr>
              <w:rFonts w:ascii="Calibri" w:eastAsia="Calibri" w:hAnsi="Calibri" w:cs="Times New Roman"/>
              <w:color w:val="37246A"/>
              <w:sz w:val="18"/>
            </w:rPr>
            <w:t>The Author(s). This case was prepared by Asher Curtis solely to facilitate class discussion. This case is not intended to serve as an endorsement, source of primary data, or illustrations of effective or ineffective handling of a business situation. All financial data and other information in this case are collected from publicly available information.</w:t>
          </w:r>
        </w:p>
      </w:tc>
      <w:tc>
        <w:tcPr>
          <w:tcW w:w="2160" w:type="dxa"/>
        </w:tcPr>
        <w:p w14:paraId="2E463298" w14:textId="77777777" w:rsidR="004D66FB" w:rsidRPr="005951C3" w:rsidRDefault="004D66FB" w:rsidP="005951C3">
          <w:pPr>
            <w:tabs>
              <w:tab w:val="center" w:pos="972"/>
            </w:tabs>
            <w:spacing w:line="276" w:lineRule="auto"/>
            <w:jc w:val="center"/>
            <w:rPr>
              <w:rFonts w:ascii="Calibri" w:eastAsia="Calibri" w:hAnsi="Calibri" w:cs="Times New Roman"/>
              <w:caps/>
              <w:color w:val="37246A"/>
              <w:sz w:val="18"/>
            </w:rPr>
          </w:pPr>
          <w:r w:rsidRPr="005951C3">
            <w:rPr>
              <w:rFonts w:ascii="Calibri" w:eastAsia="Calibri" w:hAnsi="Calibri" w:cs="Times New Roman"/>
              <w:caps/>
              <w:noProof/>
              <w:color w:val="37246A"/>
              <w:sz w:val="18"/>
            </w:rPr>
            <w:drawing>
              <wp:inline distT="0" distB="0" distL="0" distR="0" wp14:anchorId="29A20236" wp14:editId="473B87DD">
                <wp:extent cx="621665" cy="420370"/>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1665" cy="420370"/>
                        </a:xfrm>
                        <a:prstGeom prst="rect">
                          <a:avLst/>
                        </a:prstGeom>
                        <a:noFill/>
                      </pic:spPr>
                    </pic:pic>
                  </a:graphicData>
                </a:graphic>
              </wp:inline>
            </w:drawing>
          </w:r>
        </w:p>
      </w:tc>
    </w:tr>
  </w:tbl>
  <w:p w14:paraId="362A58EB" w14:textId="77777777" w:rsidR="004D66FB" w:rsidRDefault="004D66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DFCCE4" w14:textId="77777777" w:rsidR="00A03D40" w:rsidRDefault="00A03D40" w:rsidP="00046408">
      <w:pPr>
        <w:spacing w:line="240" w:lineRule="auto"/>
      </w:pPr>
      <w:r>
        <w:separator/>
      </w:r>
    </w:p>
  </w:footnote>
  <w:footnote w:type="continuationSeparator" w:id="0">
    <w:p w14:paraId="437A731A" w14:textId="77777777" w:rsidR="00A03D40" w:rsidRDefault="00A03D40" w:rsidP="0004640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D120DC" w14:textId="77777777" w:rsidR="004D66FB" w:rsidRDefault="004D66FB" w:rsidP="006F33FC">
    <w:pPr>
      <w:pStyle w:val="FBLogo"/>
      <w:spacing w:after="120"/>
    </w:pPr>
  </w:p>
  <w:p w14:paraId="0EE6719D" w14:textId="77777777" w:rsidR="004D66FB" w:rsidRPr="001F60E1" w:rsidRDefault="004D66FB" w:rsidP="001F60E1">
    <w:pPr>
      <w:jc w:val="right"/>
      <w:rPr>
        <w:color w:val="33006F"/>
      </w:rPr>
    </w:pPr>
    <w:r w:rsidRPr="001F60E1">
      <w:rPr>
        <w:color w:val="33006F"/>
      </w:rPr>
      <w:t>Foster School of Business Case</w:t>
    </w:r>
  </w:p>
  <w:p w14:paraId="7DB10232" w14:textId="2DA1A5A7" w:rsidR="004D66FB" w:rsidRDefault="00BE7102" w:rsidP="001F60E1">
    <w:pPr>
      <w:jc w:val="right"/>
      <w:rPr>
        <w:color w:val="33006F"/>
      </w:rPr>
    </w:pPr>
    <w:r>
      <w:rPr>
        <w:color w:val="33006F"/>
      </w:rPr>
      <w:t>Forecasting using the details</w:t>
    </w:r>
  </w:p>
  <w:p w14:paraId="3024A75E" w14:textId="77777777" w:rsidR="00BE7102" w:rsidRPr="001F60E1" w:rsidRDefault="00BE7102" w:rsidP="001F60E1">
    <w:pPr>
      <w:jc w:val="right"/>
      <w:rPr>
        <w:color w:val="33006F"/>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32"/>
      <w:gridCol w:w="4032"/>
    </w:tblGrid>
    <w:tr w:rsidR="004D66FB" w14:paraId="4FAEDB1D" w14:textId="77777777" w:rsidTr="00623BB3">
      <w:trPr>
        <w:trHeight w:val="1174"/>
      </w:trPr>
      <w:tc>
        <w:tcPr>
          <w:tcW w:w="4032" w:type="dxa"/>
        </w:tcPr>
        <w:p w14:paraId="3CEBF5F6" w14:textId="77777777" w:rsidR="004D66FB" w:rsidRDefault="004D66FB" w:rsidP="00793977">
          <w:pPr>
            <w:pStyle w:val="FBLogo"/>
            <w:spacing w:after="240"/>
            <w:jc w:val="left"/>
          </w:pPr>
          <w:r>
            <w:rPr>
              <w:noProof/>
            </w:rPr>
            <w:drawing>
              <wp:anchor distT="0" distB="0" distL="114300" distR="114300" simplePos="0" relativeHeight="251659264" behindDoc="0" locked="0" layoutInCell="1" allowOverlap="1" wp14:anchorId="4C92E9DA" wp14:editId="3B223041">
                <wp:simplePos x="0" y="0"/>
                <wp:positionH relativeFrom="column">
                  <wp:posOffset>-43285</wp:posOffset>
                </wp:positionH>
                <wp:positionV relativeFrom="paragraph">
                  <wp:posOffset>6511</wp:posOffset>
                </wp:positionV>
                <wp:extent cx="1864317" cy="712382"/>
                <wp:effectExtent l="0" t="0" r="3175" b="0"/>
                <wp:wrapNone/>
                <wp:docPr id="9" name="Picture 9" descr="C:\Users\beauk\Downloads\Foster_logo_ACCT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beauk\Downloads\Foster_logo_ACCT_RGB.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864317" cy="712382"/>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032" w:type="dxa"/>
        </w:tcPr>
        <w:p w14:paraId="4347BB34" w14:textId="77777777" w:rsidR="004D66FB" w:rsidRDefault="004D66FB" w:rsidP="00793977">
          <w:pPr>
            <w:pStyle w:val="FBLogo"/>
            <w:spacing w:after="240"/>
            <w:ind w:firstLine="18"/>
            <w:jc w:val="left"/>
          </w:pPr>
        </w:p>
        <w:p w14:paraId="31E595C1" w14:textId="77777777" w:rsidR="004D66FB" w:rsidRPr="00793977" w:rsidRDefault="004D66FB" w:rsidP="00793977">
          <w:pPr>
            <w:jc w:val="right"/>
          </w:pPr>
        </w:p>
      </w:tc>
    </w:tr>
  </w:tbl>
  <w:p w14:paraId="0218C4C0" w14:textId="77777777" w:rsidR="004D66FB" w:rsidRDefault="004D66FB" w:rsidP="00793977">
    <w:pPr>
      <w:pStyle w:val="FBLogo"/>
      <w:spacing w:after="24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E8D4170"/>
    <w:multiLevelType w:val="hybridMultilevel"/>
    <w:tmpl w:val="3274EA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8A3C47"/>
    <w:multiLevelType w:val="hybridMultilevel"/>
    <w:tmpl w:val="823A7D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C747B1"/>
    <w:multiLevelType w:val="hybridMultilevel"/>
    <w:tmpl w:val="2AF8E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B12E7E"/>
    <w:multiLevelType w:val="hybridMultilevel"/>
    <w:tmpl w:val="9678DE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4826CC"/>
    <w:multiLevelType w:val="hybridMultilevel"/>
    <w:tmpl w:val="3C10C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922635"/>
    <w:multiLevelType w:val="hybridMultilevel"/>
    <w:tmpl w:val="823A7D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6F567D9"/>
    <w:multiLevelType w:val="hybridMultilevel"/>
    <w:tmpl w:val="67745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79B508B"/>
    <w:multiLevelType w:val="hybridMultilevel"/>
    <w:tmpl w:val="DAA8DD7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DA1CDB"/>
    <w:multiLevelType w:val="hybridMultilevel"/>
    <w:tmpl w:val="7BEEC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1"/>
  </w:num>
  <w:num w:numId="4">
    <w:abstractNumId w:val="5"/>
  </w:num>
  <w:num w:numId="5">
    <w:abstractNumId w:val="8"/>
  </w:num>
  <w:num w:numId="6">
    <w:abstractNumId w:val="2"/>
  </w:num>
  <w:num w:numId="7">
    <w:abstractNumId w:val="3"/>
  </w:num>
  <w:num w:numId="8">
    <w:abstractNumId w:val="0"/>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ccounting Review Copy&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wddtwtdltavvheer5vvrda5pftspd2zre9e&quot;&gt;My EndNote Library&lt;record-ids&gt;&lt;item&gt;349&lt;/item&gt;&lt;item&gt;350&lt;/item&gt;&lt;item&gt;351&lt;/item&gt;&lt;item&gt;352&lt;/item&gt;&lt;item&gt;353&lt;/item&gt;&lt;item&gt;363&lt;/item&gt;&lt;/record-ids&gt;&lt;/item&gt;&lt;/Libraries&gt;"/>
  </w:docVars>
  <w:rsids>
    <w:rsidRoot w:val="00875B0E"/>
    <w:rsid w:val="00046408"/>
    <w:rsid w:val="000A34F1"/>
    <w:rsid w:val="000B57C4"/>
    <w:rsid w:val="000C7BC8"/>
    <w:rsid w:val="00102341"/>
    <w:rsid w:val="001251A8"/>
    <w:rsid w:val="00142F8B"/>
    <w:rsid w:val="001740EB"/>
    <w:rsid w:val="00176AA8"/>
    <w:rsid w:val="00177FDE"/>
    <w:rsid w:val="001B6291"/>
    <w:rsid w:val="001C2967"/>
    <w:rsid w:val="001E63CB"/>
    <w:rsid w:val="001F60E1"/>
    <w:rsid w:val="002706F3"/>
    <w:rsid w:val="002773AB"/>
    <w:rsid w:val="002924B7"/>
    <w:rsid w:val="002A30CF"/>
    <w:rsid w:val="002B49E8"/>
    <w:rsid w:val="002D7825"/>
    <w:rsid w:val="002F0819"/>
    <w:rsid w:val="0031436D"/>
    <w:rsid w:val="00333770"/>
    <w:rsid w:val="003349B1"/>
    <w:rsid w:val="00350694"/>
    <w:rsid w:val="00352D83"/>
    <w:rsid w:val="00387E42"/>
    <w:rsid w:val="003931FB"/>
    <w:rsid w:val="003A7F49"/>
    <w:rsid w:val="003B27F0"/>
    <w:rsid w:val="003D11EC"/>
    <w:rsid w:val="003D3C49"/>
    <w:rsid w:val="003E3360"/>
    <w:rsid w:val="00437BBD"/>
    <w:rsid w:val="00490017"/>
    <w:rsid w:val="004A41B3"/>
    <w:rsid w:val="004B0EDE"/>
    <w:rsid w:val="004C2760"/>
    <w:rsid w:val="004C5DF5"/>
    <w:rsid w:val="004D66FB"/>
    <w:rsid w:val="004E0022"/>
    <w:rsid w:val="0051098E"/>
    <w:rsid w:val="00580914"/>
    <w:rsid w:val="00590694"/>
    <w:rsid w:val="00591A3E"/>
    <w:rsid w:val="005951C3"/>
    <w:rsid w:val="005C2AE2"/>
    <w:rsid w:val="005C3ADF"/>
    <w:rsid w:val="005C4FA7"/>
    <w:rsid w:val="005D016B"/>
    <w:rsid w:val="005E2895"/>
    <w:rsid w:val="00603E0A"/>
    <w:rsid w:val="00623BB3"/>
    <w:rsid w:val="00627AC1"/>
    <w:rsid w:val="00646963"/>
    <w:rsid w:val="00665BD7"/>
    <w:rsid w:val="00684559"/>
    <w:rsid w:val="006F33FC"/>
    <w:rsid w:val="00732C96"/>
    <w:rsid w:val="007912F0"/>
    <w:rsid w:val="00793977"/>
    <w:rsid w:val="007A3C10"/>
    <w:rsid w:val="007E32E0"/>
    <w:rsid w:val="007F66D6"/>
    <w:rsid w:val="00875B0E"/>
    <w:rsid w:val="008837FE"/>
    <w:rsid w:val="008900CB"/>
    <w:rsid w:val="00891DA7"/>
    <w:rsid w:val="00894735"/>
    <w:rsid w:val="008A63B4"/>
    <w:rsid w:val="008E5B1D"/>
    <w:rsid w:val="009131A6"/>
    <w:rsid w:val="00920902"/>
    <w:rsid w:val="00924FAA"/>
    <w:rsid w:val="00965A88"/>
    <w:rsid w:val="009735A3"/>
    <w:rsid w:val="00980F91"/>
    <w:rsid w:val="00985D5E"/>
    <w:rsid w:val="009B2FF7"/>
    <w:rsid w:val="009C3C7E"/>
    <w:rsid w:val="009D4C0E"/>
    <w:rsid w:val="009E2740"/>
    <w:rsid w:val="00A005C5"/>
    <w:rsid w:val="00A03D40"/>
    <w:rsid w:val="00A26258"/>
    <w:rsid w:val="00A306B8"/>
    <w:rsid w:val="00A53159"/>
    <w:rsid w:val="00A613C7"/>
    <w:rsid w:val="00A64B96"/>
    <w:rsid w:val="00A70D39"/>
    <w:rsid w:val="00A830BE"/>
    <w:rsid w:val="00AC1A3E"/>
    <w:rsid w:val="00AE1226"/>
    <w:rsid w:val="00AE45C3"/>
    <w:rsid w:val="00AE4AA3"/>
    <w:rsid w:val="00AE73FC"/>
    <w:rsid w:val="00B06204"/>
    <w:rsid w:val="00B42F15"/>
    <w:rsid w:val="00B44620"/>
    <w:rsid w:val="00B53CA2"/>
    <w:rsid w:val="00B6098D"/>
    <w:rsid w:val="00B63AF1"/>
    <w:rsid w:val="00B71FC0"/>
    <w:rsid w:val="00B85757"/>
    <w:rsid w:val="00B9298F"/>
    <w:rsid w:val="00BB0DFD"/>
    <w:rsid w:val="00BC3F9B"/>
    <w:rsid w:val="00BD1946"/>
    <w:rsid w:val="00BE7102"/>
    <w:rsid w:val="00BF2C70"/>
    <w:rsid w:val="00C05386"/>
    <w:rsid w:val="00C05D0E"/>
    <w:rsid w:val="00C33D7C"/>
    <w:rsid w:val="00CA69B0"/>
    <w:rsid w:val="00CB3716"/>
    <w:rsid w:val="00CC0CC9"/>
    <w:rsid w:val="00CE65E9"/>
    <w:rsid w:val="00CF5D18"/>
    <w:rsid w:val="00CF6231"/>
    <w:rsid w:val="00CF7927"/>
    <w:rsid w:val="00D43E33"/>
    <w:rsid w:val="00DA46F7"/>
    <w:rsid w:val="00DA6AF5"/>
    <w:rsid w:val="00DA7CE7"/>
    <w:rsid w:val="00DB3B75"/>
    <w:rsid w:val="00DE244B"/>
    <w:rsid w:val="00DE2462"/>
    <w:rsid w:val="00E05761"/>
    <w:rsid w:val="00E61DE3"/>
    <w:rsid w:val="00E95557"/>
    <w:rsid w:val="00E97DE1"/>
    <w:rsid w:val="00EA3205"/>
    <w:rsid w:val="00EE02F0"/>
    <w:rsid w:val="00EF0787"/>
    <w:rsid w:val="00F0136F"/>
    <w:rsid w:val="00F02D1D"/>
    <w:rsid w:val="00F46D11"/>
    <w:rsid w:val="00F529D0"/>
    <w:rsid w:val="00F641A0"/>
    <w:rsid w:val="00F86440"/>
    <w:rsid w:val="00F864BD"/>
    <w:rsid w:val="00F8742C"/>
    <w:rsid w:val="00FA34D9"/>
    <w:rsid w:val="00FA75DF"/>
    <w:rsid w:val="00FC7D96"/>
    <w:rsid w:val="00FD58ED"/>
    <w:rsid w:val="00FE4D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E812AB"/>
  <w15:docId w15:val="{29E499FE-36D3-4F02-97B8-630982128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205"/>
    <w:pPr>
      <w:spacing w:line="288" w:lineRule="auto"/>
    </w:pPr>
  </w:style>
  <w:style w:type="paragraph" w:styleId="Heading1">
    <w:name w:val="heading 1"/>
    <w:basedOn w:val="Normal"/>
    <w:next w:val="Normal"/>
    <w:link w:val="Heading1Char"/>
    <w:uiPriority w:val="9"/>
    <w:qFormat/>
    <w:rsid w:val="000A34F1"/>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732C96"/>
    <w:pPr>
      <w:keepNext/>
      <w:keepLines/>
      <w:spacing w:before="20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BLogo">
    <w:name w:val="FB Logo"/>
    <w:basedOn w:val="Normal"/>
    <w:next w:val="Normal"/>
    <w:qFormat/>
    <w:rsid w:val="00C05D0E"/>
    <w:pPr>
      <w:spacing w:after="1613"/>
      <w:ind w:right="-720"/>
      <w:contextualSpacing/>
      <w:jc w:val="right"/>
    </w:pPr>
  </w:style>
  <w:style w:type="paragraph" w:styleId="Header">
    <w:name w:val="header"/>
    <w:basedOn w:val="Normal"/>
    <w:link w:val="HeaderChar"/>
    <w:uiPriority w:val="99"/>
    <w:unhideWhenUsed/>
    <w:rsid w:val="00046408"/>
    <w:pPr>
      <w:tabs>
        <w:tab w:val="center" w:pos="4680"/>
        <w:tab w:val="right" w:pos="9360"/>
      </w:tabs>
      <w:spacing w:line="240" w:lineRule="auto"/>
    </w:pPr>
  </w:style>
  <w:style w:type="character" w:customStyle="1" w:styleId="HeaderChar">
    <w:name w:val="Header Char"/>
    <w:basedOn w:val="DefaultParagraphFont"/>
    <w:link w:val="Header"/>
    <w:uiPriority w:val="99"/>
    <w:rsid w:val="00046408"/>
    <w:rPr>
      <w:sz w:val="20"/>
    </w:rPr>
  </w:style>
  <w:style w:type="paragraph" w:styleId="Footer">
    <w:name w:val="footer"/>
    <w:basedOn w:val="Normal"/>
    <w:link w:val="FooterChar"/>
    <w:uiPriority w:val="99"/>
    <w:unhideWhenUsed/>
    <w:rsid w:val="00046408"/>
    <w:pPr>
      <w:tabs>
        <w:tab w:val="center" w:pos="4680"/>
        <w:tab w:val="right" w:pos="9360"/>
      </w:tabs>
      <w:spacing w:line="240" w:lineRule="auto"/>
    </w:pPr>
  </w:style>
  <w:style w:type="character" w:customStyle="1" w:styleId="FooterChar">
    <w:name w:val="Footer Char"/>
    <w:basedOn w:val="DefaultParagraphFont"/>
    <w:link w:val="Footer"/>
    <w:uiPriority w:val="99"/>
    <w:rsid w:val="00046408"/>
    <w:rPr>
      <w:sz w:val="20"/>
    </w:rPr>
  </w:style>
  <w:style w:type="paragraph" w:customStyle="1" w:styleId="FBFooter">
    <w:name w:val="FB Footer"/>
    <w:basedOn w:val="Normal"/>
    <w:qFormat/>
    <w:rsid w:val="009131A6"/>
    <w:pPr>
      <w:spacing w:line="276" w:lineRule="auto"/>
    </w:pPr>
    <w:rPr>
      <w:caps/>
      <w:color w:val="37246A" w:themeColor="text2"/>
      <w:sz w:val="18"/>
    </w:rPr>
  </w:style>
  <w:style w:type="paragraph" w:styleId="BalloonText">
    <w:name w:val="Balloon Text"/>
    <w:basedOn w:val="Normal"/>
    <w:link w:val="BalloonTextChar"/>
    <w:uiPriority w:val="99"/>
    <w:semiHidden/>
    <w:unhideWhenUsed/>
    <w:rsid w:val="00FD58E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58ED"/>
    <w:rPr>
      <w:rFonts w:ascii="Tahoma" w:hAnsi="Tahoma" w:cs="Tahoma"/>
      <w:sz w:val="16"/>
      <w:szCs w:val="16"/>
    </w:rPr>
  </w:style>
  <w:style w:type="character" w:styleId="Hyperlink">
    <w:name w:val="Hyperlink"/>
    <w:basedOn w:val="DefaultParagraphFont"/>
    <w:uiPriority w:val="99"/>
    <w:unhideWhenUsed/>
    <w:rsid w:val="00FD58ED"/>
    <w:rPr>
      <w:color w:val="0563C1" w:themeColor="hyperlink"/>
      <w:u w:val="single"/>
    </w:rPr>
  </w:style>
  <w:style w:type="table" w:styleId="TableGrid">
    <w:name w:val="Table Grid"/>
    <w:basedOn w:val="TableNormal"/>
    <w:uiPriority w:val="59"/>
    <w:rsid w:val="007939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basedOn w:val="DefaultParagraphFont"/>
    <w:uiPriority w:val="99"/>
    <w:semiHidden/>
    <w:unhideWhenUsed/>
    <w:rsid w:val="00F864BD"/>
    <w:rPr>
      <w:vertAlign w:val="superscript"/>
    </w:rPr>
  </w:style>
  <w:style w:type="paragraph" w:styleId="FootnoteText">
    <w:name w:val="footnote text"/>
    <w:basedOn w:val="Normal"/>
    <w:link w:val="FootnoteTextChar"/>
    <w:uiPriority w:val="99"/>
    <w:unhideWhenUsed/>
    <w:rsid w:val="00F864BD"/>
    <w:pPr>
      <w:spacing w:line="240" w:lineRule="auto"/>
    </w:pPr>
    <w:rPr>
      <w:sz w:val="20"/>
      <w:szCs w:val="20"/>
    </w:rPr>
  </w:style>
  <w:style w:type="character" w:customStyle="1" w:styleId="FootnoteTextChar">
    <w:name w:val="Footnote Text Char"/>
    <w:basedOn w:val="DefaultParagraphFont"/>
    <w:link w:val="FootnoteText"/>
    <w:uiPriority w:val="99"/>
    <w:rsid w:val="00F864BD"/>
    <w:rPr>
      <w:sz w:val="20"/>
      <w:szCs w:val="20"/>
    </w:rPr>
  </w:style>
  <w:style w:type="paragraph" w:styleId="ListParagraph">
    <w:name w:val="List Paragraph"/>
    <w:basedOn w:val="Normal"/>
    <w:uiPriority w:val="34"/>
    <w:qFormat/>
    <w:rsid w:val="002706F3"/>
    <w:pPr>
      <w:ind w:left="720"/>
      <w:contextualSpacing/>
    </w:pPr>
  </w:style>
  <w:style w:type="character" w:customStyle="1" w:styleId="Heading1Char">
    <w:name w:val="Heading 1 Char"/>
    <w:basedOn w:val="DefaultParagraphFont"/>
    <w:link w:val="Heading1"/>
    <w:uiPriority w:val="9"/>
    <w:rsid w:val="000A34F1"/>
    <w:rPr>
      <w:rFonts w:asciiTheme="majorHAnsi" w:eastAsiaTheme="majorEastAsia" w:hAnsiTheme="majorHAnsi" w:cstheme="majorBidi"/>
      <w:b/>
      <w:bCs/>
      <w:color w:val="2E74B5" w:themeColor="accent1" w:themeShade="BF"/>
      <w:sz w:val="28"/>
      <w:szCs w:val="28"/>
    </w:rPr>
  </w:style>
  <w:style w:type="paragraph" w:styleId="TOCHeading">
    <w:name w:val="TOC Heading"/>
    <w:basedOn w:val="Heading1"/>
    <w:next w:val="Normal"/>
    <w:uiPriority w:val="39"/>
    <w:semiHidden/>
    <w:unhideWhenUsed/>
    <w:qFormat/>
    <w:rsid w:val="000A34F1"/>
    <w:pPr>
      <w:spacing w:line="276" w:lineRule="auto"/>
      <w:outlineLvl w:val="9"/>
    </w:pPr>
    <w:rPr>
      <w:lang w:eastAsia="ja-JP"/>
    </w:rPr>
  </w:style>
  <w:style w:type="paragraph" w:styleId="TOC2">
    <w:name w:val="toc 2"/>
    <w:basedOn w:val="Normal"/>
    <w:next w:val="Normal"/>
    <w:autoRedefine/>
    <w:uiPriority w:val="39"/>
    <w:unhideWhenUsed/>
    <w:qFormat/>
    <w:rsid w:val="000A34F1"/>
    <w:pPr>
      <w:spacing w:after="100" w:line="276" w:lineRule="auto"/>
      <w:ind w:left="220"/>
    </w:pPr>
    <w:rPr>
      <w:rFonts w:eastAsiaTheme="minorEastAsia"/>
      <w:lang w:eastAsia="ja-JP"/>
    </w:rPr>
  </w:style>
  <w:style w:type="paragraph" w:styleId="TOC1">
    <w:name w:val="toc 1"/>
    <w:basedOn w:val="Normal"/>
    <w:next w:val="Normal"/>
    <w:autoRedefine/>
    <w:uiPriority w:val="39"/>
    <w:unhideWhenUsed/>
    <w:qFormat/>
    <w:rsid w:val="000A34F1"/>
    <w:pPr>
      <w:spacing w:after="100" w:line="276" w:lineRule="auto"/>
    </w:pPr>
    <w:rPr>
      <w:rFonts w:eastAsiaTheme="minorEastAsia"/>
      <w:lang w:eastAsia="ja-JP"/>
    </w:rPr>
  </w:style>
  <w:style w:type="paragraph" w:styleId="TOC3">
    <w:name w:val="toc 3"/>
    <w:basedOn w:val="Normal"/>
    <w:next w:val="Normal"/>
    <w:autoRedefine/>
    <w:uiPriority w:val="39"/>
    <w:semiHidden/>
    <w:unhideWhenUsed/>
    <w:qFormat/>
    <w:rsid w:val="000A34F1"/>
    <w:pPr>
      <w:spacing w:after="100" w:line="276" w:lineRule="auto"/>
      <w:ind w:left="440"/>
    </w:pPr>
    <w:rPr>
      <w:rFonts w:eastAsiaTheme="minorEastAsia"/>
      <w:lang w:eastAsia="ja-JP"/>
    </w:rPr>
  </w:style>
  <w:style w:type="paragraph" w:customStyle="1" w:styleId="EndNoteBibliographyTitle">
    <w:name w:val="EndNote Bibliography Title"/>
    <w:basedOn w:val="Normal"/>
    <w:link w:val="EndNoteBibliographyTitleChar"/>
    <w:rsid w:val="00AC1A3E"/>
    <w:pPr>
      <w:jc w:val="center"/>
    </w:pPr>
    <w:rPr>
      <w:rFonts w:ascii="Calibri" w:hAnsi="Calibri"/>
      <w:noProof/>
    </w:rPr>
  </w:style>
  <w:style w:type="character" w:customStyle="1" w:styleId="EndNoteBibliographyTitleChar">
    <w:name w:val="EndNote Bibliography Title Char"/>
    <w:basedOn w:val="DefaultParagraphFont"/>
    <w:link w:val="EndNoteBibliographyTitle"/>
    <w:rsid w:val="00AC1A3E"/>
    <w:rPr>
      <w:rFonts w:ascii="Calibri" w:hAnsi="Calibri"/>
      <w:noProof/>
    </w:rPr>
  </w:style>
  <w:style w:type="paragraph" w:customStyle="1" w:styleId="EndNoteBibliography">
    <w:name w:val="EndNote Bibliography"/>
    <w:basedOn w:val="Normal"/>
    <w:link w:val="EndNoteBibliographyChar"/>
    <w:rsid w:val="00AC1A3E"/>
    <w:pPr>
      <w:spacing w:line="240" w:lineRule="auto"/>
      <w:jc w:val="both"/>
    </w:pPr>
    <w:rPr>
      <w:rFonts w:ascii="Calibri" w:hAnsi="Calibri"/>
      <w:noProof/>
    </w:rPr>
  </w:style>
  <w:style w:type="character" w:customStyle="1" w:styleId="EndNoteBibliographyChar">
    <w:name w:val="EndNote Bibliography Char"/>
    <w:basedOn w:val="DefaultParagraphFont"/>
    <w:link w:val="EndNoteBibliography"/>
    <w:rsid w:val="00AC1A3E"/>
    <w:rPr>
      <w:rFonts w:ascii="Calibri" w:hAnsi="Calibri"/>
      <w:noProof/>
    </w:rPr>
  </w:style>
  <w:style w:type="character" w:customStyle="1" w:styleId="Heading2Char">
    <w:name w:val="Heading 2 Char"/>
    <w:basedOn w:val="DefaultParagraphFont"/>
    <w:link w:val="Heading2"/>
    <w:uiPriority w:val="9"/>
    <w:rsid w:val="00732C96"/>
    <w:rPr>
      <w:rFonts w:asciiTheme="majorHAnsi" w:eastAsiaTheme="majorEastAsia" w:hAnsiTheme="majorHAnsi" w:cstheme="majorBidi"/>
      <w:b/>
      <w:bCs/>
      <w:color w:val="5B9BD5" w:themeColor="accent1"/>
      <w:sz w:val="26"/>
      <w:szCs w:val="26"/>
    </w:rPr>
  </w:style>
  <w:style w:type="table" w:customStyle="1" w:styleId="TableGrid1">
    <w:name w:val="Table Grid1"/>
    <w:basedOn w:val="TableNormal"/>
    <w:next w:val="TableGrid"/>
    <w:uiPriority w:val="59"/>
    <w:rsid w:val="005951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E63CB"/>
    <w:rPr>
      <w:color w:val="808080"/>
    </w:rPr>
  </w:style>
  <w:style w:type="character" w:styleId="CommentReference">
    <w:name w:val="annotation reference"/>
    <w:basedOn w:val="DefaultParagraphFont"/>
    <w:uiPriority w:val="99"/>
    <w:semiHidden/>
    <w:unhideWhenUsed/>
    <w:rsid w:val="00CC0CC9"/>
    <w:rPr>
      <w:sz w:val="16"/>
      <w:szCs w:val="16"/>
    </w:rPr>
  </w:style>
  <w:style w:type="paragraph" w:styleId="CommentText">
    <w:name w:val="annotation text"/>
    <w:basedOn w:val="Normal"/>
    <w:link w:val="CommentTextChar"/>
    <w:uiPriority w:val="99"/>
    <w:semiHidden/>
    <w:unhideWhenUsed/>
    <w:rsid w:val="00CC0CC9"/>
    <w:pPr>
      <w:spacing w:line="240" w:lineRule="auto"/>
    </w:pPr>
    <w:rPr>
      <w:sz w:val="20"/>
      <w:szCs w:val="20"/>
    </w:rPr>
  </w:style>
  <w:style w:type="character" w:customStyle="1" w:styleId="CommentTextChar">
    <w:name w:val="Comment Text Char"/>
    <w:basedOn w:val="DefaultParagraphFont"/>
    <w:link w:val="CommentText"/>
    <w:uiPriority w:val="99"/>
    <w:semiHidden/>
    <w:rsid w:val="00CC0CC9"/>
    <w:rPr>
      <w:sz w:val="20"/>
      <w:szCs w:val="20"/>
    </w:rPr>
  </w:style>
  <w:style w:type="paragraph" w:styleId="CommentSubject">
    <w:name w:val="annotation subject"/>
    <w:basedOn w:val="CommentText"/>
    <w:next w:val="CommentText"/>
    <w:link w:val="CommentSubjectChar"/>
    <w:uiPriority w:val="99"/>
    <w:semiHidden/>
    <w:unhideWhenUsed/>
    <w:rsid w:val="00CC0CC9"/>
    <w:rPr>
      <w:b/>
      <w:bCs/>
    </w:rPr>
  </w:style>
  <w:style w:type="character" w:customStyle="1" w:styleId="CommentSubjectChar">
    <w:name w:val="Comment Subject Char"/>
    <w:basedOn w:val="CommentTextChar"/>
    <w:link w:val="CommentSubject"/>
    <w:uiPriority w:val="99"/>
    <w:semiHidden/>
    <w:rsid w:val="00CC0CC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31394310">
      <w:bodyDiv w:val="1"/>
      <w:marLeft w:val="0"/>
      <w:marRight w:val="0"/>
      <w:marTop w:val="0"/>
      <w:marBottom w:val="0"/>
      <w:divBdr>
        <w:top w:val="none" w:sz="0" w:space="0" w:color="auto"/>
        <w:left w:val="none" w:sz="0" w:space="0" w:color="auto"/>
        <w:bottom w:val="none" w:sz="0" w:space="0" w:color="auto"/>
        <w:right w:val="none" w:sz="0" w:space="0" w:color="auto"/>
      </w:divBdr>
    </w:div>
    <w:div w:id="2026900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yperlink" Target="https://www.emarketer.com/Article/Netflix-Reports-Churn-Subscribers-Leave-over-Price-Increase/1014254"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ir.netflix.com/social-media-disclosure.cfm"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www.wsj.com/articles/SB10001424052970203499704576622674082410578"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https://ir.netflix.com/" TargetMode="External"/><Relationship Id="rId23"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http://www.marketwatch.com/story/netflix-takes-china-off-its-to-do-list-for-now-2016-10-17"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gif"/><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Foster Template">
      <a:dk1>
        <a:sysClr val="windowText" lastClr="000000"/>
      </a:dk1>
      <a:lt1>
        <a:sysClr val="window" lastClr="FFFFFF"/>
      </a:lt1>
      <a:dk2>
        <a:srgbClr val="372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EDBA140367F5E45A6479147AB01EE5C" ma:contentTypeVersion="2" ma:contentTypeDescription="Create a new document." ma:contentTypeScope="" ma:versionID="5fee9bbb1944408c4bc6a65b3c17b3ee">
  <xsd:schema xmlns:xsd="http://www.w3.org/2001/XMLSchema" xmlns:xs="http://www.w3.org/2001/XMLSchema" xmlns:p="http://schemas.microsoft.com/office/2006/metadata/properties" xmlns:ns2="0b14d42a-2987-47a9-a571-31f318bb7601" targetNamespace="http://schemas.microsoft.com/office/2006/metadata/properties" ma:root="true" ma:fieldsID="3d56cc5f60d242bd1e26cfb6de6d354a" ns2:_="">
    <xsd:import namespace="0b14d42a-2987-47a9-a571-31f318bb7601"/>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14d42a-2987-47a9-a571-31f318bb7601"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CBA1F06-1D03-452F-9C97-34D714CBA03F}">
  <ds:schemaRefs>
    <ds:schemaRef ds:uri="http://schemas.openxmlformats.org/officeDocument/2006/bibliography"/>
  </ds:schemaRefs>
</ds:datastoreItem>
</file>

<file path=customXml/itemProps2.xml><?xml version="1.0" encoding="utf-8"?>
<ds:datastoreItem xmlns:ds="http://schemas.openxmlformats.org/officeDocument/2006/customXml" ds:itemID="{0725A9CC-0A42-4A64-8B60-9B9BAE8566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14d42a-2987-47a9-a571-31f318bb76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C33161-EB0D-480E-9A0C-B302F23F172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76A60EB-101A-4E56-BEB9-566D86A63B9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10</Pages>
  <Words>3322</Words>
  <Characters>18940</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Carrie and Simon Campbell and Pritikin</dc:creator>
  <cp:keywords/>
  <dc:description/>
  <cp:lastModifiedBy>Asher Curtis</cp:lastModifiedBy>
  <cp:revision>5</cp:revision>
  <cp:lastPrinted>2020-09-26T20:05:00Z</cp:lastPrinted>
  <dcterms:created xsi:type="dcterms:W3CDTF">2020-09-18T03:20:00Z</dcterms:created>
  <dcterms:modified xsi:type="dcterms:W3CDTF">2020-09-26T20:06:00Z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0x010100CEDBA140367F5E45A6479147AB01EE5C</vt:lpwstr>
  </property>
</Properties>
</file>