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CDABC0" w14:textId="1CE4D42D" w:rsidR="00793977" w:rsidRPr="00A776BC" w:rsidRDefault="00DF7D48" w:rsidP="000A34F1">
      <w:pPr>
        <w:spacing w:before="240" w:after="240" w:line="240" w:lineRule="auto"/>
        <w:jc w:val="center"/>
        <w:rPr>
          <w:rFonts w:ascii="Open Sans" w:hAnsi="Open Sans" w:cs="Open Sans"/>
          <w:b/>
          <w:color w:val="33006F"/>
          <w:sz w:val="38"/>
          <w:szCs w:val="30"/>
        </w:rPr>
      </w:pPr>
      <w:r>
        <w:rPr>
          <w:rFonts w:ascii="Open Sans" w:hAnsi="Open Sans" w:cs="Open Sans"/>
          <w:b/>
          <w:color w:val="33006F"/>
          <w:sz w:val="38"/>
          <w:szCs w:val="30"/>
        </w:rPr>
        <w:t xml:space="preserve">Predictive analytics, ethics, and </w:t>
      </w:r>
      <w:r w:rsidR="00127C2D" w:rsidRPr="00A776BC">
        <w:rPr>
          <w:rFonts w:ascii="Open Sans" w:hAnsi="Open Sans" w:cs="Open Sans"/>
          <w:b/>
          <w:color w:val="33006F"/>
          <w:sz w:val="38"/>
          <w:szCs w:val="30"/>
        </w:rPr>
        <w:t xml:space="preserve">selecting </w:t>
      </w:r>
      <w:proofErr w:type="gramStart"/>
      <w:r w:rsidR="00127C2D" w:rsidRPr="00A776BC">
        <w:rPr>
          <w:rFonts w:ascii="Open Sans" w:hAnsi="Open Sans" w:cs="Open Sans"/>
          <w:b/>
          <w:color w:val="33006F"/>
          <w:sz w:val="38"/>
          <w:szCs w:val="30"/>
        </w:rPr>
        <w:t>lay-offs</w:t>
      </w:r>
      <w:proofErr w:type="gramEnd"/>
    </w:p>
    <w:p w14:paraId="7B42D510" w14:textId="77777777" w:rsidR="00AC1A3E" w:rsidRPr="00A776BC" w:rsidRDefault="00AC1A3E" w:rsidP="000A34F1">
      <w:pPr>
        <w:spacing w:before="240" w:after="240" w:line="240" w:lineRule="auto"/>
        <w:jc w:val="center"/>
        <w:rPr>
          <w:rFonts w:ascii="Open Sans" w:hAnsi="Open Sans" w:cs="Open Sans"/>
          <w:b/>
          <w:color w:val="33006F"/>
          <w:sz w:val="38"/>
          <w:szCs w:val="30"/>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938"/>
      </w:tblGrid>
      <w:tr w:rsidR="00A31D30" w:rsidRPr="004F725E" w14:paraId="32C4FBA9" w14:textId="77777777" w:rsidTr="00614C8C">
        <w:tc>
          <w:tcPr>
            <w:tcW w:w="2250" w:type="dxa"/>
          </w:tcPr>
          <w:p w14:paraId="35DB0A28" w14:textId="77777777" w:rsidR="00A31D30" w:rsidRPr="004F725E" w:rsidRDefault="00A31D30" w:rsidP="00614C8C">
            <w:pPr>
              <w:spacing w:before="240" w:after="240"/>
              <w:rPr>
                <w:rFonts w:ascii="Open Sans" w:eastAsia="Calibri" w:hAnsi="Open Sans" w:cs="Open Sans"/>
                <w:b/>
                <w:color w:val="33006F"/>
                <w:sz w:val="24"/>
                <w:szCs w:val="24"/>
              </w:rPr>
            </w:pPr>
            <w:bookmarkStart w:id="0" w:name="_Hlk51266483"/>
            <w:r>
              <w:rPr>
                <w:rFonts w:ascii="Open Sans" w:eastAsia="Calibri" w:hAnsi="Open Sans" w:cs="Open Sans"/>
                <w:b/>
                <w:color w:val="33006F"/>
                <w:sz w:val="24"/>
                <w:szCs w:val="24"/>
              </w:rPr>
              <w:t>Analytic Mindset Keywords:</w:t>
            </w:r>
          </w:p>
        </w:tc>
        <w:tc>
          <w:tcPr>
            <w:tcW w:w="7938" w:type="dxa"/>
          </w:tcPr>
          <w:p w14:paraId="2F217CFE" w14:textId="2E6A211E" w:rsidR="00A31D30" w:rsidRPr="004F725E" w:rsidRDefault="00A31D30" w:rsidP="00614C8C">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Ethics, big data collection, surveillance, artificial intelligence</w:t>
            </w:r>
            <w:r w:rsidRPr="004F725E">
              <w:rPr>
                <w:rFonts w:ascii="Open Sans" w:eastAsia="Calibri" w:hAnsi="Open Sans" w:cs="Open Sans"/>
                <w:b/>
                <w:color w:val="000000"/>
                <w:sz w:val="24"/>
                <w:szCs w:val="24"/>
              </w:rPr>
              <w:t>.</w:t>
            </w:r>
          </w:p>
        </w:tc>
      </w:tr>
      <w:tr w:rsidR="00A31D30" w:rsidRPr="004F725E" w14:paraId="5E42E12B" w14:textId="77777777" w:rsidTr="00614C8C">
        <w:tc>
          <w:tcPr>
            <w:tcW w:w="2250" w:type="dxa"/>
          </w:tcPr>
          <w:p w14:paraId="49F73EA3" w14:textId="77777777" w:rsidR="00A31D30" w:rsidRPr="004F725E" w:rsidRDefault="00A31D30" w:rsidP="00614C8C">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Skillsets Keywords</w:t>
            </w:r>
            <w:r w:rsidRPr="004F725E">
              <w:rPr>
                <w:rFonts w:ascii="Open Sans" w:eastAsia="Calibri" w:hAnsi="Open Sans" w:cs="Open Sans"/>
                <w:b/>
                <w:color w:val="33006F"/>
                <w:sz w:val="24"/>
                <w:szCs w:val="24"/>
              </w:rPr>
              <w:t>:</w:t>
            </w:r>
          </w:p>
        </w:tc>
        <w:tc>
          <w:tcPr>
            <w:tcW w:w="7938" w:type="dxa"/>
          </w:tcPr>
          <w:p w14:paraId="2D2ACE8E" w14:textId="029820EC" w:rsidR="00A31D30" w:rsidRPr="004F725E" w:rsidRDefault="00A31D30" w:rsidP="00614C8C">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Projections, joining datasets, comparing sample outcomes</w:t>
            </w:r>
            <w:r w:rsidRPr="004F725E">
              <w:rPr>
                <w:rFonts w:ascii="Open Sans" w:eastAsia="Calibri" w:hAnsi="Open Sans" w:cs="Open Sans"/>
                <w:b/>
                <w:color w:val="000000"/>
                <w:sz w:val="24"/>
                <w:szCs w:val="24"/>
              </w:rPr>
              <w:t>.</w:t>
            </w:r>
          </w:p>
        </w:tc>
      </w:tr>
    </w:tbl>
    <w:bookmarkEnd w:id="0" w:displacedByCustomXml="next"/>
    <w:sdt>
      <w:sdtPr>
        <w:rPr>
          <w:rFonts w:ascii="Open Sans" w:eastAsiaTheme="minorEastAsia" w:hAnsi="Open Sans" w:cs="Open Sans"/>
          <w:b w:val="0"/>
          <w:bCs w:val="0"/>
          <w:color w:val="33006F"/>
          <w:sz w:val="20"/>
          <w:szCs w:val="20"/>
        </w:rPr>
        <w:id w:val="-360892776"/>
        <w:docPartObj>
          <w:docPartGallery w:val="Table of Contents"/>
          <w:docPartUnique/>
        </w:docPartObj>
      </w:sdtPr>
      <w:sdtEndPr>
        <w:rPr>
          <w:noProof/>
        </w:rPr>
      </w:sdtEndPr>
      <w:sdtContent>
        <w:p w14:paraId="7F2BFD6C" w14:textId="77777777" w:rsidR="000A34F1" w:rsidRPr="00A776BC" w:rsidRDefault="000A34F1">
          <w:pPr>
            <w:pStyle w:val="TOCHeading"/>
            <w:rPr>
              <w:rFonts w:ascii="Open Sans" w:hAnsi="Open Sans" w:cs="Open Sans"/>
              <w:color w:val="33006F"/>
              <w:sz w:val="26"/>
              <w:szCs w:val="26"/>
            </w:rPr>
          </w:pPr>
          <w:r w:rsidRPr="00A776BC">
            <w:rPr>
              <w:rFonts w:ascii="Open Sans" w:hAnsi="Open Sans" w:cs="Open Sans"/>
              <w:color w:val="33006F"/>
              <w:sz w:val="26"/>
              <w:szCs w:val="26"/>
            </w:rPr>
            <w:t>Contents</w:t>
          </w:r>
        </w:p>
        <w:p w14:paraId="0EBBCC18" w14:textId="71BEB1AA" w:rsidR="006A5AE8" w:rsidRDefault="000A34F1">
          <w:pPr>
            <w:pStyle w:val="TOC1"/>
            <w:tabs>
              <w:tab w:val="right" w:leader="dot" w:pos="9638"/>
            </w:tabs>
            <w:rPr>
              <w:noProof/>
              <w:lang w:eastAsia="en-US"/>
            </w:rPr>
          </w:pPr>
          <w:r w:rsidRPr="00A776BC">
            <w:rPr>
              <w:rFonts w:ascii="Open Sans" w:hAnsi="Open Sans" w:cs="Open Sans"/>
              <w:color w:val="33006F"/>
              <w:sz w:val="20"/>
              <w:szCs w:val="20"/>
            </w:rPr>
            <w:fldChar w:fldCharType="begin"/>
          </w:r>
          <w:r w:rsidRPr="00A776BC">
            <w:rPr>
              <w:rFonts w:ascii="Open Sans" w:hAnsi="Open Sans" w:cs="Open Sans"/>
              <w:color w:val="33006F"/>
              <w:sz w:val="20"/>
              <w:szCs w:val="20"/>
            </w:rPr>
            <w:instrText xml:space="preserve"> TOC \o "1-3" \h \z \u </w:instrText>
          </w:r>
          <w:r w:rsidRPr="00A776BC">
            <w:rPr>
              <w:rFonts w:ascii="Open Sans" w:hAnsi="Open Sans" w:cs="Open Sans"/>
              <w:color w:val="33006F"/>
              <w:sz w:val="20"/>
              <w:szCs w:val="20"/>
            </w:rPr>
            <w:fldChar w:fldCharType="separate"/>
          </w:r>
          <w:hyperlink w:anchor="_Toc52021859" w:history="1">
            <w:r w:rsidR="006A5AE8" w:rsidRPr="00A33171">
              <w:rPr>
                <w:rStyle w:val="Hyperlink"/>
                <w:rFonts w:ascii="Open Sans" w:hAnsi="Open Sans" w:cs="Open Sans"/>
                <w:smallCaps/>
                <w:noProof/>
              </w:rPr>
              <w:t>Case Brief</w:t>
            </w:r>
            <w:r w:rsidR="006A5AE8">
              <w:rPr>
                <w:noProof/>
                <w:webHidden/>
              </w:rPr>
              <w:tab/>
            </w:r>
            <w:r w:rsidR="006A5AE8">
              <w:rPr>
                <w:noProof/>
                <w:webHidden/>
              </w:rPr>
              <w:fldChar w:fldCharType="begin"/>
            </w:r>
            <w:r w:rsidR="006A5AE8">
              <w:rPr>
                <w:noProof/>
                <w:webHidden/>
              </w:rPr>
              <w:instrText xml:space="preserve"> PAGEREF _Toc52021859 \h </w:instrText>
            </w:r>
            <w:r w:rsidR="006A5AE8">
              <w:rPr>
                <w:noProof/>
                <w:webHidden/>
              </w:rPr>
            </w:r>
            <w:r w:rsidR="006A5AE8">
              <w:rPr>
                <w:noProof/>
                <w:webHidden/>
              </w:rPr>
              <w:fldChar w:fldCharType="separate"/>
            </w:r>
            <w:r w:rsidR="006A5AE8">
              <w:rPr>
                <w:noProof/>
                <w:webHidden/>
              </w:rPr>
              <w:t>1</w:t>
            </w:r>
            <w:r w:rsidR="006A5AE8">
              <w:rPr>
                <w:noProof/>
                <w:webHidden/>
              </w:rPr>
              <w:fldChar w:fldCharType="end"/>
            </w:r>
          </w:hyperlink>
        </w:p>
        <w:p w14:paraId="55915E61" w14:textId="3D63A685" w:rsidR="006A5AE8" w:rsidRDefault="006A5AE8">
          <w:pPr>
            <w:pStyle w:val="TOC1"/>
            <w:tabs>
              <w:tab w:val="right" w:leader="dot" w:pos="9638"/>
            </w:tabs>
            <w:rPr>
              <w:noProof/>
              <w:lang w:eastAsia="en-US"/>
            </w:rPr>
          </w:pPr>
          <w:hyperlink w:anchor="_Toc52021860" w:history="1">
            <w:r w:rsidRPr="00A33171">
              <w:rPr>
                <w:rStyle w:val="Hyperlink"/>
                <w:rFonts w:ascii="Open Sans" w:hAnsi="Open Sans" w:cs="Open Sans"/>
                <w:smallCaps/>
                <w:noProof/>
              </w:rPr>
              <w:t>Background</w:t>
            </w:r>
            <w:r>
              <w:rPr>
                <w:noProof/>
                <w:webHidden/>
              </w:rPr>
              <w:tab/>
            </w:r>
            <w:r>
              <w:rPr>
                <w:noProof/>
                <w:webHidden/>
              </w:rPr>
              <w:fldChar w:fldCharType="begin"/>
            </w:r>
            <w:r>
              <w:rPr>
                <w:noProof/>
                <w:webHidden/>
              </w:rPr>
              <w:instrText xml:space="preserve"> PAGEREF _Toc52021860 \h </w:instrText>
            </w:r>
            <w:r>
              <w:rPr>
                <w:noProof/>
                <w:webHidden/>
              </w:rPr>
            </w:r>
            <w:r>
              <w:rPr>
                <w:noProof/>
                <w:webHidden/>
              </w:rPr>
              <w:fldChar w:fldCharType="separate"/>
            </w:r>
            <w:r>
              <w:rPr>
                <w:noProof/>
                <w:webHidden/>
              </w:rPr>
              <w:t>2</w:t>
            </w:r>
            <w:r>
              <w:rPr>
                <w:noProof/>
                <w:webHidden/>
              </w:rPr>
              <w:fldChar w:fldCharType="end"/>
            </w:r>
          </w:hyperlink>
        </w:p>
        <w:p w14:paraId="44DE88C7" w14:textId="0AF59D8C" w:rsidR="006A5AE8" w:rsidRDefault="006A5AE8">
          <w:pPr>
            <w:pStyle w:val="TOC2"/>
            <w:tabs>
              <w:tab w:val="right" w:leader="dot" w:pos="9638"/>
            </w:tabs>
            <w:rPr>
              <w:noProof/>
              <w:lang w:eastAsia="en-US"/>
            </w:rPr>
          </w:pPr>
          <w:hyperlink w:anchor="_Toc52021861" w:history="1">
            <w:r w:rsidRPr="00A33171">
              <w:rPr>
                <w:rStyle w:val="Hyperlink"/>
                <w:rFonts w:ascii="Open Sans" w:hAnsi="Open Sans" w:cs="Open Sans"/>
                <w:i/>
                <w:noProof/>
              </w:rPr>
              <w:t>Accounting for restructuring</w:t>
            </w:r>
            <w:r>
              <w:rPr>
                <w:noProof/>
                <w:webHidden/>
              </w:rPr>
              <w:tab/>
            </w:r>
            <w:r>
              <w:rPr>
                <w:noProof/>
                <w:webHidden/>
              </w:rPr>
              <w:fldChar w:fldCharType="begin"/>
            </w:r>
            <w:r>
              <w:rPr>
                <w:noProof/>
                <w:webHidden/>
              </w:rPr>
              <w:instrText xml:space="preserve"> PAGEREF _Toc52021861 \h </w:instrText>
            </w:r>
            <w:r>
              <w:rPr>
                <w:noProof/>
                <w:webHidden/>
              </w:rPr>
            </w:r>
            <w:r>
              <w:rPr>
                <w:noProof/>
                <w:webHidden/>
              </w:rPr>
              <w:fldChar w:fldCharType="separate"/>
            </w:r>
            <w:r>
              <w:rPr>
                <w:noProof/>
                <w:webHidden/>
              </w:rPr>
              <w:t>2</w:t>
            </w:r>
            <w:r>
              <w:rPr>
                <w:noProof/>
                <w:webHidden/>
              </w:rPr>
              <w:fldChar w:fldCharType="end"/>
            </w:r>
          </w:hyperlink>
        </w:p>
        <w:p w14:paraId="28321675" w14:textId="71A32879" w:rsidR="006A5AE8" w:rsidRDefault="006A5AE8">
          <w:pPr>
            <w:pStyle w:val="TOC2"/>
            <w:tabs>
              <w:tab w:val="right" w:leader="dot" w:pos="9638"/>
            </w:tabs>
            <w:rPr>
              <w:noProof/>
              <w:lang w:eastAsia="en-US"/>
            </w:rPr>
          </w:pPr>
          <w:hyperlink w:anchor="_Toc52021862" w:history="1">
            <w:r w:rsidRPr="00A33171">
              <w:rPr>
                <w:rStyle w:val="Hyperlink"/>
                <w:rFonts w:ascii="Open Sans" w:hAnsi="Open Sans" w:cs="Open Sans"/>
                <w:i/>
                <w:noProof/>
              </w:rPr>
              <w:t>Accounting for termination benefits</w:t>
            </w:r>
            <w:r>
              <w:rPr>
                <w:noProof/>
                <w:webHidden/>
              </w:rPr>
              <w:tab/>
            </w:r>
            <w:r>
              <w:rPr>
                <w:noProof/>
                <w:webHidden/>
              </w:rPr>
              <w:fldChar w:fldCharType="begin"/>
            </w:r>
            <w:r>
              <w:rPr>
                <w:noProof/>
                <w:webHidden/>
              </w:rPr>
              <w:instrText xml:space="preserve"> PAGEREF _Toc52021862 \h </w:instrText>
            </w:r>
            <w:r>
              <w:rPr>
                <w:noProof/>
                <w:webHidden/>
              </w:rPr>
            </w:r>
            <w:r>
              <w:rPr>
                <w:noProof/>
                <w:webHidden/>
              </w:rPr>
              <w:fldChar w:fldCharType="separate"/>
            </w:r>
            <w:r>
              <w:rPr>
                <w:noProof/>
                <w:webHidden/>
              </w:rPr>
              <w:t>2</w:t>
            </w:r>
            <w:r>
              <w:rPr>
                <w:noProof/>
                <w:webHidden/>
              </w:rPr>
              <w:fldChar w:fldCharType="end"/>
            </w:r>
          </w:hyperlink>
        </w:p>
        <w:p w14:paraId="24944A04" w14:textId="48740C4E" w:rsidR="006A5AE8" w:rsidRDefault="006A5AE8">
          <w:pPr>
            <w:pStyle w:val="TOC1"/>
            <w:tabs>
              <w:tab w:val="right" w:leader="dot" w:pos="9638"/>
            </w:tabs>
            <w:rPr>
              <w:noProof/>
              <w:lang w:eastAsia="en-US"/>
            </w:rPr>
          </w:pPr>
          <w:hyperlink w:anchor="_Toc52021863" w:history="1">
            <w:r w:rsidRPr="00A33171">
              <w:rPr>
                <w:rStyle w:val="Hyperlink"/>
                <w:rFonts w:ascii="Open Sans" w:hAnsi="Open Sans" w:cs="Open Sans"/>
                <w:smallCaps/>
                <w:noProof/>
              </w:rPr>
              <w:t>Business Analytics</w:t>
            </w:r>
            <w:r>
              <w:rPr>
                <w:noProof/>
                <w:webHidden/>
              </w:rPr>
              <w:tab/>
            </w:r>
            <w:r>
              <w:rPr>
                <w:noProof/>
                <w:webHidden/>
              </w:rPr>
              <w:fldChar w:fldCharType="begin"/>
            </w:r>
            <w:r>
              <w:rPr>
                <w:noProof/>
                <w:webHidden/>
              </w:rPr>
              <w:instrText xml:space="preserve"> PAGEREF _Toc52021863 \h </w:instrText>
            </w:r>
            <w:r>
              <w:rPr>
                <w:noProof/>
                <w:webHidden/>
              </w:rPr>
            </w:r>
            <w:r>
              <w:rPr>
                <w:noProof/>
                <w:webHidden/>
              </w:rPr>
              <w:fldChar w:fldCharType="separate"/>
            </w:r>
            <w:r>
              <w:rPr>
                <w:noProof/>
                <w:webHidden/>
              </w:rPr>
              <w:t>5</w:t>
            </w:r>
            <w:r>
              <w:rPr>
                <w:noProof/>
                <w:webHidden/>
              </w:rPr>
              <w:fldChar w:fldCharType="end"/>
            </w:r>
          </w:hyperlink>
        </w:p>
        <w:p w14:paraId="67E8482D" w14:textId="2A21FA36" w:rsidR="006A5AE8" w:rsidRDefault="006A5AE8">
          <w:pPr>
            <w:pStyle w:val="TOC2"/>
            <w:tabs>
              <w:tab w:val="right" w:leader="dot" w:pos="9638"/>
            </w:tabs>
            <w:rPr>
              <w:noProof/>
              <w:lang w:eastAsia="en-US"/>
            </w:rPr>
          </w:pPr>
          <w:hyperlink w:anchor="_Toc52021864" w:history="1">
            <w:r w:rsidRPr="00A33171">
              <w:rPr>
                <w:rStyle w:val="Hyperlink"/>
                <w:rFonts w:ascii="Open Sans" w:hAnsi="Open Sans" w:cs="Open Sans"/>
                <w:i/>
                <w:noProof/>
              </w:rPr>
              <w:t>“Big data”</w:t>
            </w:r>
            <w:r>
              <w:rPr>
                <w:noProof/>
                <w:webHidden/>
              </w:rPr>
              <w:tab/>
            </w:r>
            <w:r>
              <w:rPr>
                <w:noProof/>
                <w:webHidden/>
              </w:rPr>
              <w:fldChar w:fldCharType="begin"/>
            </w:r>
            <w:r>
              <w:rPr>
                <w:noProof/>
                <w:webHidden/>
              </w:rPr>
              <w:instrText xml:space="preserve"> PAGEREF _Toc52021864 \h </w:instrText>
            </w:r>
            <w:r>
              <w:rPr>
                <w:noProof/>
                <w:webHidden/>
              </w:rPr>
            </w:r>
            <w:r>
              <w:rPr>
                <w:noProof/>
                <w:webHidden/>
              </w:rPr>
              <w:fldChar w:fldCharType="separate"/>
            </w:r>
            <w:r>
              <w:rPr>
                <w:noProof/>
                <w:webHidden/>
              </w:rPr>
              <w:t>5</w:t>
            </w:r>
            <w:r>
              <w:rPr>
                <w:noProof/>
                <w:webHidden/>
              </w:rPr>
              <w:fldChar w:fldCharType="end"/>
            </w:r>
          </w:hyperlink>
        </w:p>
        <w:p w14:paraId="5525E68D" w14:textId="4D1185C0" w:rsidR="006A5AE8" w:rsidRDefault="006A5AE8">
          <w:pPr>
            <w:pStyle w:val="TOC2"/>
            <w:tabs>
              <w:tab w:val="right" w:leader="dot" w:pos="9638"/>
            </w:tabs>
            <w:rPr>
              <w:noProof/>
              <w:lang w:eastAsia="en-US"/>
            </w:rPr>
          </w:pPr>
          <w:hyperlink w:anchor="_Toc52021865" w:history="1">
            <w:r w:rsidRPr="00A33171">
              <w:rPr>
                <w:rStyle w:val="Hyperlink"/>
                <w:rFonts w:ascii="Open Sans" w:hAnsi="Open Sans" w:cs="Open Sans"/>
                <w:i/>
                <w:noProof/>
              </w:rPr>
              <w:t>Predictive analytics for HR purposes</w:t>
            </w:r>
            <w:r>
              <w:rPr>
                <w:noProof/>
                <w:webHidden/>
              </w:rPr>
              <w:tab/>
            </w:r>
            <w:r>
              <w:rPr>
                <w:noProof/>
                <w:webHidden/>
              </w:rPr>
              <w:fldChar w:fldCharType="begin"/>
            </w:r>
            <w:r>
              <w:rPr>
                <w:noProof/>
                <w:webHidden/>
              </w:rPr>
              <w:instrText xml:space="preserve"> PAGEREF _Toc52021865 \h </w:instrText>
            </w:r>
            <w:r>
              <w:rPr>
                <w:noProof/>
                <w:webHidden/>
              </w:rPr>
            </w:r>
            <w:r>
              <w:rPr>
                <w:noProof/>
                <w:webHidden/>
              </w:rPr>
              <w:fldChar w:fldCharType="separate"/>
            </w:r>
            <w:r>
              <w:rPr>
                <w:noProof/>
                <w:webHidden/>
              </w:rPr>
              <w:t>5</w:t>
            </w:r>
            <w:r>
              <w:rPr>
                <w:noProof/>
                <w:webHidden/>
              </w:rPr>
              <w:fldChar w:fldCharType="end"/>
            </w:r>
          </w:hyperlink>
        </w:p>
        <w:p w14:paraId="2A0A80E5" w14:textId="2E90D573" w:rsidR="006A5AE8" w:rsidRDefault="006A5AE8">
          <w:pPr>
            <w:pStyle w:val="TOC2"/>
            <w:tabs>
              <w:tab w:val="right" w:leader="dot" w:pos="9638"/>
            </w:tabs>
            <w:rPr>
              <w:noProof/>
              <w:lang w:eastAsia="en-US"/>
            </w:rPr>
          </w:pPr>
          <w:hyperlink w:anchor="_Toc52021866" w:history="1">
            <w:r w:rsidRPr="00A33171">
              <w:rPr>
                <w:rStyle w:val="Hyperlink"/>
                <w:rFonts w:ascii="Open Sans" w:hAnsi="Open Sans" w:cs="Open Sans"/>
                <w:i/>
                <w:noProof/>
              </w:rPr>
              <w:t>Application to the case</w:t>
            </w:r>
            <w:r>
              <w:rPr>
                <w:noProof/>
                <w:webHidden/>
              </w:rPr>
              <w:tab/>
            </w:r>
            <w:r>
              <w:rPr>
                <w:noProof/>
                <w:webHidden/>
              </w:rPr>
              <w:fldChar w:fldCharType="begin"/>
            </w:r>
            <w:r>
              <w:rPr>
                <w:noProof/>
                <w:webHidden/>
              </w:rPr>
              <w:instrText xml:space="preserve"> PAGEREF _Toc52021866 \h </w:instrText>
            </w:r>
            <w:r>
              <w:rPr>
                <w:noProof/>
                <w:webHidden/>
              </w:rPr>
            </w:r>
            <w:r>
              <w:rPr>
                <w:noProof/>
                <w:webHidden/>
              </w:rPr>
              <w:fldChar w:fldCharType="separate"/>
            </w:r>
            <w:r>
              <w:rPr>
                <w:noProof/>
                <w:webHidden/>
              </w:rPr>
              <w:t>6</w:t>
            </w:r>
            <w:r>
              <w:rPr>
                <w:noProof/>
                <w:webHidden/>
              </w:rPr>
              <w:fldChar w:fldCharType="end"/>
            </w:r>
          </w:hyperlink>
        </w:p>
        <w:p w14:paraId="6FFFAA94" w14:textId="0E7B1D26" w:rsidR="006A5AE8" w:rsidRDefault="006A5AE8">
          <w:pPr>
            <w:pStyle w:val="TOC1"/>
            <w:tabs>
              <w:tab w:val="right" w:leader="dot" w:pos="9638"/>
            </w:tabs>
            <w:rPr>
              <w:noProof/>
              <w:lang w:eastAsia="en-US"/>
            </w:rPr>
          </w:pPr>
          <w:hyperlink w:anchor="_Toc52021867" w:history="1">
            <w:r w:rsidRPr="00A33171">
              <w:rPr>
                <w:rStyle w:val="Hyperlink"/>
                <w:rFonts w:ascii="Open Sans" w:hAnsi="Open Sans" w:cs="Open Sans"/>
                <w:smallCaps/>
                <w:noProof/>
              </w:rPr>
              <w:t>Accounting Analytics</w:t>
            </w:r>
            <w:r>
              <w:rPr>
                <w:noProof/>
                <w:webHidden/>
              </w:rPr>
              <w:tab/>
            </w:r>
            <w:r>
              <w:rPr>
                <w:noProof/>
                <w:webHidden/>
              </w:rPr>
              <w:fldChar w:fldCharType="begin"/>
            </w:r>
            <w:r>
              <w:rPr>
                <w:noProof/>
                <w:webHidden/>
              </w:rPr>
              <w:instrText xml:space="preserve"> PAGEREF _Toc52021867 \h </w:instrText>
            </w:r>
            <w:r>
              <w:rPr>
                <w:noProof/>
                <w:webHidden/>
              </w:rPr>
            </w:r>
            <w:r>
              <w:rPr>
                <w:noProof/>
                <w:webHidden/>
              </w:rPr>
              <w:fldChar w:fldCharType="separate"/>
            </w:r>
            <w:r>
              <w:rPr>
                <w:noProof/>
                <w:webHidden/>
              </w:rPr>
              <w:t>7</w:t>
            </w:r>
            <w:r>
              <w:rPr>
                <w:noProof/>
                <w:webHidden/>
              </w:rPr>
              <w:fldChar w:fldCharType="end"/>
            </w:r>
          </w:hyperlink>
        </w:p>
        <w:p w14:paraId="3E3FE45B" w14:textId="6353E7A9" w:rsidR="006A5AE8" w:rsidRDefault="006A5AE8">
          <w:pPr>
            <w:pStyle w:val="TOC1"/>
            <w:tabs>
              <w:tab w:val="right" w:leader="dot" w:pos="9638"/>
            </w:tabs>
            <w:rPr>
              <w:noProof/>
              <w:lang w:eastAsia="en-US"/>
            </w:rPr>
          </w:pPr>
          <w:hyperlink w:anchor="_Toc52021868" w:history="1">
            <w:r w:rsidRPr="00A33171">
              <w:rPr>
                <w:rStyle w:val="Hyperlink"/>
                <w:rFonts w:ascii="Open Sans" w:hAnsi="Open Sans" w:cs="Open Sans"/>
                <w:smallCaps/>
                <w:noProof/>
              </w:rPr>
              <w:t>Data and Resources</w:t>
            </w:r>
            <w:r>
              <w:rPr>
                <w:noProof/>
                <w:webHidden/>
              </w:rPr>
              <w:tab/>
            </w:r>
            <w:r>
              <w:rPr>
                <w:noProof/>
                <w:webHidden/>
              </w:rPr>
              <w:fldChar w:fldCharType="begin"/>
            </w:r>
            <w:r>
              <w:rPr>
                <w:noProof/>
                <w:webHidden/>
              </w:rPr>
              <w:instrText xml:space="preserve"> PAGEREF _Toc52021868 \h </w:instrText>
            </w:r>
            <w:r>
              <w:rPr>
                <w:noProof/>
                <w:webHidden/>
              </w:rPr>
            </w:r>
            <w:r>
              <w:rPr>
                <w:noProof/>
                <w:webHidden/>
              </w:rPr>
              <w:fldChar w:fldCharType="separate"/>
            </w:r>
            <w:r>
              <w:rPr>
                <w:noProof/>
                <w:webHidden/>
              </w:rPr>
              <w:t>8</w:t>
            </w:r>
            <w:r>
              <w:rPr>
                <w:noProof/>
                <w:webHidden/>
              </w:rPr>
              <w:fldChar w:fldCharType="end"/>
            </w:r>
          </w:hyperlink>
        </w:p>
        <w:p w14:paraId="342842D0" w14:textId="0A90B197" w:rsidR="006A5AE8" w:rsidRDefault="006A5AE8">
          <w:pPr>
            <w:pStyle w:val="TOC1"/>
            <w:tabs>
              <w:tab w:val="right" w:leader="dot" w:pos="9638"/>
            </w:tabs>
            <w:rPr>
              <w:noProof/>
              <w:lang w:eastAsia="en-US"/>
            </w:rPr>
          </w:pPr>
          <w:hyperlink w:anchor="_Toc52021869" w:history="1">
            <w:r w:rsidRPr="00A33171">
              <w:rPr>
                <w:rStyle w:val="Hyperlink"/>
                <w:rFonts w:ascii="Open Sans" w:hAnsi="Open Sans" w:cs="Open Sans"/>
                <w:smallCaps/>
                <w:noProof/>
              </w:rPr>
              <w:t>References</w:t>
            </w:r>
            <w:r>
              <w:rPr>
                <w:noProof/>
                <w:webHidden/>
              </w:rPr>
              <w:tab/>
            </w:r>
            <w:r>
              <w:rPr>
                <w:noProof/>
                <w:webHidden/>
              </w:rPr>
              <w:fldChar w:fldCharType="begin"/>
            </w:r>
            <w:r>
              <w:rPr>
                <w:noProof/>
                <w:webHidden/>
              </w:rPr>
              <w:instrText xml:space="preserve"> PAGEREF _Toc52021869 \h </w:instrText>
            </w:r>
            <w:r>
              <w:rPr>
                <w:noProof/>
                <w:webHidden/>
              </w:rPr>
            </w:r>
            <w:r>
              <w:rPr>
                <w:noProof/>
                <w:webHidden/>
              </w:rPr>
              <w:fldChar w:fldCharType="separate"/>
            </w:r>
            <w:r>
              <w:rPr>
                <w:noProof/>
                <w:webHidden/>
              </w:rPr>
              <w:t>8</w:t>
            </w:r>
            <w:r>
              <w:rPr>
                <w:noProof/>
                <w:webHidden/>
              </w:rPr>
              <w:fldChar w:fldCharType="end"/>
            </w:r>
          </w:hyperlink>
        </w:p>
        <w:p w14:paraId="470C6ECE" w14:textId="0797F18B" w:rsidR="000A34F1" w:rsidRPr="00A776BC" w:rsidRDefault="000A34F1" w:rsidP="00AE45C3">
          <w:pPr>
            <w:pStyle w:val="TOC1"/>
            <w:tabs>
              <w:tab w:val="right" w:leader="dot" w:pos="7838"/>
            </w:tabs>
            <w:rPr>
              <w:rFonts w:ascii="Open Sans" w:hAnsi="Open Sans" w:cs="Open Sans"/>
              <w:color w:val="33006F"/>
              <w:sz w:val="20"/>
              <w:szCs w:val="20"/>
            </w:rPr>
          </w:pPr>
          <w:r w:rsidRPr="00A776BC">
            <w:rPr>
              <w:rFonts w:ascii="Open Sans" w:hAnsi="Open Sans" w:cs="Open Sans"/>
              <w:b/>
              <w:bCs/>
              <w:noProof/>
              <w:color w:val="33006F"/>
              <w:sz w:val="20"/>
              <w:szCs w:val="20"/>
            </w:rPr>
            <w:fldChar w:fldCharType="end"/>
          </w:r>
        </w:p>
      </w:sdtContent>
    </w:sdt>
    <w:p w14:paraId="4303A190" w14:textId="77777777" w:rsidR="000A34F1" w:rsidRPr="00A776BC" w:rsidRDefault="000A34F1">
      <w:pPr>
        <w:spacing w:line="240" w:lineRule="auto"/>
        <w:rPr>
          <w:rFonts w:ascii="Open Sans" w:hAnsi="Open Sans" w:cs="Open Sans"/>
          <w:sz w:val="20"/>
          <w:szCs w:val="20"/>
        </w:rPr>
      </w:pPr>
      <w:r w:rsidRPr="00A776BC">
        <w:rPr>
          <w:rFonts w:ascii="Open Sans" w:hAnsi="Open Sans" w:cs="Open Sans"/>
          <w:sz w:val="20"/>
          <w:szCs w:val="20"/>
        </w:rPr>
        <w:br w:type="page"/>
      </w:r>
    </w:p>
    <w:p w14:paraId="7D59EB26" w14:textId="77777777" w:rsidR="00F8742C" w:rsidRPr="00A776BC" w:rsidRDefault="00623BB3" w:rsidP="00F8742C">
      <w:pPr>
        <w:pStyle w:val="Heading1"/>
        <w:rPr>
          <w:rFonts w:ascii="Open Sans" w:hAnsi="Open Sans" w:cs="Open Sans"/>
          <w:smallCaps/>
          <w:color w:val="33006F"/>
          <w:sz w:val="26"/>
          <w:szCs w:val="26"/>
        </w:rPr>
      </w:pPr>
      <w:bookmarkStart w:id="1" w:name="_Toc52021859"/>
      <w:r w:rsidRPr="00A776BC">
        <w:rPr>
          <w:rFonts w:ascii="Open Sans" w:hAnsi="Open Sans" w:cs="Open Sans"/>
          <w:smallCaps/>
          <w:color w:val="33006F"/>
          <w:sz w:val="26"/>
          <w:szCs w:val="26"/>
        </w:rPr>
        <w:lastRenderedPageBreak/>
        <w:t>Case</w:t>
      </w:r>
      <w:r w:rsidR="00F8742C" w:rsidRPr="00A776BC">
        <w:rPr>
          <w:rFonts w:ascii="Open Sans" w:hAnsi="Open Sans" w:cs="Open Sans"/>
          <w:smallCaps/>
          <w:color w:val="33006F"/>
          <w:sz w:val="26"/>
          <w:szCs w:val="26"/>
        </w:rPr>
        <w:t xml:space="preserve"> Brief</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6390"/>
        <w:gridCol w:w="846"/>
      </w:tblGrid>
      <w:tr w:rsidR="000A34F1" w:rsidRPr="00A776BC" w14:paraId="2149AE31" w14:textId="77777777" w:rsidTr="000A34F1">
        <w:tc>
          <w:tcPr>
            <w:tcW w:w="828" w:type="dxa"/>
          </w:tcPr>
          <w:p w14:paraId="7D9F08D6" w14:textId="77777777" w:rsidR="000A34F1" w:rsidRPr="00A776BC" w:rsidRDefault="000A34F1" w:rsidP="003D11EC">
            <w:pPr>
              <w:spacing w:before="120" w:after="120" w:line="360" w:lineRule="auto"/>
              <w:jc w:val="both"/>
              <w:rPr>
                <w:rFonts w:ascii="Open Sans" w:hAnsi="Open Sans" w:cs="Open Sans"/>
                <w:sz w:val="20"/>
                <w:szCs w:val="20"/>
              </w:rPr>
            </w:pPr>
          </w:p>
        </w:tc>
        <w:tc>
          <w:tcPr>
            <w:tcW w:w="6390" w:type="dxa"/>
          </w:tcPr>
          <w:p w14:paraId="5922F9A5" w14:textId="77777777" w:rsidR="000A34F1" w:rsidRPr="00A776BC" w:rsidRDefault="00B71816" w:rsidP="00B71816">
            <w:pPr>
              <w:spacing w:before="120" w:after="120" w:line="360" w:lineRule="auto"/>
              <w:jc w:val="both"/>
              <w:rPr>
                <w:rFonts w:ascii="Open Sans" w:hAnsi="Open Sans" w:cs="Open Sans"/>
                <w:i/>
                <w:sz w:val="20"/>
                <w:szCs w:val="20"/>
              </w:rPr>
            </w:pPr>
            <w:r w:rsidRPr="00A776BC">
              <w:rPr>
                <w:rFonts w:ascii="Open Sans" w:hAnsi="Open Sans" w:cs="Open Sans"/>
                <w:i/>
                <w:sz w:val="20"/>
                <w:szCs w:val="20"/>
              </w:rPr>
              <w:t>Is it ethical to use any and all data collected from employees</w:t>
            </w:r>
            <w:r w:rsidR="00E37D3E" w:rsidRPr="00A776BC">
              <w:rPr>
                <w:rFonts w:ascii="Open Sans" w:hAnsi="Open Sans" w:cs="Open Sans"/>
                <w:i/>
                <w:sz w:val="20"/>
                <w:szCs w:val="20"/>
              </w:rPr>
              <w:t>?</w:t>
            </w:r>
          </w:p>
        </w:tc>
        <w:tc>
          <w:tcPr>
            <w:tcW w:w="846" w:type="dxa"/>
          </w:tcPr>
          <w:p w14:paraId="2DD00B2E" w14:textId="77777777" w:rsidR="000A34F1" w:rsidRPr="00A776BC" w:rsidRDefault="000A34F1" w:rsidP="003D11EC">
            <w:pPr>
              <w:spacing w:before="120" w:after="120" w:line="360" w:lineRule="auto"/>
              <w:jc w:val="both"/>
              <w:rPr>
                <w:rFonts w:ascii="Open Sans" w:hAnsi="Open Sans" w:cs="Open Sans"/>
                <w:sz w:val="20"/>
                <w:szCs w:val="20"/>
              </w:rPr>
            </w:pPr>
          </w:p>
        </w:tc>
      </w:tr>
    </w:tbl>
    <w:p w14:paraId="22AC5669" w14:textId="77777777" w:rsidR="00D72F1B" w:rsidRPr="00A776BC" w:rsidRDefault="000A34F1" w:rsidP="003D11EC">
      <w:pPr>
        <w:spacing w:before="120" w:after="120" w:line="360" w:lineRule="auto"/>
        <w:jc w:val="both"/>
        <w:rPr>
          <w:rFonts w:ascii="Open Sans" w:hAnsi="Open Sans" w:cs="Open Sans"/>
          <w:sz w:val="20"/>
          <w:szCs w:val="20"/>
        </w:rPr>
      </w:pPr>
      <w:r w:rsidRPr="00A776BC">
        <w:rPr>
          <w:rFonts w:ascii="Open Sans" w:hAnsi="Open Sans" w:cs="Open Sans"/>
          <w:sz w:val="20"/>
          <w:szCs w:val="20"/>
        </w:rPr>
        <w:t>You</w:t>
      </w:r>
      <w:r w:rsidR="00CC050B" w:rsidRPr="00A776BC">
        <w:rPr>
          <w:rFonts w:ascii="Open Sans" w:hAnsi="Open Sans" w:cs="Open Sans"/>
          <w:sz w:val="20"/>
          <w:szCs w:val="20"/>
        </w:rPr>
        <w:t xml:space="preserve"> </w:t>
      </w:r>
      <w:r w:rsidR="00E37D3E" w:rsidRPr="00A776BC">
        <w:rPr>
          <w:rFonts w:ascii="Open Sans" w:hAnsi="Open Sans" w:cs="Open Sans"/>
          <w:sz w:val="20"/>
          <w:szCs w:val="20"/>
        </w:rPr>
        <w:t>are a</w:t>
      </w:r>
      <w:r w:rsidR="00127C2D" w:rsidRPr="00A776BC">
        <w:rPr>
          <w:rFonts w:ascii="Open Sans" w:hAnsi="Open Sans" w:cs="Open Sans"/>
          <w:sz w:val="20"/>
          <w:szCs w:val="20"/>
        </w:rPr>
        <w:t xml:space="preserve"> management accountant at a firm that is undertaking a restructuring of their sales department. As part of this process, you will have to estimate the restructuring costs for the company. </w:t>
      </w:r>
      <w:r w:rsidR="00D72F1B" w:rsidRPr="00A776BC">
        <w:rPr>
          <w:rFonts w:ascii="Open Sans" w:hAnsi="Open Sans" w:cs="Open Sans"/>
          <w:sz w:val="20"/>
          <w:szCs w:val="20"/>
        </w:rPr>
        <w:t xml:space="preserve">You are preparing for a meeting with the division manager to work through the plan to identify the employees who will be terminated. </w:t>
      </w:r>
      <w:r w:rsidR="001936EC" w:rsidRPr="00A776BC">
        <w:rPr>
          <w:rFonts w:ascii="Open Sans" w:hAnsi="Open Sans" w:cs="Open Sans"/>
          <w:sz w:val="20"/>
          <w:szCs w:val="20"/>
        </w:rPr>
        <w:t>Your</w:t>
      </w:r>
      <w:r w:rsidR="00D72F1B" w:rsidRPr="00A776BC">
        <w:rPr>
          <w:rFonts w:ascii="Open Sans" w:hAnsi="Open Sans" w:cs="Open Sans"/>
          <w:sz w:val="20"/>
          <w:szCs w:val="20"/>
        </w:rPr>
        <w:t xml:space="preserve"> manager is asking for your advice</w:t>
      </w:r>
      <w:r w:rsidR="001936EC" w:rsidRPr="00A776BC">
        <w:rPr>
          <w:rFonts w:ascii="Open Sans" w:hAnsi="Open Sans" w:cs="Open Sans"/>
          <w:sz w:val="20"/>
          <w:szCs w:val="20"/>
        </w:rPr>
        <w:t>,</w:t>
      </w:r>
      <w:r w:rsidR="00D72F1B" w:rsidRPr="00A776BC">
        <w:rPr>
          <w:rFonts w:ascii="Open Sans" w:hAnsi="Open Sans" w:cs="Open Sans"/>
          <w:sz w:val="20"/>
          <w:szCs w:val="20"/>
        </w:rPr>
        <w:t xml:space="preserve"> given your background in data analytics, on how to be use information in web browser data to pick between employees that have had equivalent performance evaluations.</w:t>
      </w:r>
      <w:r w:rsidR="001936EC" w:rsidRPr="00A776BC">
        <w:rPr>
          <w:rFonts w:ascii="Open Sans" w:hAnsi="Open Sans" w:cs="Open Sans"/>
          <w:sz w:val="20"/>
          <w:szCs w:val="20"/>
        </w:rPr>
        <w:t xml:space="preserve"> The manager has heard a lot about how big data, especially data collected from employees, is being used in the new field of Human Resource (HR) analytics. </w:t>
      </w:r>
      <w:r w:rsidR="00287274" w:rsidRPr="00A776BC">
        <w:rPr>
          <w:rFonts w:ascii="Open Sans" w:hAnsi="Open Sans" w:cs="Open Sans"/>
          <w:sz w:val="20"/>
          <w:szCs w:val="20"/>
        </w:rPr>
        <w:t>Your manager has also asked if you think it would be valuable to screen email data of the employees being considered for termination.</w:t>
      </w:r>
    </w:p>
    <w:p w14:paraId="487BADFF" w14:textId="77777777" w:rsidR="00287274" w:rsidRPr="00A776BC" w:rsidRDefault="0067212A" w:rsidP="003D11EC">
      <w:p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Broadly speaking this case is about </w:t>
      </w:r>
      <w:r w:rsidR="001936EC" w:rsidRPr="00A776BC">
        <w:rPr>
          <w:rFonts w:ascii="Open Sans" w:hAnsi="Open Sans" w:cs="Open Sans"/>
          <w:sz w:val="20"/>
          <w:szCs w:val="20"/>
        </w:rPr>
        <w:t xml:space="preserve">the ethical use of big data </w:t>
      </w:r>
      <w:r w:rsidR="00287274" w:rsidRPr="00A776BC">
        <w:rPr>
          <w:rFonts w:ascii="Open Sans" w:hAnsi="Open Sans" w:cs="Open Sans"/>
          <w:sz w:val="20"/>
          <w:szCs w:val="20"/>
        </w:rPr>
        <w:t>and how accounting judgments may interact with other business decisions</w:t>
      </w:r>
      <w:r w:rsidRPr="00A776BC">
        <w:rPr>
          <w:rFonts w:ascii="Open Sans" w:hAnsi="Open Sans" w:cs="Open Sans"/>
          <w:sz w:val="20"/>
          <w:szCs w:val="20"/>
        </w:rPr>
        <w:t xml:space="preserve">. </w:t>
      </w:r>
      <w:r w:rsidR="00287274" w:rsidRPr="00A776BC">
        <w:rPr>
          <w:rFonts w:ascii="Open Sans" w:hAnsi="Open Sans" w:cs="Open Sans"/>
          <w:sz w:val="20"/>
          <w:szCs w:val="20"/>
        </w:rPr>
        <w:t xml:space="preserve">Estimates of the expense of terminating employees as part of a disposal or restructure include a large amount of judgement when managers provide choices between voluntary and involuntary termination benefits as well as termination benefits that require continued service to a future service date. </w:t>
      </w:r>
      <w:r w:rsidR="00E87D0E" w:rsidRPr="00A776BC">
        <w:rPr>
          <w:rFonts w:ascii="Open Sans" w:hAnsi="Open Sans" w:cs="Open Sans"/>
          <w:sz w:val="20"/>
          <w:szCs w:val="20"/>
        </w:rPr>
        <w:t xml:space="preserve">The CFO is hoping that your team will be able to work together towards minimizing the costs of restructuring in the current period by deferring some of the costs to the future. The CFO </w:t>
      </w:r>
      <w:r w:rsidR="000D258E" w:rsidRPr="00A776BC">
        <w:rPr>
          <w:rFonts w:ascii="Open Sans" w:hAnsi="Open Sans" w:cs="Open Sans"/>
          <w:sz w:val="20"/>
          <w:szCs w:val="20"/>
        </w:rPr>
        <w:t>believes</w:t>
      </w:r>
      <w:r w:rsidR="00E87D0E" w:rsidRPr="00A776BC">
        <w:rPr>
          <w:rFonts w:ascii="Open Sans" w:hAnsi="Open Sans" w:cs="Open Sans"/>
          <w:sz w:val="20"/>
          <w:szCs w:val="20"/>
        </w:rPr>
        <w:t xml:space="preserve"> that this can be achieved by offering a mixture of short-term and long-term termination benefit packages to </w:t>
      </w:r>
      <w:r w:rsidR="000D258E" w:rsidRPr="00A776BC">
        <w:rPr>
          <w:rFonts w:ascii="Open Sans" w:hAnsi="Open Sans" w:cs="Open Sans"/>
          <w:sz w:val="20"/>
          <w:szCs w:val="20"/>
        </w:rPr>
        <w:t xml:space="preserve">employees, and wants you to consider offering lower short-term termination benefits to individuals expected to leave voluntarily. </w:t>
      </w:r>
      <w:r w:rsidR="00E87D0E" w:rsidRPr="00A776BC">
        <w:rPr>
          <w:rFonts w:ascii="Open Sans" w:hAnsi="Open Sans" w:cs="Open Sans"/>
          <w:sz w:val="20"/>
          <w:szCs w:val="20"/>
        </w:rPr>
        <w:t>The big data “revolution” has provided tools and insight into how to collect data from individuals, especially web based data, often without individuals being aware of how much data is being collected. This raises ethical questions relating to the use of individual data in sensitive contexts such as offering different retrenchment packages. You will have to tackle this ethical question as you prepare for the meeting and cover your beliefs on the ethics of the use of web-browser data, as well as whether email data should also be used to identify the employees targeted for termination.</w:t>
      </w:r>
    </w:p>
    <w:p w14:paraId="4BCEDDC9" w14:textId="77777777" w:rsidR="000A34F1" w:rsidRPr="00A776BC" w:rsidRDefault="000A34F1" w:rsidP="003D11EC">
      <w:p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You will have the opportunity to discuss the rationale for and the practicalities of your </w:t>
      </w:r>
      <w:r w:rsidR="00DD38C0" w:rsidRPr="00A776BC">
        <w:rPr>
          <w:rFonts w:ascii="Open Sans" w:hAnsi="Open Sans" w:cs="Open Sans"/>
          <w:sz w:val="20"/>
          <w:szCs w:val="20"/>
        </w:rPr>
        <w:t>conclusions</w:t>
      </w:r>
      <w:r w:rsidRPr="00A776BC">
        <w:rPr>
          <w:rFonts w:ascii="Open Sans" w:hAnsi="Open Sans" w:cs="Open Sans"/>
          <w:sz w:val="20"/>
          <w:szCs w:val="20"/>
        </w:rPr>
        <w:t xml:space="preserve"> in </w:t>
      </w:r>
      <w:r w:rsidR="003B13BF" w:rsidRPr="00A776BC">
        <w:rPr>
          <w:rFonts w:ascii="Open Sans" w:hAnsi="Open Sans" w:cs="Open Sans"/>
          <w:sz w:val="20"/>
          <w:szCs w:val="20"/>
        </w:rPr>
        <w:t xml:space="preserve">your response and in </w:t>
      </w:r>
      <w:r w:rsidRPr="00A776BC">
        <w:rPr>
          <w:rFonts w:ascii="Open Sans" w:hAnsi="Open Sans" w:cs="Open Sans"/>
          <w:sz w:val="20"/>
          <w:szCs w:val="20"/>
        </w:rPr>
        <w:t xml:space="preserve">class. Your </w:t>
      </w:r>
      <w:r w:rsidR="00DD38C0" w:rsidRPr="00A776BC">
        <w:rPr>
          <w:rFonts w:ascii="Open Sans" w:hAnsi="Open Sans" w:cs="Open Sans"/>
          <w:sz w:val="20"/>
          <w:szCs w:val="20"/>
        </w:rPr>
        <w:t>conclusions</w:t>
      </w:r>
      <w:r w:rsidRPr="00A776BC">
        <w:rPr>
          <w:rFonts w:ascii="Open Sans" w:hAnsi="Open Sans" w:cs="Open Sans"/>
          <w:sz w:val="20"/>
          <w:szCs w:val="20"/>
        </w:rPr>
        <w:t xml:space="preserve"> are to be backed up with </w:t>
      </w:r>
      <w:r w:rsidR="00B4714A" w:rsidRPr="00A776BC">
        <w:rPr>
          <w:rFonts w:ascii="Open Sans" w:hAnsi="Open Sans" w:cs="Open Sans"/>
          <w:sz w:val="20"/>
          <w:szCs w:val="20"/>
        </w:rPr>
        <w:t xml:space="preserve">a discussion of a hypothetical </w:t>
      </w:r>
      <w:r w:rsidRPr="00A776BC">
        <w:rPr>
          <w:rFonts w:ascii="Open Sans" w:hAnsi="Open Sans" w:cs="Open Sans"/>
          <w:sz w:val="20"/>
          <w:szCs w:val="20"/>
        </w:rPr>
        <w:t xml:space="preserve">analysis of </w:t>
      </w:r>
      <w:r w:rsidR="00E87D0E" w:rsidRPr="00A776BC">
        <w:rPr>
          <w:rFonts w:ascii="Open Sans" w:hAnsi="Open Sans" w:cs="Open Sans"/>
          <w:sz w:val="20"/>
          <w:szCs w:val="20"/>
        </w:rPr>
        <w:t xml:space="preserve">individual web-browser </w:t>
      </w:r>
      <w:r w:rsidR="00B4714A" w:rsidRPr="00A776BC">
        <w:rPr>
          <w:rFonts w:ascii="Open Sans" w:hAnsi="Open Sans" w:cs="Open Sans"/>
          <w:sz w:val="20"/>
          <w:szCs w:val="20"/>
        </w:rPr>
        <w:t>history data.</w:t>
      </w:r>
      <w:r w:rsidR="000D258E" w:rsidRPr="00A776BC">
        <w:rPr>
          <w:rFonts w:ascii="Open Sans" w:hAnsi="Open Sans" w:cs="Open Sans"/>
          <w:sz w:val="20"/>
          <w:szCs w:val="20"/>
        </w:rPr>
        <w:t xml:space="preserve"> </w:t>
      </w:r>
      <w:r w:rsidR="00B4714A" w:rsidRPr="00A776BC">
        <w:rPr>
          <w:rFonts w:ascii="Open Sans" w:hAnsi="Open Sans" w:cs="Open Sans"/>
          <w:sz w:val="20"/>
          <w:szCs w:val="20"/>
        </w:rPr>
        <w:t>N</w:t>
      </w:r>
      <w:r w:rsidR="000D258E" w:rsidRPr="00A776BC">
        <w:rPr>
          <w:rFonts w:ascii="Open Sans" w:hAnsi="Open Sans" w:cs="Open Sans"/>
          <w:sz w:val="20"/>
          <w:szCs w:val="20"/>
        </w:rPr>
        <w:t>ot</w:t>
      </w:r>
      <w:r w:rsidR="00B4714A" w:rsidRPr="00A776BC">
        <w:rPr>
          <w:rFonts w:ascii="Open Sans" w:hAnsi="Open Sans" w:cs="Open Sans"/>
          <w:sz w:val="20"/>
          <w:szCs w:val="20"/>
        </w:rPr>
        <w:t>e</w:t>
      </w:r>
      <w:r w:rsidR="000D258E" w:rsidRPr="00A776BC">
        <w:rPr>
          <w:rFonts w:ascii="Open Sans" w:hAnsi="Open Sans" w:cs="Open Sans"/>
          <w:sz w:val="20"/>
          <w:szCs w:val="20"/>
        </w:rPr>
        <w:t xml:space="preserve"> that what some f</w:t>
      </w:r>
      <w:r w:rsidR="00B4714A" w:rsidRPr="00A776BC">
        <w:rPr>
          <w:rFonts w:ascii="Open Sans" w:hAnsi="Open Sans" w:cs="Open Sans"/>
          <w:sz w:val="20"/>
          <w:szCs w:val="20"/>
        </w:rPr>
        <w:t>ind as invasive or over-</w:t>
      </w:r>
      <w:r w:rsidR="000D258E" w:rsidRPr="00A776BC">
        <w:rPr>
          <w:rFonts w:ascii="Open Sans" w:hAnsi="Open Sans" w:cs="Open Sans"/>
          <w:sz w:val="20"/>
          <w:szCs w:val="20"/>
        </w:rPr>
        <w:t>monitoring, other</w:t>
      </w:r>
      <w:r w:rsidR="00B4714A" w:rsidRPr="00A776BC">
        <w:rPr>
          <w:rFonts w:ascii="Open Sans" w:hAnsi="Open Sans" w:cs="Open Sans"/>
          <w:sz w:val="20"/>
          <w:szCs w:val="20"/>
        </w:rPr>
        <w:t>s</w:t>
      </w:r>
      <w:r w:rsidR="000D258E" w:rsidRPr="00A776BC">
        <w:rPr>
          <w:rFonts w:ascii="Open Sans" w:hAnsi="Open Sans" w:cs="Open Sans"/>
          <w:sz w:val="20"/>
          <w:szCs w:val="20"/>
        </w:rPr>
        <w:t xml:space="preserve"> may think is perfectly fair.</w:t>
      </w:r>
      <w:r w:rsidR="00B4714A" w:rsidRPr="00A776BC">
        <w:rPr>
          <w:rFonts w:ascii="Open Sans" w:hAnsi="Open Sans" w:cs="Open Sans"/>
          <w:sz w:val="20"/>
          <w:szCs w:val="20"/>
        </w:rPr>
        <w:t xml:space="preserve"> These are evolving ethical issues that need to be discussed.</w:t>
      </w:r>
    </w:p>
    <w:p w14:paraId="5A1F532A" w14:textId="77777777" w:rsidR="00F8742C" w:rsidRPr="00A776BC" w:rsidRDefault="00F8742C" w:rsidP="00F8742C">
      <w:pPr>
        <w:pStyle w:val="Heading1"/>
        <w:rPr>
          <w:rFonts w:ascii="Open Sans" w:hAnsi="Open Sans" w:cs="Open Sans"/>
          <w:smallCaps/>
          <w:color w:val="33006F"/>
          <w:sz w:val="26"/>
          <w:szCs w:val="26"/>
        </w:rPr>
      </w:pPr>
      <w:bookmarkStart w:id="2" w:name="_Toc52021860"/>
      <w:r w:rsidRPr="00A776BC">
        <w:rPr>
          <w:rFonts w:ascii="Open Sans" w:hAnsi="Open Sans" w:cs="Open Sans"/>
          <w:smallCaps/>
          <w:color w:val="33006F"/>
          <w:sz w:val="26"/>
          <w:szCs w:val="26"/>
        </w:rPr>
        <w:lastRenderedPageBreak/>
        <w:t>Background</w:t>
      </w:r>
      <w:bookmarkEnd w:id="2"/>
    </w:p>
    <w:p w14:paraId="7EC668B7" w14:textId="77777777" w:rsidR="009C40AB" w:rsidRPr="00A776BC" w:rsidRDefault="009C40AB" w:rsidP="0018655E">
      <w:pPr>
        <w:pStyle w:val="Heading2"/>
        <w:rPr>
          <w:rFonts w:ascii="Open Sans" w:hAnsi="Open Sans" w:cs="Open Sans"/>
          <w:i/>
          <w:color w:val="33006F"/>
          <w:sz w:val="24"/>
          <w:szCs w:val="24"/>
        </w:rPr>
      </w:pPr>
      <w:bookmarkStart w:id="3" w:name="_Toc52021861"/>
      <w:r w:rsidRPr="00A776BC">
        <w:rPr>
          <w:rFonts w:ascii="Open Sans" w:hAnsi="Open Sans" w:cs="Open Sans"/>
          <w:i/>
          <w:color w:val="33006F"/>
          <w:sz w:val="24"/>
          <w:szCs w:val="24"/>
        </w:rPr>
        <w:t xml:space="preserve">Accounting for </w:t>
      </w:r>
      <w:r w:rsidR="00AB5912" w:rsidRPr="00A776BC">
        <w:rPr>
          <w:rFonts w:ascii="Open Sans" w:hAnsi="Open Sans" w:cs="Open Sans"/>
          <w:i/>
          <w:color w:val="33006F"/>
          <w:sz w:val="24"/>
          <w:szCs w:val="24"/>
        </w:rPr>
        <w:t>r</w:t>
      </w:r>
      <w:r w:rsidR="00B91EC4" w:rsidRPr="00A776BC">
        <w:rPr>
          <w:rFonts w:ascii="Open Sans" w:hAnsi="Open Sans" w:cs="Open Sans"/>
          <w:i/>
          <w:color w:val="33006F"/>
          <w:sz w:val="24"/>
          <w:szCs w:val="24"/>
        </w:rPr>
        <w:t>estructuring</w:t>
      </w:r>
      <w:bookmarkEnd w:id="3"/>
    </w:p>
    <w:p w14:paraId="1CAC3B5B" w14:textId="77777777" w:rsidR="00EE3D1D" w:rsidRPr="00A776BC" w:rsidRDefault="009C40AB" w:rsidP="00EE3D1D">
      <w:p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Accounting for </w:t>
      </w:r>
      <w:r w:rsidR="000D258E" w:rsidRPr="00A776BC">
        <w:rPr>
          <w:rFonts w:ascii="Open Sans" w:hAnsi="Open Sans" w:cs="Open Sans"/>
          <w:sz w:val="20"/>
          <w:szCs w:val="20"/>
        </w:rPr>
        <w:t xml:space="preserve">restructuring is covered in ASC ¶420 Exit or Disposal Cost Obligations. </w:t>
      </w:r>
      <w:r w:rsidR="00EE3D1D" w:rsidRPr="00A776BC">
        <w:rPr>
          <w:rFonts w:ascii="Open Sans" w:hAnsi="Open Sans" w:cs="Open Sans"/>
          <w:sz w:val="20"/>
          <w:szCs w:val="20"/>
        </w:rPr>
        <w:t>The transactions that can be recognized as part of the restructuring costs are discussed in ASC ¶420-10-15, §3, as follows:</w:t>
      </w:r>
    </w:p>
    <w:p w14:paraId="166DC3BD" w14:textId="77777777" w:rsidR="00EE3D1D" w:rsidRPr="00A776BC" w:rsidRDefault="00EE3D1D" w:rsidP="00EE3D1D">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“The guidance in the Exit or Disposal Cost Obligations Topic applies to the following transactions and activities:</w:t>
      </w:r>
    </w:p>
    <w:p w14:paraId="0BFAED8C" w14:textId="77777777" w:rsidR="00EE3D1D" w:rsidRPr="00A776BC" w:rsidRDefault="00EE3D1D" w:rsidP="00EE3D1D">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a.  Termination benefits provided to current employees that are involuntarily terminated under the terms of a benefit arrangement that, in substance, is not an ongoing benefit arrangement or an individual deferred compensation contract (referred to as one-time employee termination benefits)</w:t>
      </w:r>
    </w:p>
    <w:p w14:paraId="3477DD11" w14:textId="77777777" w:rsidR="00EE3D1D" w:rsidRPr="00A776BC" w:rsidRDefault="00EE3D1D" w:rsidP="00EE3D1D">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b.  Costs to terminate a contract that is not a capital lease (see paragraphs 420-10-25-11 through 25-13 for further description of contract termination costs and paragraph 840-30-40-1 for terminations of a capital lease)</w:t>
      </w:r>
    </w:p>
    <w:p w14:paraId="75689A68" w14:textId="77777777" w:rsidR="00EE3D1D" w:rsidRPr="00A776BC" w:rsidRDefault="00EE3D1D" w:rsidP="00EE3D1D">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c.  Costs to consolidate facilities or relocate employees</w:t>
      </w:r>
    </w:p>
    <w:p w14:paraId="48F881B0" w14:textId="77777777" w:rsidR="00EE3D1D" w:rsidRPr="00A776BC" w:rsidRDefault="00EE3D1D" w:rsidP="00EE3D1D">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d.  Costs associated with a disposal activity covered by Subtopic 205-20</w:t>
      </w:r>
    </w:p>
    <w:p w14:paraId="00942B29" w14:textId="77777777" w:rsidR="00EE3D1D" w:rsidRPr="00A776BC" w:rsidRDefault="00EE3D1D" w:rsidP="00EE3D1D">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e.  Costs associated with an exit activity, including exit activities associated with an entity newly acquired in a business combination or an acquisi</w:t>
      </w:r>
      <w:r w:rsidR="00B91EC4" w:rsidRPr="00A776BC">
        <w:rPr>
          <w:rFonts w:ascii="Open Sans" w:eastAsia="Calibri" w:hAnsi="Open Sans" w:cs="Open Sans"/>
          <w:sz w:val="18"/>
          <w:szCs w:val="18"/>
        </w:rPr>
        <w:t>tion by a not-for-profit entity</w:t>
      </w:r>
      <w:r w:rsidRPr="00A776BC">
        <w:rPr>
          <w:rFonts w:ascii="Open Sans" w:eastAsia="Calibri" w:hAnsi="Open Sans" w:cs="Open Sans"/>
          <w:sz w:val="18"/>
          <w:szCs w:val="18"/>
        </w:rPr>
        <w:t>.”</w:t>
      </w:r>
    </w:p>
    <w:p w14:paraId="4F487ECA" w14:textId="77777777" w:rsidR="00EE3D1D" w:rsidRPr="00A776BC" w:rsidRDefault="00B91EC4" w:rsidP="00EE3D1D">
      <w:p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As our focus is on employee termination, we are most interested in the accounting for </w:t>
      </w:r>
      <w:r w:rsidRPr="00A776BC">
        <w:rPr>
          <w:rFonts w:ascii="Open Sans" w:hAnsi="Open Sans" w:cs="Open Sans"/>
          <w:b/>
          <w:i/>
          <w:color w:val="33006F"/>
          <w:sz w:val="20"/>
          <w:szCs w:val="20"/>
        </w:rPr>
        <w:t>termination benefits</w:t>
      </w:r>
      <w:r w:rsidRPr="00A776BC">
        <w:rPr>
          <w:rFonts w:ascii="Open Sans" w:hAnsi="Open Sans" w:cs="Open Sans"/>
          <w:sz w:val="20"/>
          <w:szCs w:val="20"/>
        </w:rPr>
        <w:t xml:space="preserve">, which the FASB defines as </w:t>
      </w:r>
      <w:r w:rsidR="00EE3D1D" w:rsidRPr="00A776BC">
        <w:rPr>
          <w:rFonts w:ascii="Open Sans" w:hAnsi="Open Sans" w:cs="Open Sans"/>
          <w:sz w:val="20"/>
          <w:szCs w:val="20"/>
        </w:rPr>
        <w:t>“Benefits provided by an employer to employees in connection with their termination of employment. They may be either special termination benefits offered only for a short period of time or contractual benefits required by the terms of a plan only if a specified event, such as a plant closing, occurs”</w:t>
      </w:r>
      <w:r w:rsidR="000D258E" w:rsidRPr="00A776BC">
        <w:rPr>
          <w:rFonts w:ascii="Open Sans" w:hAnsi="Open Sans" w:cs="Open Sans"/>
          <w:sz w:val="20"/>
          <w:szCs w:val="20"/>
        </w:rPr>
        <w:t xml:space="preserve"> </w:t>
      </w:r>
      <w:r w:rsidR="00EE3D1D" w:rsidRPr="00A776BC">
        <w:rPr>
          <w:rFonts w:ascii="Open Sans" w:hAnsi="Open Sans" w:cs="Open Sans"/>
          <w:sz w:val="20"/>
          <w:szCs w:val="20"/>
        </w:rPr>
        <w:t xml:space="preserve">(ASC </w:t>
      </w:r>
      <w:r w:rsidR="0084626F" w:rsidRPr="00A776BC">
        <w:rPr>
          <w:rFonts w:ascii="Open Sans" w:hAnsi="Open Sans" w:cs="Open Sans"/>
          <w:sz w:val="20"/>
          <w:szCs w:val="20"/>
        </w:rPr>
        <w:t>¶</w:t>
      </w:r>
      <w:r w:rsidR="00EE3D1D" w:rsidRPr="00A776BC">
        <w:rPr>
          <w:rFonts w:ascii="Open Sans" w:hAnsi="Open Sans" w:cs="Open Sans"/>
          <w:sz w:val="20"/>
          <w:szCs w:val="20"/>
        </w:rPr>
        <w:t>712-10-20).</w:t>
      </w:r>
      <w:r w:rsidRPr="00A776BC">
        <w:rPr>
          <w:rFonts w:ascii="Open Sans" w:hAnsi="Open Sans" w:cs="Open Sans"/>
          <w:sz w:val="20"/>
          <w:szCs w:val="20"/>
        </w:rPr>
        <w:t xml:space="preserve"> </w:t>
      </w:r>
      <w:r w:rsidR="00AB5811" w:rsidRPr="00A776BC">
        <w:rPr>
          <w:rFonts w:ascii="Open Sans" w:hAnsi="Open Sans" w:cs="Open Sans"/>
          <w:sz w:val="20"/>
          <w:szCs w:val="20"/>
        </w:rPr>
        <w:t>Often these are cash payments that occur at the end of the employee’s employment period with the firm and are often labelled severance packages (or redundancy payouts or lay-off payoffs).</w:t>
      </w:r>
    </w:p>
    <w:p w14:paraId="2B34DC62" w14:textId="77777777" w:rsidR="00D57225" w:rsidRPr="00A776BC" w:rsidRDefault="00D57225" w:rsidP="00D57225">
      <w:pPr>
        <w:pStyle w:val="Heading2"/>
        <w:rPr>
          <w:rFonts w:ascii="Open Sans" w:hAnsi="Open Sans" w:cs="Open Sans"/>
          <w:i/>
          <w:color w:val="33006F"/>
          <w:sz w:val="24"/>
          <w:szCs w:val="24"/>
        </w:rPr>
      </w:pPr>
      <w:bookmarkStart w:id="4" w:name="_Toc52021862"/>
      <w:r w:rsidRPr="00A776BC">
        <w:rPr>
          <w:rFonts w:ascii="Open Sans" w:hAnsi="Open Sans" w:cs="Open Sans"/>
          <w:i/>
          <w:color w:val="33006F"/>
          <w:sz w:val="24"/>
          <w:szCs w:val="24"/>
        </w:rPr>
        <w:t>Accounting for termination benefits</w:t>
      </w:r>
      <w:bookmarkEnd w:id="4"/>
      <w:r w:rsidRPr="00A776BC">
        <w:rPr>
          <w:rFonts w:ascii="Open Sans" w:hAnsi="Open Sans" w:cs="Open Sans"/>
          <w:i/>
          <w:color w:val="33006F"/>
          <w:sz w:val="24"/>
          <w:szCs w:val="24"/>
        </w:rPr>
        <w:t xml:space="preserve"> </w:t>
      </w:r>
    </w:p>
    <w:p w14:paraId="25F7681B" w14:textId="77777777" w:rsidR="00AB5811" w:rsidRPr="00A776BC" w:rsidRDefault="0084626F" w:rsidP="00D57225">
      <w:pPr>
        <w:spacing w:before="120" w:after="120" w:line="360" w:lineRule="auto"/>
        <w:jc w:val="both"/>
        <w:rPr>
          <w:rFonts w:ascii="Open Sans" w:hAnsi="Open Sans" w:cs="Open Sans"/>
          <w:sz w:val="20"/>
          <w:szCs w:val="20"/>
        </w:rPr>
      </w:pPr>
      <w:r w:rsidRPr="00A776BC">
        <w:rPr>
          <w:rFonts w:ascii="Open Sans" w:hAnsi="Open Sans" w:cs="Open Sans"/>
          <w:sz w:val="20"/>
          <w:szCs w:val="20"/>
        </w:rPr>
        <w:t>The guidance in the ASC suggests that the recognition of a liability as part of the restructuring charge is not at the time of the commitment by management to undertake the restructuring (see ASC ¶</w:t>
      </w:r>
      <w:r w:rsidR="00AB5811" w:rsidRPr="00A776BC">
        <w:rPr>
          <w:rFonts w:ascii="Open Sans" w:hAnsi="Open Sans" w:cs="Open Sans"/>
          <w:sz w:val="20"/>
          <w:szCs w:val="20"/>
        </w:rPr>
        <w:t>420-10-25</w:t>
      </w:r>
      <w:r w:rsidRPr="00A776BC">
        <w:rPr>
          <w:rFonts w:ascii="Open Sans" w:hAnsi="Open Sans" w:cs="Open Sans"/>
          <w:sz w:val="20"/>
          <w:szCs w:val="20"/>
        </w:rPr>
        <w:t>-</w:t>
      </w:r>
      <w:r w:rsidR="00AB5811" w:rsidRPr="00A776BC">
        <w:rPr>
          <w:rFonts w:ascii="Open Sans" w:hAnsi="Open Sans" w:cs="Open Sans"/>
          <w:sz w:val="20"/>
          <w:szCs w:val="20"/>
        </w:rPr>
        <w:t>2)</w:t>
      </w:r>
      <w:r w:rsidRPr="00A776BC">
        <w:rPr>
          <w:rFonts w:ascii="Open Sans" w:hAnsi="Open Sans" w:cs="Open Sans"/>
          <w:sz w:val="20"/>
          <w:szCs w:val="20"/>
        </w:rPr>
        <w:t>. In the case of accounting for termination benefits</w:t>
      </w:r>
      <w:r w:rsidR="00AB5811" w:rsidRPr="00A776BC">
        <w:rPr>
          <w:rFonts w:ascii="Open Sans" w:hAnsi="Open Sans" w:cs="Open Sans"/>
          <w:sz w:val="20"/>
          <w:szCs w:val="20"/>
        </w:rPr>
        <w:t>, the liability is triggered at the time of the communication date, defined as meeting the criteria in ASC ¶420-10-25-4:</w:t>
      </w:r>
    </w:p>
    <w:p w14:paraId="1F6198BF" w14:textId="77777777" w:rsidR="00AB5811" w:rsidRPr="00A776BC" w:rsidRDefault="00AB5811" w:rsidP="00AB5811">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“An arrangement for one-time employee termination benefits exists at the date the plan of termination meets all of the following criteria and has been communicated to employees (referred to as the communication date):</w:t>
      </w:r>
    </w:p>
    <w:p w14:paraId="7E2D8F0E" w14:textId="77777777" w:rsidR="00AB5811" w:rsidRPr="00A776BC" w:rsidRDefault="00AB5811" w:rsidP="00AB5811">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a.  Management, having the authority to approve the action, commits to a plan of termination.</w:t>
      </w:r>
    </w:p>
    <w:p w14:paraId="34D60AB7" w14:textId="77777777" w:rsidR="00AB5811" w:rsidRPr="00A776BC" w:rsidRDefault="00AB5811" w:rsidP="00AB5811">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lastRenderedPageBreak/>
        <w:t>b.  The plan identifies the number of employees to be terminated, their job classifications or functions and their locations, and the expected completion date.</w:t>
      </w:r>
    </w:p>
    <w:p w14:paraId="1265E76C" w14:textId="77777777" w:rsidR="00AB5811" w:rsidRPr="00A776BC" w:rsidRDefault="00AB5811" w:rsidP="00AB5811">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c.  The plan establishes the terms of the benefit arrangement, including the benefits that employees will receive upon termination (including but not limited to cash payments), in sufficient detail to enable employees to determine the type and amount of benefits they will receive if they are involuntarily terminated.</w:t>
      </w:r>
    </w:p>
    <w:p w14:paraId="6A6BE503" w14:textId="77777777" w:rsidR="00AB5811" w:rsidRPr="00A776BC" w:rsidRDefault="00AB5811" w:rsidP="00AB5811">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d.  Actions required to complete the plan indicate that it is unlikely that significant changes to the plan will be made or that the plan will be withdrawn.”</w:t>
      </w:r>
    </w:p>
    <w:p w14:paraId="483D8892" w14:textId="77777777" w:rsidR="00AE623D" w:rsidRPr="00A776BC" w:rsidRDefault="00AB5811" w:rsidP="00D57225">
      <w:p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In the case that operations are ceased immediately, the restructuring expense and cash payments will coincide, and there is little need for estimation or judgement. </w:t>
      </w:r>
      <w:r w:rsidR="00AE623D" w:rsidRPr="00A776BC">
        <w:rPr>
          <w:rFonts w:ascii="Open Sans" w:hAnsi="Open Sans" w:cs="Open Sans"/>
          <w:sz w:val="20"/>
          <w:szCs w:val="20"/>
        </w:rPr>
        <w:t xml:space="preserve">There are more complex cases that do require judgement, for example: </w:t>
      </w:r>
    </w:p>
    <w:p w14:paraId="7BAD12C4" w14:textId="77777777" w:rsidR="00AE623D" w:rsidRPr="00A776BC" w:rsidRDefault="00AB5811" w:rsidP="00AE623D">
      <w:pPr>
        <w:pStyle w:val="ListParagraph"/>
        <w:numPr>
          <w:ilvl w:val="0"/>
          <w:numId w:val="14"/>
        </w:num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In the case where the company requires operations to continue for some period of time in the future, </w:t>
      </w:r>
      <w:r w:rsidR="00AE623D" w:rsidRPr="00A776BC">
        <w:rPr>
          <w:rFonts w:ascii="Open Sans" w:hAnsi="Open Sans" w:cs="Open Sans"/>
          <w:sz w:val="20"/>
          <w:szCs w:val="20"/>
        </w:rPr>
        <w:t>they may announce that the operations will be ceased on a future date, and employees still with the company on that date will receive a termination benefit. Employees who choose to leave the company in the interim period will not receive the termination benefit.</w:t>
      </w:r>
      <w:r w:rsidR="00416692" w:rsidRPr="00A776BC">
        <w:rPr>
          <w:rFonts w:ascii="Open Sans" w:hAnsi="Open Sans" w:cs="Open Sans"/>
          <w:sz w:val="20"/>
          <w:szCs w:val="20"/>
        </w:rPr>
        <w:t xml:space="preserve"> This event triggers the estimation of the fair value of the liability.</w:t>
      </w:r>
    </w:p>
    <w:p w14:paraId="39B5DF37" w14:textId="77777777" w:rsidR="00AE623D" w:rsidRPr="00A776BC" w:rsidRDefault="00AE623D" w:rsidP="00AE623D">
      <w:pPr>
        <w:pStyle w:val="ListParagraph"/>
        <w:numPr>
          <w:ilvl w:val="0"/>
          <w:numId w:val="14"/>
        </w:numPr>
        <w:spacing w:before="120" w:after="120" w:line="360" w:lineRule="auto"/>
        <w:jc w:val="both"/>
        <w:rPr>
          <w:rFonts w:ascii="Open Sans" w:hAnsi="Open Sans" w:cs="Open Sans"/>
          <w:sz w:val="20"/>
          <w:szCs w:val="20"/>
        </w:rPr>
      </w:pPr>
      <w:r w:rsidRPr="00A776BC">
        <w:rPr>
          <w:rFonts w:ascii="Open Sans" w:hAnsi="Open Sans" w:cs="Open Sans"/>
          <w:sz w:val="20"/>
          <w:szCs w:val="20"/>
        </w:rPr>
        <w:t>In addition, a firm may only require 50% of the workforce between the time of the announcement and the ceasing of operations. In this case, the firm may offer voluntary termination benefits to employees who are will to leave at the time of the announcement.</w:t>
      </w:r>
      <w:r w:rsidR="0004403A" w:rsidRPr="00A776BC">
        <w:rPr>
          <w:rFonts w:ascii="Open Sans" w:hAnsi="Open Sans" w:cs="Open Sans"/>
          <w:sz w:val="20"/>
          <w:szCs w:val="20"/>
        </w:rPr>
        <w:t xml:space="preserve"> This triggers a conditional liability as well as fair value estimates in some cases.</w:t>
      </w:r>
    </w:p>
    <w:p w14:paraId="11411E1F" w14:textId="77777777" w:rsidR="00C64EC4" w:rsidRPr="00A776BC" w:rsidRDefault="00416692" w:rsidP="00416692">
      <w:pPr>
        <w:spacing w:before="120" w:after="120" w:line="360" w:lineRule="auto"/>
        <w:jc w:val="both"/>
        <w:rPr>
          <w:rFonts w:ascii="Open Sans" w:hAnsi="Open Sans" w:cs="Open Sans"/>
          <w:sz w:val="20"/>
          <w:szCs w:val="20"/>
        </w:rPr>
      </w:pPr>
      <w:r w:rsidRPr="00A776BC">
        <w:rPr>
          <w:rFonts w:ascii="Open Sans" w:hAnsi="Open Sans" w:cs="Open Sans"/>
          <w:sz w:val="20"/>
          <w:szCs w:val="20"/>
        </w:rPr>
        <w:t>In the cases that require judgment, often the estimate involves considering how many individuals will be subject to the various termination benefits being offered by the firm. The accounting treatment is provided in the following two examples from ASC ¶420-10-55:</w:t>
      </w:r>
    </w:p>
    <w:p w14:paraId="0A2D3646" w14:textId="77777777" w:rsidR="00416692" w:rsidRPr="00A776BC" w:rsidRDefault="00416692" w:rsidP="00416692">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“Example 2: One-Time Employee Termination Benefits—Stay Bonus-Future Service Required</w:t>
      </w:r>
    </w:p>
    <w:p w14:paraId="0387D8F3" w14:textId="77777777" w:rsidR="00416692" w:rsidRPr="00A776BC" w:rsidRDefault="00416692" w:rsidP="00416692">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55-4     This Example assumes that an entity has a one-time benefit arrangement established by a plan of termination that meets the criteria in paragraph 420-10-25-4 and has been communicated to employees.</w:t>
      </w:r>
    </w:p>
    <w:p w14:paraId="0D9A9AA0" w14:textId="77777777" w:rsidR="00416692" w:rsidRPr="00A776BC" w:rsidRDefault="00416692" w:rsidP="00416692">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 xml:space="preserve">55-5     An entity plans to shut down a manufacturing facility in 16 months and, at that time, terminate all of the remaining employees at the facility. To induce employees to stay until the facility is shut down, the entity establishes a one-time stay bonus arrangement. Each employee that stays and renders service for the full 16-month period will receive as a termination benefit a cash payment of $10,000, which will be paid 6 months after the termination date. An employee that leaves voluntarily before the facility is shut down will not be entitled to receive any portion of the termination benefit. In accordance with paragraph 420-10-25-9, a liability for the termination benefits would be measured initially at the communication date and, in accordance with paragraph 420-10-30-6, based on the fair value of the liability as of the termination date and recognized ratably over the future service period. The fair value of the liability as of the termination date would be adjusted cumulatively for changes resulting from revisions to estimated </w:t>
      </w:r>
      <w:r w:rsidRPr="00A776BC">
        <w:rPr>
          <w:rFonts w:ascii="Open Sans" w:eastAsia="Calibri" w:hAnsi="Open Sans" w:cs="Open Sans"/>
          <w:sz w:val="18"/>
          <w:szCs w:val="18"/>
        </w:rPr>
        <w:lastRenderedPageBreak/>
        <w:t>cash flows over the future service period, measured using the credit-adjusted risk-free rate that was used to measure the liability initially (as illustrated in this Example).</w:t>
      </w:r>
    </w:p>
    <w:p w14:paraId="7F2AB660" w14:textId="77777777" w:rsidR="00416692" w:rsidRPr="00A776BC" w:rsidRDefault="00416692" w:rsidP="00416692">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55-6     The fair value of the liability as of the termination date is $962,240, estimated at the communication date using an expected present value technique. The expected cash flows of $1 million (to be paid 6 months after the termination date), which consider the likelihood that some employees will leave voluntarily before the facility is shut down, are discounted for 6 months at the credit-adjusted risk-free rate of 8 percent. In this case, a risk premium is not considered in the present value measurement. Because the amounts of the cash flows will be fixed and certain as of the termination date, marketplace participants would not demand a risk premium.</w:t>
      </w:r>
    </w:p>
    <w:p w14:paraId="24A3814E" w14:textId="77777777" w:rsidR="00416692" w:rsidRPr="00A776BC" w:rsidRDefault="00416692" w:rsidP="00416692">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55-7     Therefore, a liability of $60,140 would be recognized in each month during the future service period (16 months).</w:t>
      </w:r>
    </w:p>
    <w:p w14:paraId="2FA44DB3" w14:textId="77777777" w:rsidR="00416692" w:rsidRPr="00A776BC" w:rsidRDefault="00416692" w:rsidP="00416692">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55-8     After eight months, more employees than originally estimated leave voluntarily. The entity adjusts the fair value of the liability as of the termination date to $769,792 to reflect the revised expected cash flows of $800,000 (to be paid 6 months after the termination date), discounted for 6 months at the credit-adjusted risk-free rate that was used to measure the liability initially (8 percent). Based on that revised estimate, a liability (expense) of $48,112 would have been recognized in each month during the future service period. Thus, the liability recognized to date of $481,120 ($60,140 × 8) would be reduced to $384,896 ($48,112 × 8) to reflect the cumulative effect of that change (of $96,224). A liability of $48,112 would be recognized in each month during the remaining future service period (8 months). Accretion expense would be recognized after the termination date in accordance with the guidance beginning in paragraph 420-10-35-1 and in paragraph 420-10-45-5.</w:t>
      </w:r>
    </w:p>
    <w:p w14:paraId="4D45A6FD" w14:textId="77777777" w:rsidR="00C907F2" w:rsidRPr="00A776BC" w:rsidRDefault="00C907F2" w:rsidP="00416692">
      <w:pPr>
        <w:spacing w:before="120" w:after="120" w:line="240" w:lineRule="auto"/>
        <w:ind w:left="720" w:right="648"/>
        <w:jc w:val="both"/>
        <w:rPr>
          <w:rFonts w:ascii="Open Sans" w:eastAsia="Calibri" w:hAnsi="Open Sans" w:cs="Open Sans"/>
          <w:sz w:val="18"/>
          <w:szCs w:val="18"/>
        </w:rPr>
      </w:pPr>
    </w:p>
    <w:p w14:paraId="04242562" w14:textId="77777777" w:rsidR="00C64EC4" w:rsidRPr="00A776BC" w:rsidRDefault="00C64EC4" w:rsidP="00416692">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Example 3: One-Time Employee Termination Benefits—Voluntary and Involuntary Benefits Offered</w:t>
      </w:r>
    </w:p>
    <w:p w14:paraId="79BAE289" w14:textId="77777777" w:rsidR="00C64EC4" w:rsidRPr="00A776BC" w:rsidRDefault="00C64EC4" w:rsidP="00C64EC4">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55-9     This Example assumes that an entity has a one-time benefit arrangement established by a plan of termination that meets the criteria of paragraph 420-10-25-4 and has been communicated to employees.</w:t>
      </w:r>
    </w:p>
    <w:p w14:paraId="11919BFB" w14:textId="77777777" w:rsidR="00C64EC4" w:rsidRPr="00A776BC" w:rsidRDefault="00C64EC4" w:rsidP="00C64EC4">
      <w:pPr>
        <w:spacing w:before="120" w:after="120" w:line="240" w:lineRule="auto"/>
        <w:ind w:left="720" w:right="648"/>
        <w:jc w:val="both"/>
        <w:rPr>
          <w:rFonts w:ascii="Open Sans" w:eastAsia="Calibri" w:hAnsi="Open Sans" w:cs="Open Sans"/>
          <w:sz w:val="18"/>
          <w:szCs w:val="18"/>
        </w:rPr>
      </w:pPr>
      <w:r w:rsidRPr="00A776BC">
        <w:rPr>
          <w:rFonts w:ascii="Open Sans" w:eastAsia="Calibri" w:hAnsi="Open Sans" w:cs="Open Sans"/>
          <w:sz w:val="18"/>
          <w:szCs w:val="18"/>
        </w:rPr>
        <w:t>55-10     An entity initiates changes to streamline operations in a particular location and determines that, as a result, it no longer needs 100 of the employees that currently work in that location. The plan of termination provides for both voluntary and involuntary termination benefits (in the form of cash payments). Specifically, the entity offers each employee (up to 100 employees) that voluntarily terminates within 30 days a voluntary termination benefit of $10,000 to be paid at the separation date. Each employee that is involuntarily terminated thereafter (to reach the target of 100) will receive an involuntary termination benefit of $6,000 to be paid at the termination date. The entity expects all 100 employees to leave (voluntarily or involuntarily) within the minimum retention period. In accordance with paragraphs 420-10-25-6 through 25-8, a liability for the involuntary termination benefit (of $6,000 per employee) would be recognized at the communication date and, in accordance with paragraphs 420-10-30-4 through 30-6, measured at its fair value. In this case, because of the short discount period, $600,000 may not be materially different from the fair value of the liability at the communication date. As noted in paragraph 420-10-25-10, a liability for the incremental voluntary termination benefit (of $4,000 per employee) would be recognized in accordance with paragraph 712-10-25-1 through 25-3 (that is, when employees accept the offer).</w:t>
      </w:r>
      <w:r w:rsidR="00416692" w:rsidRPr="00A776BC">
        <w:rPr>
          <w:rFonts w:ascii="Open Sans" w:eastAsia="Calibri" w:hAnsi="Open Sans" w:cs="Open Sans"/>
          <w:sz w:val="18"/>
          <w:szCs w:val="18"/>
        </w:rPr>
        <w:t>”</w:t>
      </w:r>
    </w:p>
    <w:p w14:paraId="1A19A98D" w14:textId="411E9162" w:rsidR="00F73E77" w:rsidRPr="00A776BC" w:rsidRDefault="00866991" w:rsidP="00866991">
      <w:pPr>
        <w:spacing w:before="120" w:after="120" w:line="360" w:lineRule="auto"/>
        <w:jc w:val="both"/>
        <w:rPr>
          <w:rFonts w:ascii="Open Sans" w:hAnsi="Open Sans" w:cs="Open Sans"/>
          <w:sz w:val="20"/>
          <w:szCs w:val="20"/>
        </w:rPr>
      </w:pPr>
      <w:r w:rsidRPr="00A776BC">
        <w:rPr>
          <w:rFonts w:ascii="Open Sans" w:hAnsi="Open Sans" w:cs="Open Sans"/>
          <w:b/>
          <w:i/>
          <w:color w:val="33006F"/>
          <w:sz w:val="20"/>
          <w:szCs w:val="20"/>
        </w:rPr>
        <w:t xml:space="preserve">Accounting </w:t>
      </w:r>
      <w:r w:rsidR="00C907F2" w:rsidRPr="00A776BC">
        <w:rPr>
          <w:rFonts w:ascii="Open Sans" w:hAnsi="Open Sans" w:cs="Open Sans"/>
          <w:b/>
          <w:i/>
          <w:color w:val="33006F"/>
          <w:sz w:val="20"/>
          <w:szCs w:val="20"/>
        </w:rPr>
        <w:t>and corporate actions</w:t>
      </w:r>
      <w:r w:rsidRPr="00A776BC">
        <w:rPr>
          <w:rFonts w:ascii="Open Sans" w:hAnsi="Open Sans" w:cs="Open Sans"/>
          <w:b/>
          <w:i/>
          <w:color w:val="33006F"/>
          <w:sz w:val="20"/>
          <w:szCs w:val="20"/>
        </w:rPr>
        <w:t>:</w:t>
      </w:r>
      <w:r w:rsidRPr="00A776BC">
        <w:rPr>
          <w:rFonts w:ascii="Open Sans" w:hAnsi="Open Sans" w:cs="Open Sans"/>
          <w:sz w:val="20"/>
          <w:szCs w:val="20"/>
        </w:rPr>
        <w:t xml:space="preserve"> </w:t>
      </w:r>
      <w:r w:rsidR="00416692" w:rsidRPr="00A776BC">
        <w:rPr>
          <w:rFonts w:ascii="Open Sans" w:hAnsi="Open Sans" w:cs="Open Sans"/>
          <w:sz w:val="20"/>
          <w:szCs w:val="20"/>
        </w:rPr>
        <w:t xml:space="preserve">The </w:t>
      </w:r>
      <w:r w:rsidR="00C907F2" w:rsidRPr="00A776BC">
        <w:rPr>
          <w:rFonts w:ascii="Open Sans" w:hAnsi="Open Sans" w:cs="Open Sans"/>
          <w:sz w:val="20"/>
          <w:szCs w:val="20"/>
        </w:rPr>
        <w:t xml:space="preserve">accounting for restructuring costs could induce managerial overestimation of the costs relating to the restructure. For example, Al Dunlap </w:t>
      </w:r>
      <w:r w:rsidR="00A31D30">
        <w:rPr>
          <w:rFonts w:ascii="Open Sans" w:hAnsi="Open Sans" w:cs="Open Sans"/>
          <w:sz w:val="20"/>
          <w:szCs w:val="20"/>
        </w:rPr>
        <w:t xml:space="preserve">of Sunbeam </w:t>
      </w:r>
      <w:r w:rsidR="00C907F2" w:rsidRPr="00A776BC">
        <w:rPr>
          <w:rFonts w:ascii="Open Sans" w:hAnsi="Open Sans" w:cs="Open Sans"/>
          <w:sz w:val="20"/>
          <w:szCs w:val="20"/>
        </w:rPr>
        <w:t xml:space="preserve">was criticized for using the flexibility in accounting judgment to overestimate the restructuring costs significantly and reverse the liability in future years (an extreme case of the overestimation in ASC ¶420-10-55-8 above). In cases where </w:t>
      </w:r>
      <w:r w:rsidR="00C907F2" w:rsidRPr="00A776BC">
        <w:rPr>
          <w:rFonts w:ascii="Open Sans" w:hAnsi="Open Sans" w:cs="Open Sans"/>
          <w:sz w:val="20"/>
          <w:szCs w:val="20"/>
        </w:rPr>
        <w:lastRenderedPageBreak/>
        <w:t xml:space="preserve">the goal is to shift the expense to the future, however, it is not that easy, as many underestimates could result in SEC comment letters or restatements. With limited flexibility in accounting measurement, managers may alter corporate actions to achieve a desired earnings outcome. Often this behavior is labeled “real activities” management. In terms of a restructuring, management may consider selectively </w:t>
      </w:r>
      <w:r w:rsidR="00575D46" w:rsidRPr="00A776BC">
        <w:rPr>
          <w:rFonts w:ascii="Open Sans" w:hAnsi="Open Sans" w:cs="Open Sans"/>
          <w:sz w:val="20"/>
          <w:szCs w:val="20"/>
        </w:rPr>
        <w:t>targeting individuals for redundancy.</w:t>
      </w:r>
    </w:p>
    <w:p w14:paraId="658A56FE" w14:textId="77777777" w:rsidR="00EA3205" w:rsidRPr="00A776BC" w:rsidRDefault="00EA3205" w:rsidP="00EA3205">
      <w:pPr>
        <w:pStyle w:val="Heading1"/>
        <w:rPr>
          <w:rFonts w:ascii="Open Sans" w:hAnsi="Open Sans" w:cs="Open Sans"/>
          <w:smallCaps/>
          <w:color w:val="33006F"/>
          <w:sz w:val="26"/>
          <w:szCs w:val="26"/>
        </w:rPr>
      </w:pPr>
      <w:bookmarkStart w:id="5" w:name="_Toc52021863"/>
      <w:r w:rsidRPr="00A776BC">
        <w:rPr>
          <w:rFonts w:ascii="Open Sans" w:hAnsi="Open Sans" w:cs="Open Sans"/>
          <w:smallCaps/>
          <w:color w:val="33006F"/>
          <w:sz w:val="26"/>
          <w:szCs w:val="26"/>
        </w:rPr>
        <w:t>Business Analytics</w:t>
      </w:r>
      <w:bookmarkEnd w:id="5"/>
    </w:p>
    <w:p w14:paraId="07384723" w14:textId="77777777" w:rsidR="005D0ACD" w:rsidRPr="00A776BC" w:rsidRDefault="005D0ACD" w:rsidP="005D0ACD">
      <w:pPr>
        <w:pStyle w:val="Heading2"/>
        <w:rPr>
          <w:rFonts w:ascii="Open Sans" w:hAnsi="Open Sans" w:cs="Open Sans"/>
          <w:i/>
          <w:color w:val="33006F"/>
          <w:sz w:val="24"/>
          <w:szCs w:val="24"/>
        </w:rPr>
      </w:pPr>
      <w:bookmarkStart w:id="6" w:name="_Toc52021864"/>
      <w:r w:rsidRPr="00A776BC">
        <w:rPr>
          <w:rFonts w:ascii="Open Sans" w:hAnsi="Open Sans" w:cs="Open Sans"/>
          <w:i/>
          <w:color w:val="33006F"/>
          <w:sz w:val="24"/>
          <w:szCs w:val="24"/>
        </w:rPr>
        <w:t>“Big data”</w:t>
      </w:r>
      <w:bookmarkEnd w:id="6"/>
    </w:p>
    <w:p w14:paraId="150DBCAB" w14:textId="77777777" w:rsidR="00A2582E" w:rsidRPr="00A776BC" w:rsidRDefault="005D0ACD" w:rsidP="005D0ACD">
      <w:p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Attention to the uses of “big data” for business applications has increased dramatically over the past years. Big data is often defined in terms of the four V’s: </w:t>
      </w:r>
      <w:r w:rsidRPr="00A776BC">
        <w:rPr>
          <w:rFonts w:ascii="Open Sans" w:hAnsi="Open Sans" w:cs="Open Sans"/>
          <w:b/>
          <w:i/>
          <w:color w:val="33006F"/>
          <w:sz w:val="20"/>
          <w:szCs w:val="20"/>
        </w:rPr>
        <w:t>Volume</w:t>
      </w:r>
      <w:r w:rsidRPr="00A776BC">
        <w:rPr>
          <w:rFonts w:ascii="Open Sans" w:hAnsi="Open Sans" w:cs="Open Sans"/>
          <w:sz w:val="20"/>
          <w:szCs w:val="20"/>
        </w:rPr>
        <w:t xml:space="preserve">: </w:t>
      </w:r>
      <w:r w:rsidR="00A2582E" w:rsidRPr="00A776BC">
        <w:rPr>
          <w:rFonts w:ascii="Open Sans" w:hAnsi="Open Sans" w:cs="Open Sans"/>
          <w:sz w:val="20"/>
          <w:szCs w:val="20"/>
        </w:rPr>
        <w:t xml:space="preserve">the amount of data that can now be processed is in </w:t>
      </w:r>
      <w:r w:rsidRPr="00A776BC">
        <w:rPr>
          <w:rFonts w:ascii="Open Sans" w:hAnsi="Open Sans" w:cs="Open Sans"/>
          <w:sz w:val="20"/>
          <w:szCs w:val="20"/>
        </w:rPr>
        <w:t>terabytes, petabytes, zettabytes v</w:t>
      </w:r>
      <w:r w:rsidR="00A2582E" w:rsidRPr="00A776BC">
        <w:rPr>
          <w:rFonts w:ascii="Open Sans" w:hAnsi="Open Sans" w:cs="Open Sans"/>
          <w:sz w:val="20"/>
          <w:szCs w:val="20"/>
        </w:rPr>
        <w:t>ersus</w:t>
      </w:r>
      <w:r w:rsidRPr="00A776BC">
        <w:rPr>
          <w:rFonts w:ascii="Open Sans" w:hAnsi="Open Sans" w:cs="Open Sans"/>
          <w:sz w:val="20"/>
          <w:szCs w:val="20"/>
        </w:rPr>
        <w:t xml:space="preserve"> megabytes</w:t>
      </w:r>
      <w:r w:rsidR="00A2582E" w:rsidRPr="00A776BC">
        <w:rPr>
          <w:rFonts w:ascii="Open Sans" w:hAnsi="Open Sans" w:cs="Open Sans"/>
          <w:sz w:val="20"/>
          <w:szCs w:val="20"/>
        </w:rPr>
        <w:t xml:space="preserve"> and </w:t>
      </w:r>
      <w:r w:rsidRPr="00A776BC">
        <w:rPr>
          <w:rFonts w:ascii="Open Sans" w:hAnsi="Open Sans" w:cs="Open Sans"/>
          <w:sz w:val="20"/>
          <w:szCs w:val="20"/>
        </w:rPr>
        <w:t>gigabytes</w:t>
      </w:r>
      <w:r w:rsidR="00A2582E" w:rsidRPr="00A776BC">
        <w:rPr>
          <w:rFonts w:ascii="Open Sans" w:hAnsi="Open Sans" w:cs="Open Sans"/>
          <w:sz w:val="20"/>
          <w:szCs w:val="20"/>
        </w:rPr>
        <w:t xml:space="preserve"> in the recent past</w:t>
      </w:r>
      <w:r w:rsidRPr="00A776BC">
        <w:rPr>
          <w:rFonts w:ascii="Open Sans" w:hAnsi="Open Sans" w:cs="Open Sans"/>
          <w:sz w:val="20"/>
          <w:szCs w:val="20"/>
        </w:rPr>
        <w:t xml:space="preserve">. </w:t>
      </w:r>
      <w:r w:rsidRPr="00A776BC">
        <w:rPr>
          <w:rFonts w:ascii="Open Sans" w:hAnsi="Open Sans" w:cs="Open Sans"/>
          <w:b/>
          <w:i/>
          <w:color w:val="33006F"/>
          <w:sz w:val="20"/>
          <w:szCs w:val="20"/>
        </w:rPr>
        <w:t>Variety</w:t>
      </w:r>
      <w:r w:rsidRPr="00A776BC">
        <w:rPr>
          <w:rFonts w:ascii="Open Sans" w:hAnsi="Open Sans" w:cs="Open Sans"/>
          <w:sz w:val="20"/>
          <w:szCs w:val="20"/>
        </w:rPr>
        <w:t xml:space="preserve">: </w:t>
      </w:r>
      <w:r w:rsidR="00A2582E" w:rsidRPr="00A776BC">
        <w:rPr>
          <w:rFonts w:ascii="Open Sans" w:hAnsi="Open Sans" w:cs="Open Sans"/>
          <w:sz w:val="20"/>
          <w:szCs w:val="20"/>
        </w:rPr>
        <w:t xml:space="preserve">new forms of data are now being processed typically referred to as </w:t>
      </w:r>
      <w:r w:rsidRPr="00A776BC">
        <w:rPr>
          <w:rFonts w:ascii="Open Sans" w:hAnsi="Open Sans" w:cs="Open Sans"/>
          <w:sz w:val="20"/>
          <w:szCs w:val="20"/>
        </w:rPr>
        <w:t>unstructured (text, voice, video) v</w:t>
      </w:r>
      <w:r w:rsidR="00A2582E" w:rsidRPr="00A776BC">
        <w:rPr>
          <w:rFonts w:ascii="Open Sans" w:hAnsi="Open Sans" w:cs="Open Sans"/>
          <w:sz w:val="20"/>
          <w:szCs w:val="20"/>
        </w:rPr>
        <w:t xml:space="preserve">ersus the reliance on a </w:t>
      </w:r>
      <w:r w:rsidRPr="00A776BC">
        <w:rPr>
          <w:rFonts w:ascii="Open Sans" w:hAnsi="Open Sans" w:cs="Open Sans"/>
          <w:sz w:val="20"/>
          <w:szCs w:val="20"/>
        </w:rPr>
        <w:t>structured</w:t>
      </w:r>
      <w:r w:rsidR="00A2582E" w:rsidRPr="00A776BC">
        <w:rPr>
          <w:rFonts w:ascii="Open Sans" w:hAnsi="Open Sans" w:cs="Open Sans"/>
          <w:sz w:val="20"/>
          <w:szCs w:val="20"/>
        </w:rPr>
        <w:t xml:space="preserve"> form like a </w:t>
      </w:r>
      <w:r w:rsidRPr="00A776BC">
        <w:rPr>
          <w:rFonts w:ascii="Open Sans" w:hAnsi="Open Sans" w:cs="Open Sans"/>
          <w:sz w:val="20"/>
          <w:szCs w:val="20"/>
        </w:rPr>
        <w:t>relational</w:t>
      </w:r>
      <w:r w:rsidR="00A2582E" w:rsidRPr="00A776BC">
        <w:rPr>
          <w:rFonts w:ascii="Open Sans" w:hAnsi="Open Sans" w:cs="Open Sans"/>
          <w:sz w:val="20"/>
          <w:szCs w:val="20"/>
        </w:rPr>
        <w:t xml:space="preserve"> database</w:t>
      </w:r>
      <w:r w:rsidRPr="00A776BC">
        <w:rPr>
          <w:rFonts w:ascii="Open Sans" w:hAnsi="Open Sans" w:cs="Open Sans"/>
          <w:sz w:val="20"/>
          <w:szCs w:val="20"/>
        </w:rPr>
        <w:t xml:space="preserve">. </w:t>
      </w:r>
      <w:r w:rsidRPr="00A776BC">
        <w:rPr>
          <w:rFonts w:ascii="Open Sans" w:hAnsi="Open Sans" w:cs="Open Sans"/>
          <w:b/>
          <w:i/>
          <w:color w:val="33006F"/>
          <w:sz w:val="20"/>
          <w:szCs w:val="20"/>
        </w:rPr>
        <w:t>Velocity</w:t>
      </w:r>
      <w:r w:rsidRPr="00A776BC">
        <w:rPr>
          <w:rFonts w:ascii="Open Sans" w:hAnsi="Open Sans" w:cs="Open Sans"/>
          <w:sz w:val="20"/>
          <w:szCs w:val="20"/>
        </w:rPr>
        <w:t xml:space="preserve">: </w:t>
      </w:r>
      <w:r w:rsidR="00A2582E" w:rsidRPr="00A776BC">
        <w:rPr>
          <w:rFonts w:ascii="Open Sans" w:hAnsi="Open Sans" w:cs="Open Sans"/>
          <w:sz w:val="20"/>
          <w:szCs w:val="20"/>
        </w:rPr>
        <w:t xml:space="preserve">the speed at which data is being created due to </w:t>
      </w:r>
      <w:r w:rsidRPr="00A776BC">
        <w:rPr>
          <w:rFonts w:ascii="Open Sans" w:hAnsi="Open Sans" w:cs="Open Sans"/>
          <w:sz w:val="20"/>
          <w:szCs w:val="20"/>
        </w:rPr>
        <w:t xml:space="preserve">streaming </w:t>
      </w:r>
      <w:r w:rsidR="00A2582E" w:rsidRPr="00A776BC">
        <w:rPr>
          <w:rFonts w:ascii="Open Sans" w:hAnsi="Open Sans" w:cs="Open Sans"/>
          <w:sz w:val="20"/>
          <w:szCs w:val="20"/>
        </w:rPr>
        <w:t xml:space="preserve">sources </w:t>
      </w:r>
      <w:r w:rsidRPr="00A776BC">
        <w:rPr>
          <w:rFonts w:ascii="Open Sans" w:hAnsi="Open Sans" w:cs="Open Sans"/>
          <w:sz w:val="20"/>
          <w:szCs w:val="20"/>
        </w:rPr>
        <w:t>v</w:t>
      </w:r>
      <w:r w:rsidR="00A2582E" w:rsidRPr="00A776BC">
        <w:rPr>
          <w:rFonts w:ascii="Open Sans" w:hAnsi="Open Sans" w:cs="Open Sans"/>
          <w:sz w:val="20"/>
          <w:szCs w:val="20"/>
        </w:rPr>
        <w:t xml:space="preserve">ersus a more </w:t>
      </w:r>
      <w:r w:rsidRPr="00A776BC">
        <w:rPr>
          <w:rFonts w:ascii="Open Sans" w:hAnsi="Open Sans" w:cs="Open Sans"/>
          <w:sz w:val="20"/>
          <w:szCs w:val="20"/>
        </w:rPr>
        <w:t>static data</w:t>
      </w:r>
      <w:r w:rsidR="00A2582E" w:rsidRPr="00A776BC">
        <w:rPr>
          <w:rFonts w:ascii="Open Sans" w:hAnsi="Open Sans" w:cs="Open Sans"/>
          <w:sz w:val="20"/>
          <w:szCs w:val="20"/>
        </w:rPr>
        <w:t xml:space="preserve"> environment in the recent past</w:t>
      </w:r>
      <w:r w:rsidRPr="00A776BC">
        <w:rPr>
          <w:rFonts w:ascii="Open Sans" w:hAnsi="Open Sans" w:cs="Open Sans"/>
          <w:sz w:val="20"/>
          <w:szCs w:val="20"/>
        </w:rPr>
        <w:t xml:space="preserve">. </w:t>
      </w:r>
      <w:r w:rsidRPr="00A776BC">
        <w:rPr>
          <w:rFonts w:ascii="Open Sans" w:hAnsi="Open Sans" w:cs="Open Sans"/>
          <w:b/>
          <w:i/>
          <w:color w:val="33006F"/>
          <w:sz w:val="20"/>
          <w:szCs w:val="20"/>
        </w:rPr>
        <w:t>Veracity</w:t>
      </w:r>
      <w:r w:rsidRPr="00A776BC">
        <w:rPr>
          <w:rFonts w:ascii="Open Sans" w:hAnsi="Open Sans" w:cs="Open Sans"/>
          <w:sz w:val="20"/>
          <w:szCs w:val="20"/>
        </w:rPr>
        <w:t xml:space="preserve">: </w:t>
      </w:r>
      <w:r w:rsidR="00A2582E" w:rsidRPr="00A776BC">
        <w:rPr>
          <w:rFonts w:ascii="Open Sans" w:hAnsi="Open Sans" w:cs="Open Sans"/>
          <w:sz w:val="20"/>
          <w:szCs w:val="20"/>
        </w:rPr>
        <w:t xml:space="preserve">data is often more </w:t>
      </w:r>
      <w:r w:rsidRPr="00A776BC">
        <w:rPr>
          <w:rFonts w:ascii="Open Sans" w:hAnsi="Open Sans" w:cs="Open Sans"/>
          <w:sz w:val="20"/>
          <w:szCs w:val="20"/>
        </w:rPr>
        <w:t>untrusted</w:t>
      </w:r>
      <w:r w:rsidR="00A2582E" w:rsidRPr="00A776BC">
        <w:rPr>
          <w:rFonts w:ascii="Open Sans" w:hAnsi="Open Sans" w:cs="Open Sans"/>
          <w:sz w:val="20"/>
          <w:szCs w:val="20"/>
        </w:rPr>
        <w:t xml:space="preserve"> and </w:t>
      </w:r>
      <w:r w:rsidRPr="00A776BC">
        <w:rPr>
          <w:rFonts w:ascii="Open Sans" w:hAnsi="Open Sans" w:cs="Open Sans"/>
          <w:sz w:val="20"/>
          <w:szCs w:val="20"/>
        </w:rPr>
        <w:t>unclean v</w:t>
      </w:r>
      <w:r w:rsidR="00A2582E" w:rsidRPr="00A776BC">
        <w:rPr>
          <w:rFonts w:ascii="Open Sans" w:hAnsi="Open Sans" w:cs="Open Sans"/>
          <w:sz w:val="20"/>
          <w:szCs w:val="20"/>
        </w:rPr>
        <w:t xml:space="preserve">ersus the </w:t>
      </w:r>
      <w:r w:rsidRPr="00A776BC">
        <w:rPr>
          <w:rFonts w:ascii="Open Sans" w:hAnsi="Open Sans" w:cs="Open Sans"/>
          <w:sz w:val="20"/>
          <w:szCs w:val="20"/>
        </w:rPr>
        <w:t>trusted</w:t>
      </w:r>
      <w:r w:rsidR="00A2582E" w:rsidRPr="00A776BC">
        <w:rPr>
          <w:rFonts w:ascii="Open Sans" w:hAnsi="Open Sans" w:cs="Open Sans"/>
          <w:sz w:val="20"/>
          <w:szCs w:val="20"/>
        </w:rPr>
        <w:t xml:space="preserve"> and </w:t>
      </w:r>
      <w:r w:rsidRPr="00A776BC">
        <w:rPr>
          <w:rFonts w:ascii="Open Sans" w:hAnsi="Open Sans" w:cs="Open Sans"/>
          <w:sz w:val="20"/>
          <w:szCs w:val="20"/>
        </w:rPr>
        <w:t>cleansed</w:t>
      </w:r>
      <w:r w:rsidR="00A2582E" w:rsidRPr="00A776BC">
        <w:rPr>
          <w:rFonts w:ascii="Open Sans" w:hAnsi="Open Sans" w:cs="Open Sans"/>
          <w:sz w:val="20"/>
          <w:szCs w:val="20"/>
        </w:rPr>
        <w:t xml:space="preserve"> datasets created in the past</w:t>
      </w:r>
      <w:r w:rsidRPr="00A776BC">
        <w:rPr>
          <w:rFonts w:ascii="Open Sans" w:hAnsi="Open Sans" w:cs="Open Sans"/>
          <w:sz w:val="20"/>
          <w:szCs w:val="20"/>
        </w:rPr>
        <w:t xml:space="preserve">. </w:t>
      </w:r>
      <w:r w:rsidR="00A2582E" w:rsidRPr="00A776BC">
        <w:rPr>
          <w:rFonts w:ascii="Open Sans" w:hAnsi="Open Sans" w:cs="Open Sans"/>
          <w:sz w:val="20"/>
          <w:szCs w:val="20"/>
        </w:rPr>
        <w:t xml:space="preserve">The IT research firm Gartner Inc., describes big data as “information assets that demand cost-effective, innovative forms of information processing that enable enhanced decision making and process automation.” </w:t>
      </w:r>
    </w:p>
    <w:p w14:paraId="4B0BB361" w14:textId="77777777" w:rsidR="005D0ACD" w:rsidRPr="00A776BC" w:rsidRDefault="000027F0" w:rsidP="005D0ACD">
      <w:p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The most well-known business applications of big data are often centered </w:t>
      </w:r>
      <w:r w:rsidR="00A2582E" w:rsidRPr="00A776BC">
        <w:rPr>
          <w:rFonts w:ascii="Open Sans" w:hAnsi="Open Sans" w:cs="Open Sans"/>
          <w:sz w:val="20"/>
          <w:szCs w:val="20"/>
        </w:rPr>
        <w:t>on</w:t>
      </w:r>
      <w:r w:rsidRPr="00A776BC">
        <w:rPr>
          <w:rFonts w:ascii="Open Sans" w:hAnsi="Open Sans" w:cs="Open Sans"/>
          <w:sz w:val="20"/>
          <w:szCs w:val="20"/>
        </w:rPr>
        <w:t xml:space="preserve"> customers (such as the customer suggestion engines used by Netflix Google and Amazon, and the data-driven targeted advertising by Facebook and Target). But big data can be used in many other environments. For example, Deloitte reports that 79% of respondents to a survey in the US stated that predictive models for HR are important or very important</w:t>
      </w:r>
      <w:r w:rsidR="00A2582E" w:rsidRPr="00A776BC">
        <w:rPr>
          <w:rFonts w:ascii="Open Sans" w:hAnsi="Open Sans" w:cs="Open Sans"/>
          <w:sz w:val="20"/>
          <w:szCs w:val="20"/>
        </w:rPr>
        <w:t xml:space="preserve">, with similar responses from executives in other countries </w:t>
      </w:r>
      <w:r w:rsidR="00A2582E" w:rsidRPr="00A776BC">
        <w:rPr>
          <w:rFonts w:ascii="Open Sans" w:hAnsi="Open Sans" w:cs="Open Sans"/>
          <w:sz w:val="20"/>
          <w:szCs w:val="20"/>
        </w:rPr>
        <w:fldChar w:fldCharType="begin"/>
      </w:r>
      <w:r w:rsidR="0018655E" w:rsidRPr="00A776BC">
        <w:rPr>
          <w:rFonts w:ascii="Open Sans" w:hAnsi="Open Sans" w:cs="Open Sans"/>
          <w:sz w:val="20"/>
          <w:szCs w:val="20"/>
        </w:rPr>
        <w:instrText xml:space="preserve"> ADDIN EN.CITE &lt;EndNote&gt;&lt;Cite&gt;&lt;Author&gt;Deloitte&lt;/Author&gt;&lt;Year&gt;2016&lt;/Year&gt;&lt;RecNum&gt;398&lt;/RecNum&gt;&lt;DisplayText&gt;(Deloitte 2016)&lt;/DisplayText&gt;&lt;record&gt;&lt;rec-number&gt;398&lt;/rec-number&gt;&lt;foreign-keys&gt;&lt;key app="EN" db-id="5wddtwtdltavvheer5vvrda5pftspd2zre9e" timestamp="1488058283"&gt;398&lt;/key&gt;&lt;/foreign-keys&gt;&lt;ref-type name="Generic"&gt;13&lt;/ref-type&gt;&lt;contributors&gt;&lt;authors&gt;&lt;author&gt;Deloitte&lt;/author&gt;&lt;/authors&gt;&lt;/contributors&gt;&lt;titles&gt;&lt;title&gt;Global Human Capital Trends 2016: The new organization: Different by design&lt;/title&gt;&lt;/titles&gt;&lt;dates&gt;&lt;year&gt;2016&lt;/year&gt;&lt;/dates&gt;&lt;publisher&gt;Deloitte University Press&lt;/publisher&gt;&lt;urls&gt;&lt;/urls&gt;&lt;/record&gt;&lt;/Cite&gt;&lt;/EndNote&gt;</w:instrText>
      </w:r>
      <w:r w:rsidR="00A2582E" w:rsidRPr="00A776BC">
        <w:rPr>
          <w:rFonts w:ascii="Open Sans" w:hAnsi="Open Sans" w:cs="Open Sans"/>
          <w:sz w:val="20"/>
          <w:szCs w:val="20"/>
        </w:rPr>
        <w:fldChar w:fldCharType="separate"/>
      </w:r>
      <w:r w:rsidR="00A2582E" w:rsidRPr="00A776BC">
        <w:rPr>
          <w:rFonts w:ascii="Open Sans" w:hAnsi="Open Sans" w:cs="Open Sans"/>
          <w:noProof/>
          <w:sz w:val="20"/>
          <w:szCs w:val="20"/>
        </w:rPr>
        <w:t>(Deloitte 2016)</w:t>
      </w:r>
      <w:r w:rsidR="00A2582E" w:rsidRPr="00A776BC">
        <w:rPr>
          <w:rFonts w:ascii="Open Sans" w:hAnsi="Open Sans" w:cs="Open Sans"/>
          <w:sz w:val="20"/>
          <w:szCs w:val="20"/>
        </w:rPr>
        <w:fldChar w:fldCharType="end"/>
      </w:r>
      <w:r w:rsidRPr="00A776BC">
        <w:rPr>
          <w:rFonts w:ascii="Open Sans" w:hAnsi="Open Sans" w:cs="Open Sans"/>
          <w:sz w:val="20"/>
          <w:szCs w:val="20"/>
        </w:rPr>
        <w:t>.</w:t>
      </w:r>
    </w:p>
    <w:p w14:paraId="1AED601D" w14:textId="77777777" w:rsidR="00A87312" w:rsidRPr="00A776BC" w:rsidRDefault="00A2582E" w:rsidP="00A87312">
      <w:pPr>
        <w:pStyle w:val="Heading2"/>
        <w:rPr>
          <w:rFonts w:ascii="Open Sans" w:hAnsi="Open Sans" w:cs="Open Sans"/>
          <w:i/>
          <w:color w:val="33006F"/>
          <w:sz w:val="24"/>
          <w:szCs w:val="24"/>
        </w:rPr>
      </w:pPr>
      <w:bookmarkStart w:id="7" w:name="_Toc52021865"/>
      <w:r w:rsidRPr="00A776BC">
        <w:rPr>
          <w:rFonts w:ascii="Open Sans" w:hAnsi="Open Sans" w:cs="Open Sans"/>
          <w:i/>
          <w:color w:val="33006F"/>
          <w:sz w:val="24"/>
          <w:szCs w:val="24"/>
        </w:rPr>
        <w:t>Predictive analytics for HR purposes</w:t>
      </w:r>
      <w:bookmarkEnd w:id="7"/>
    </w:p>
    <w:p w14:paraId="1F8D0424" w14:textId="67A3BD6C" w:rsidR="002C28D3" w:rsidRPr="00A776BC" w:rsidRDefault="00C64EC4" w:rsidP="009C40AB">
      <w:pPr>
        <w:spacing w:before="120" w:after="120" w:line="360" w:lineRule="auto"/>
        <w:jc w:val="both"/>
        <w:rPr>
          <w:rFonts w:ascii="Open Sans" w:hAnsi="Open Sans" w:cs="Open Sans"/>
          <w:sz w:val="20"/>
          <w:szCs w:val="20"/>
        </w:rPr>
      </w:pPr>
      <w:r w:rsidRPr="00A776BC">
        <w:rPr>
          <w:rFonts w:ascii="Open Sans" w:hAnsi="Open Sans" w:cs="Open Sans"/>
          <w:b/>
          <w:i/>
          <w:color w:val="33006F"/>
          <w:sz w:val="20"/>
          <w:szCs w:val="20"/>
        </w:rPr>
        <w:t>People analytics</w:t>
      </w:r>
      <w:r w:rsidR="00987CB7" w:rsidRPr="00A776BC">
        <w:rPr>
          <w:rFonts w:ascii="Open Sans" w:hAnsi="Open Sans" w:cs="Open Sans"/>
          <w:b/>
          <w:i/>
          <w:color w:val="33006F"/>
          <w:sz w:val="20"/>
          <w:szCs w:val="20"/>
        </w:rPr>
        <w:t xml:space="preserve">: </w:t>
      </w:r>
      <w:r w:rsidRPr="00A776BC">
        <w:rPr>
          <w:rFonts w:ascii="Open Sans" w:hAnsi="Open Sans" w:cs="Open Sans"/>
          <w:sz w:val="20"/>
          <w:szCs w:val="20"/>
        </w:rPr>
        <w:t xml:space="preserve">is the analysis of individual-level HR and other business data </w:t>
      </w:r>
      <w:r w:rsidR="00A776BC" w:rsidRPr="00A776BC">
        <w:rPr>
          <w:rFonts w:ascii="Open Sans" w:hAnsi="Open Sans" w:cs="Open Sans"/>
          <w:sz w:val="20"/>
          <w:szCs w:val="20"/>
        </w:rPr>
        <w:t>to</w:t>
      </w:r>
      <w:r w:rsidRPr="00A776BC">
        <w:rPr>
          <w:rFonts w:ascii="Open Sans" w:hAnsi="Open Sans" w:cs="Open Sans"/>
          <w:sz w:val="20"/>
          <w:szCs w:val="20"/>
        </w:rPr>
        <w:t xml:space="preserve"> predict uncertain behavior, such as the probability of an individual employee leaving the firm. </w:t>
      </w:r>
      <w:r w:rsidR="00FD1278" w:rsidRPr="00A776BC">
        <w:rPr>
          <w:rFonts w:ascii="Open Sans" w:hAnsi="Open Sans" w:cs="Open Sans"/>
          <w:sz w:val="20"/>
          <w:szCs w:val="20"/>
        </w:rPr>
        <w:t xml:space="preserve">In particular, Hewlett Packard and Best Buy have used people analytics to minimize employee turnover. There are fewer reports of companies using analytics to </w:t>
      </w:r>
      <w:r w:rsidR="002C28D3" w:rsidRPr="00A776BC">
        <w:rPr>
          <w:rFonts w:ascii="Open Sans" w:hAnsi="Open Sans" w:cs="Open Sans"/>
          <w:sz w:val="20"/>
          <w:szCs w:val="20"/>
        </w:rPr>
        <w:t xml:space="preserve">identify who to fire. It is no secret, however, that managers will often take a subjective approach to determining who to fire. </w:t>
      </w:r>
      <w:r w:rsidR="00FD1278" w:rsidRPr="00A776BC">
        <w:rPr>
          <w:rFonts w:ascii="Open Sans" w:hAnsi="Open Sans" w:cs="Open Sans"/>
          <w:sz w:val="20"/>
          <w:szCs w:val="20"/>
        </w:rPr>
        <w:t xml:space="preserve">Eric Siegel, author of Predictive Analytics </w:t>
      </w:r>
      <w:r w:rsidR="002C28D3" w:rsidRPr="00A776BC">
        <w:rPr>
          <w:rFonts w:ascii="Open Sans" w:hAnsi="Open Sans" w:cs="Open Sans"/>
          <w:sz w:val="20"/>
          <w:szCs w:val="20"/>
        </w:rPr>
        <w:t>states that “</w:t>
      </w:r>
      <w:r w:rsidR="00FD1278" w:rsidRPr="00A776BC">
        <w:rPr>
          <w:rFonts w:ascii="Open Sans" w:hAnsi="Open Sans" w:cs="Open Sans"/>
          <w:sz w:val="20"/>
          <w:szCs w:val="20"/>
        </w:rPr>
        <w:t xml:space="preserve">In general, the point of making </w:t>
      </w:r>
      <w:r w:rsidR="00FD1278" w:rsidRPr="00A776BC">
        <w:rPr>
          <w:rFonts w:ascii="Open Sans" w:hAnsi="Open Sans" w:cs="Open Sans"/>
          <w:sz w:val="20"/>
          <w:szCs w:val="20"/>
        </w:rPr>
        <w:lastRenderedPageBreak/>
        <w:t xml:space="preserve">data-driven decisions is to move away from the gut and more toward </w:t>
      </w:r>
      <w:r w:rsidR="00B4714A" w:rsidRPr="00A776BC">
        <w:rPr>
          <w:rFonts w:ascii="Open Sans" w:hAnsi="Open Sans" w:cs="Open Sans"/>
          <w:sz w:val="20"/>
          <w:szCs w:val="20"/>
        </w:rPr>
        <w:t>empirically validated decisions</w:t>
      </w:r>
      <w:r w:rsidR="002C28D3" w:rsidRPr="00A776BC">
        <w:rPr>
          <w:rFonts w:ascii="Open Sans" w:hAnsi="Open Sans" w:cs="Open Sans"/>
          <w:sz w:val="20"/>
          <w:szCs w:val="20"/>
        </w:rPr>
        <w:t>”</w:t>
      </w:r>
      <w:r w:rsidR="00B4714A" w:rsidRPr="00A776BC">
        <w:rPr>
          <w:rFonts w:ascii="Open Sans" w:hAnsi="Open Sans" w:cs="Open Sans"/>
          <w:sz w:val="20"/>
          <w:szCs w:val="20"/>
        </w:rPr>
        <w:t xml:space="preserve"> </w:t>
      </w:r>
      <w:r w:rsidR="00B4714A" w:rsidRPr="00A776BC">
        <w:rPr>
          <w:rFonts w:ascii="Open Sans" w:hAnsi="Open Sans" w:cs="Open Sans"/>
          <w:sz w:val="20"/>
          <w:szCs w:val="20"/>
        </w:rPr>
        <w:fldChar w:fldCharType="begin"/>
      </w:r>
      <w:r w:rsidR="00B4714A" w:rsidRPr="00A776BC">
        <w:rPr>
          <w:rFonts w:ascii="Open Sans" w:hAnsi="Open Sans" w:cs="Open Sans"/>
          <w:sz w:val="20"/>
          <w:szCs w:val="20"/>
        </w:rPr>
        <w:instrText xml:space="preserve"> ADDIN EN.CITE &lt;EndNote&gt;&lt;Cite&gt;&lt;Author&gt;Siegal&lt;/Author&gt;&lt;Year&gt;2016&lt;/Year&gt;&lt;RecNum&gt;399&lt;/RecNum&gt;&lt;DisplayText&gt;(Siegal 2016)&lt;/DisplayText&gt;&lt;record&gt;&lt;rec-number&gt;399&lt;/rec-number&gt;&lt;foreign-keys&gt;&lt;key app="EN" db-id="5wddtwtdltavvheer5vvrda5pftspd2zre9e" timestamp="1488070546"&gt;399&lt;/key&gt;&lt;/foreign-keys&gt;&lt;ref-type name="Book"&gt;6&lt;/ref-type&gt;&lt;contributors&gt;&lt;authors&gt;&lt;author&gt;Siegal, Eric&lt;/author&gt;&lt;/authors&gt;&lt;/contributors&gt;&lt;titles&gt;&lt;title&gt;Predictive Analytics&lt;/title&gt;&lt;/titles&gt;&lt;dates&gt;&lt;year&gt;2016&lt;/year&gt;&lt;/dates&gt;&lt;pub-location&gt;Hoboken, NJ&lt;/pub-location&gt;&lt;publisher&gt;John Wiley &amp;amp; Sons&lt;/publisher&gt;&lt;urls&gt;&lt;/urls&gt;&lt;/record&gt;&lt;/Cite&gt;&lt;/EndNote&gt;</w:instrText>
      </w:r>
      <w:r w:rsidR="00B4714A" w:rsidRPr="00A776BC">
        <w:rPr>
          <w:rFonts w:ascii="Open Sans" w:hAnsi="Open Sans" w:cs="Open Sans"/>
          <w:sz w:val="20"/>
          <w:szCs w:val="20"/>
        </w:rPr>
        <w:fldChar w:fldCharType="separate"/>
      </w:r>
      <w:r w:rsidR="00B4714A" w:rsidRPr="00A776BC">
        <w:rPr>
          <w:rFonts w:ascii="Open Sans" w:hAnsi="Open Sans" w:cs="Open Sans"/>
          <w:noProof/>
          <w:sz w:val="20"/>
          <w:szCs w:val="20"/>
        </w:rPr>
        <w:t>(Siegal 2016)</w:t>
      </w:r>
      <w:r w:rsidR="00B4714A" w:rsidRPr="00A776BC">
        <w:rPr>
          <w:rFonts w:ascii="Open Sans" w:hAnsi="Open Sans" w:cs="Open Sans"/>
          <w:sz w:val="20"/>
          <w:szCs w:val="20"/>
        </w:rPr>
        <w:fldChar w:fldCharType="end"/>
      </w:r>
      <w:r w:rsidR="00B4714A" w:rsidRPr="00A776BC">
        <w:rPr>
          <w:rFonts w:ascii="Open Sans" w:hAnsi="Open Sans" w:cs="Open Sans"/>
          <w:sz w:val="20"/>
          <w:szCs w:val="20"/>
        </w:rPr>
        <w:t>.</w:t>
      </w:r>
      <w:r w:rsidR="002C28D3" w:rsidRPr="00A776BC">
        <w:rPr>
          <w:rFonts w:ascii="Open Sans" w:hAnsi="Open Sans" w:cs="Open Sans"/>
          <w:sz w:val="20"/>
          <w:szCs w:val="20"/>
        </w:rPr>
        <w:t xml:space="preserve"> The potential for big data in people analytics is therefore to remove subjectivity in the evaluation of employees.</w:t>
      </w:r>
      <w:r w:rsidR="00B4714A" w:rsidRPr="00A776BC">
        <w:rPr>
          <w:rFonts w:ascii="Open Sans" w:hAnsi="Open Sans" w:cs="Open Sans"/>
          <w:sz w:val="20"/>
          <w:szCs w:val="20"/>
        </w:rPr>
        <w:t xml:space="preserve"> Without getting too complex, something as simple as a browser history search may reveal that an individual has been searching for a new job, a signal that they are considering leaving. More subtly, increased use of social media websites and personal searches may reveal lower engagement in the company and be predictive of future turnover.</w:t>
      </w:r>
      <w:r w:rsidR="00AB05D3">
        <w:rPr>
          <w:rFonts w:ascii="Open Sans" w:hAnsi="Open Sans" w:cs="Open Sans"/>
          <w:sz w:val="20"/>
          <w:szCs w:val="20"/>
        </w:rPr>
        <w:t xml:space="preserve"> A summary score, that firms have used includes a “flight-risk” score, which could be represented in a normalized score between 1 and 0, with an increased flight risk score, say 0.87, suggesting an employee is more likely to leave the firm than an employee with a flight-risk score of 0.3. </w:t>
      </w:r>
    </w:p>
    <w:p w14:paraId="7FE4971D" w14:textId="77777777" w:rsidR="00085F5F" w:rsidRPr="00A776BC" w:rsidRDefault="00085F5F" w:rsidP="00085F5F">
      <w:pPr>
        <w:pStyle w:val="Heading2"/>
        <w:rPr>
          <w:rFonts w:ascii="Open Sans" w:hAnsi="Open Sans" w:cs="Open Sans"/>
          <w:i/>
          <w:color w:val="33006F"/>
          <w:sz w:val="24"/>
          <w:szCs w:val="24"/>
        </w:rPr>
      </w:pPr>
      <w:bookmarkStart w:id="8" w:name="_Toc52021866"/>
      <w:r w:rsidRPr="00A776BC">
        <w:rPr>
          <w:rFonts w:ascii="Open Sans" w:hAnsi="Open Sans" w:cs="Open Sans"/>
          <w:i/>
          <w:color w:val="33006F"/>
          <w:sz w:val="24"/>
          <w:szCs w:val="24"/>
        </w:rPr>
        <w:t xml:space="preserve">Application to </w:t>
      </w:r>
      <w:r w:rsidR="00C64EC4" w:rsidRPr="00A776BC">
        <w:rPr>
          <w:rFonts w:ascii="Open Sans" w:hAnsi="Open Sans" w:cs="Open Sans"/>
          <w:i/>
          <w:color w:val="33006F"/>
          <w:sz w:val="24"/>
          <w:szCs w:val="24"/>
        </w:rPr>
        <w:t>the case</w:t>
      </w:r>
      <w:bookmarkEnd w:id="8"/>
    </w:p>
    <w:p w14:paraId="7F864305" w14:textId="74F9F0B0" w:rsidR="00A1510E" w:rsidRPr="00A776BC" w:rsidRDefault="00575D46" w:rsidP="00085F5F">
      <w:p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You have been briefed by the CFO that the CEO wants to hit earnings estimates, and the impact of the restructure </w:t>
      </w:r>
      <w:r w:rsidR="00043F76" w:rsidRPr="00A776BC">
        <w:rPr>
          <w:rFonts w:ascii="Open Sans" w:hAnsi="Open Sans" w:cs="Open Sans"/>
          <w:sz w:val="20"/>
          <w:szCs w:val="20"/>
        </w:rPr>
        <w:t xml:space="preserve">on earnings </w:t>
      </w:r>
      <w:r w:rsidRPr="00A776BC">
        <w:rPr>
          <w:rFonts w:ascii="Open Sans" w:hAnsi="Open Sans" w:cs="Open Sans"/>
          <w:sz w:val="20"/>
          <w:szCs w:val="20"/>
        </w:rPr>
        <w:t>is to be as minimal as possible</w:t>
      </w:r>
      <w:r w:rsidR="00043F76" w:rsidRPr="00A776BC">
        <w:rPr>
          <w:rFonts w:ascii="Open Sans" w:hAnsi="Open Sans" w:cs="Open Sans"/>
          <w:sz w:val="20"/>
          <w:szCs w:val="20"/>
        </w:rPr>
        <w:t>.</w:t>
      </w:r>
      <w:r w:rsidRPr="00A776BC">
        <w:rPr>
          <w:rFonts w:ascii="Open Sans" w:hAnsi="Open Sans" w:cs="Open Sans"/>
          <w:sz w:val="20"/>
          <w:szCs w:val="20"/>
        </w:rPr>
        <w:t xml:space="preserve"> </w:t>
      </w:r>
      <w:r w:rsidR="00A1510E" w:rsidRPr="00A776BC">
        <w:rPr>
          <w:rFonts w:ascii="Open Sans" w:hAnsi="Open Sans" w:cs="Open Sans"/>
          <w:sz w:val="20"/>
          <w:szCs w:val="20"/>
        </w:rPr>
        <w:t>The fiscal year end is December 31</w:t>
      </w:r>
      <w:r w:rsidR="00A1510E" w:rsidRPr="00A776BC">
        <w:rPr>
          <w:rFonts w:ascii="Open Sans" w:hAnsi="Open Sans" w:cs="Open Sans"/>
          <w:sz w:val="20"/>
          <w:szCs w:val="20"/>
          <w:vertAlign w:val="superscript"/>
        </w:rPr>
        <w:t>st</w:t>
      </w:r>
      <w:proofErr w:type="gramStart"/>
      <w:r w:rsidR="00A1510E" w:rsidRPr="00A776BC">
        <w:rPr>
          <w:rFonts w:ascii="Open Sans" w:hAnsi="Open Sans" w:cs="Open Sans"/>
          <w:sz w:val="20"/>
          <w:szCs w:val="20"/>
        </w:rPr>
        <w:t xml:space="preserve"> 20</w:t>
      </w:r>
      <w:r w:rsidR="005D6E3B">
        <w:rPr>
          <w:rFonts w:ascii="Open Sans" w:hAnsi="Open Sans" w:cs="Open Sans"/>
          <w:sz w:val="20"/>
          <w:szCs w:val="20"/>
        </w:rPr>
        <w:t>20</w:t>
      </w:r>
      <w:proofErr w:type="gramEnd"/>
      <w:r w:rsidR="00A1510E" w:rsidRPr="00A776BC">
        <w:rPr>
          <w:rFonts w:ascii="Open Sans" w:hAnsi="Open Sans" w:cs="Open Sans"/>
          <w:sz w:val="20"/>
          <w:szCs w:val="20"/>
        </w:rPr>
        <w:t>, and the division will cease operations on August, 31</w:t>
      </w:r>
      <w:r w:rsidR="00A1510E" w:rsidRPr="00A776BC">
        <w:rPr>
          <w:rFonts w:ascii="Open Sans" w:hAnsi="Open Sans" w:cs="Open Sans"/>
          <w:sz w:val="20"/>
          <w:szCs w:val="20"/>
          <w:vertAlign w:val="superscript"/>
        </w:rPr>
        <w:t>st</w:t>
      </w:r>
      <w:r w:rsidR="00A1510E" w:rsidRPr="00A776BC">
        <w:rPr>
          <w:rFonts w:ascii="Open Sans" w:hAnsi="Open Sans" w:cs="Open Sans"/>
          <w:sz w:val="20"/>
          <w:szCs w:val="20"/>
        </w:rPr>
        <w:t xml:space="preserve"> 20</w:t>
      </w:r>
      <w:r w:rsidR="005D6E3B">
        <w:rPr>
          <w:rFonts w:ascii="Open Sans" w:hAnsi="Open Sans" w:cs="Open Sans"/>
          <w:sz w:val="20"/>
          <w:szCs w:val="20"/>
        </w:rPr>
        <w:t>20</w:t>
      </w:r>
      <w:r w:rsidR="00A1510E" w:rsidRPr="00A776BC">
        <w:rPr>
          <w:rFonts w:ascii="Open Sans" w:hAnsi="Open Sans" w:cs="Open Sans"/>
          <w:sz w:val="20"/>
          <w:szCs w:val="20"/>
        </w:rPr>
        <w:t xml:space="preserve">. Subject to the following complications: </w:t>
      </w:r>
    </w:p>
    <w:p w14:paraId="5CC61106" w14:textId="77777777" w:rsidR="00A1510E" w:rsidRPr="00A776BC" w:rsidRDefault="004361B6" w:rsidP="00A1510E">
      <w:pPr>
        <w:pStyle w:val="ListParagraph"/>
        <w:numPr>
          <w:ilvl w:val="0"/>
          <w:numId w:val="15"/>
        </w:numPr>
        <w:spacing w:before="120" w:after="120" w:line="360" w:lineRule="auto"/>
        <w:jc w:val="both"/>
        <w:rPr>
          <w:rFonts w:ascii="Open Sans" w:hAnsi="Open Sans" w:cs="Open Sans"/>
          <w:sz w:val="20"/>
          <w:szCs w:val="20"/>
        </w:rPr>
      </w:pPr>
      <w:r w:rsidRPr="00A776BC">
        <w:rPr>
          <w:rFonts w:ascii="Open Sans" w:hAnsi="Open Sans" w:cs="Open Sans"/>
          <w:sz w:val="20"/>
          <w:szCs w:val="20"/>
        </w:rPr>
        <w:t>Under no circumstance</w:t>
      </w:r>
      <w:r w:rsidR="00A1510E" w:rsidRPr="00A776BC">
        <w:rPr>
          <w:rFonts w:ascii="Open Sans" w:hAnsi="Open Sans" w:cs="Open Sans"/>
          <w:sz w:val="20"/>
          <w:szCs w:val="20"/>
        </w:rPr>
        <w:t xml:space="preserve">s </w:t>
      </w:r>
      <w:r w:rsidRPr="00A776BC">
        <w:rPr>
          <w:rFonts w:ascii="Open Sans" w:hAnsi="Open Sans" w:cs="Open Sans"/>
          <w:sz w:val="20"/>
          <w:szCs w:val="20"/>
        </w:rPr>
        <w:t xml:space="preserve">is the </w:t>
      </w:r>
      <w:r w:rsidR="00A1510E" w:rsidRPr="00A776BC">
        <w:rPr>
          <w:rFonts w:ascii="Open Sans" w:hAnsi="Open Sans" w:cs="Open Sans"/>
          <w:sz w:val="20"/>
          <w:szCs w:val="20"/>
        </w:rPr>
        <w:t>accounting</w:t>
      </w:r>
      <w:r w:rsidRPr="00A776BC">
        <w:rPr>
          <w:rFonts w:ascii="Open Sans" w:hAnsi="Open Sans" w:cs="Open Sans"/>
          <w:sz w:val="20"/>
          <w:szCs w:val="20"/>
        </w:rPr>
        <w:t xml:space="preserve"> to vi</w:t>
      </w:r>
      <w:r w:rsidR="00A1510E" w:rsidRPr="00A776BC">
        <w:rPr>
          <w:rFonts w:ascii="Open Sans" w:hAnsi="Open Sans" w:cs="Open Sans"/>
          <w:sz w:val="20"/>
          <w:szCs w:val="20"/>
        </w:rPr>
        <w:t>olate GAAP.</w:t>
      </w:r>
    </w:p>
    <w:p w14:paraId="3587F6E9" w14:textId="77777777" w:rsidR="00A1510E" w:rsidRPr="00A776BC" w:rsidRDefault="00A1510E" w:rsidP="00A1510E">
      <w:pPr>
        <w:pStyle w:val="ListParagraph"/>
        <w:numPr>
          <w:ilvl w:val="0"/>
          <w:numId w:val="15"/>
        </w:numPr>
        <w:spacing w:before="120" w:after="120" w:line="360" w:lineRule="auto"/>
        <w:jc w:val="both"/>
        <w:rPr>
          <w:rFonts w:ascii="Open Sans" w:hAnsi="Open Sans" w:cs="Open Sans"/>
          <w:sz w:val="20"/>
          <w:szCs w:val="20"/>
        </w:rPr>
      </w:pPr>
      <w:r w:rsidRPr="00A776BC">
        <w:rPr>
          <w:rFonts w:ascii="Open Sans" w:hAnsi="Open Sans" w:cs="Open Sans"/>
          <w:sz w:val="20"/>
          <w:szCs w:val="20"/>
        </w:rPr>
        <w:t>The restructure of the division requires a 75% cut in total workforce, with the 25% being relocated to other areas of the company.</w:t>
      </w:r>
    </w:p>
    <w:p w14:paraId="3C18196B" w14:textId="77777777" w:rsidR="00A1510E" w:rsidRPr="00A776BC" w:rsidRDefault="00A1510E" w:rsidP="00A1510E">
      <w:pPr>
        <w:pStyle w:val="ListParagraph"/>
        <w:numPr>
          <w:ilvl w:val="0"/>
          <w:numId w:val="15"/>
        </w:num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The 25% of employees to be relocated have been identified and will be relocated within a month. </w:t>
      </w:r>
    </w:p>
    <w:p w14:paraId="0393F05F" w14:textId="29BDBAF0" w:rsidR="0099690F" w:rsidRPr="00A776BC" w:rsidRDefault="0099690F" w:rsidP="00A1510E">
      <w:pPr>
        <w:pStyle w:val="ListParagraph"/>
        <w:numPr>
          <w:ilvl w:val="0"/>
          <w:numId w:val="15"/>
        </w:numPr>
        <w:spacing w:before="120" w:after="120" w:line="360" w:lineRule="auto"/>
        <w:jc w:val="both"/>
        <w:rPr>
          <w:rFonts w:ascii="Open Sans" w:hAnsi="Open Sans" w:cs="Open Sans"/>
          <w:sz w:val="20"/>
          <w:szCs w:val="20"/>
        </w:rPr>
      </w:pPr>
      <w:r w:rsidRPr="00A776BC">
        <w:rPr>
          <w:rFonts w:ascii="Open Sans" w:hAnsi="Open Sans" w:cs="Open Sans"/>
          <w:sz w:val="20"/>
          <w:szCs w:val="20"/>
        </w:rPr>
        <w:t>Of the 75% to be cut, 25% are to be terminated immediately or by the fiscal year end and the remaining 50% by August 31</w:t>
      </w:r>
      <w:r w:rsidRPr="00A776BC">
        <w:rPr>
          <w:rFonts w:ascii="Open Sans" w:hAnsi="Open Sans" w:cs="Open Sans"/>
          <w:sz w:val="20"/>
          <w:szCs w:val="20"/>
          <w:vertAlign w:val="superscript"/>
        </w:rPr>
        <w:t>st</w:t>
      </w:r>
      <w:proofErr w:type="gramStart"/>
      <w:r w:rsidRPr="00A776BC">
        <w:rPr>
          <w:rFonts w:ascii="Open Sans" w:hAnsi="Open Sans" w:cs="Open Sans"/>
          <w:sz w:val="20"/>
          <w:szCs w:val="20"/>
        </w:rPr>
        <w:t xml:space="preserve"> 20</w:t>
      </w:r>
      <w:r w:rsidR="005D6E3B">
        <w:rPr>
          <w:rFonts w:ascii="Open Sans" w:hAnsi="Open Sans" w:cs="Open Sans"/>
          <w:sz w:val="20"/>
          <w:szCs w:val="20"/>
        </w:rPr>
        <w:t>20</w:t>
      </w:r>
      <w:proofErr w:type="gramEnd"/>
      <w:r w:rsidRPr="00A776BC">
        <w:rPr>
          <w:rFonts w:ascii="Open Sans" w:hAnsi="Open Sans" w:cs="Open Sans"/>
          <w:sz w:val="20"/>
          <w:szCs w:val="20"/>
        </w:rPr>
        <w:t>.</w:t>
      </w:r>
    </w:p>
    <w:p w14:paraId="5D791F76" w14:textId="55DCFA76" w:rsidR="0099690F" w:rsidRPr="00A776BC" w:rsidRDefault="002C4A96" w:rsidP="00A1510E">
      <w:pPr>
        <w:pStyle w:val="ListParagraph"/>
        <w:numPr>
          <w:ilvl w:val="0"/>
          <w:numId w:val="15"/>
        </w:num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Monthly employment costs are $6,000 per employee. The firm will offer a </w:t>
      </w:r>
      <w:r w:rsidR="005D6E3B" w:rsidRPr="00A776BC">
        <w:rPr>
          <w:rFonts w:ascii="Open Sans" w:hAnsi="Open Sans" w:cs="Open Sans"/>
          <w:sz w:val="20"/>
          <w:szCs w:val="20"/>
        </w:rPr>
        <w:t>two-month</w:t>
      </w:r>
      <w:r w:rsidRPr="00A776BC">
        <w:rPr>
          <w:rFonts w:ascii="Open Sans" w:hAnsi="Open Sans" w:cs="Open Sans"/>
          <w:sz w:val="20"/>
          <w:szCs w:val="20"/>
        </w:rPr>
        <w:t xml:space="preserve"> severance payment ($12,000) to employees that leave voluntarily within a month and a </w:t>
      </w:r>
      <w:r w:rsidR="005D6E3B" w:rsidRPr="00A776BC">
        <w:rPr>
          <w:rFonts w:ascii="Open Sans" w:hAnsi="Open Sans" w:cs="Open Sans"/>
          <w:sz w:val="20"/>
          <w:szCs w:val="20"/>
        </w:rPr>
        <w:t>one-month</w:t>
      </w:r>
      <w:r w:rsidRPr="00A776BC">
        <w:rPr>
          <w:rFonts w:ascii="Open Sans" w:hAnsi="Open Sans" w:cs="Open Sans"/>
          <w:sz w:val="20"/>
          <w:szCs w:val="20"/>
        </w:rPr>
        <w:t xml:space="preserve"> severance payment ($6,000) for those that leave involuntarily on August 31</w:t>
      </w:r>
      <w:r w:rsidRPr="00A776BC">
        <w:rPr>
          <w:rFonts w:ascii="Open Sans" w:hAnsi="Open Sans" w:cs="Open Sans"/>
          <w:sz w:val="20"/>
          <w:szCs w:val="20"/>
          <w:vertAlign w:val="superscript"/>
        </w:rPr>
        <w:t>st</w:t>
      </w:r>
      <w:proofErr w:type="gramStart"/>
      <w:r w:rsidRPr="00A776BC">
        <w:rPr>
          <w:rFonts w:ascii="Open Sans" w:hAnsi="Open Sans" w:cs="Open Sans"/>
          <w:sz w:val="20"/>
          <w:szCs w:val="20"/>
        </w:rPr>
        <w:t xml:space="preserve"> 20</w:t>
      </w:r>
      <w:r w:rsidR="005D6E3B">
        <w:rPr>
          <w:rFonts w:ascii="Open Sans" w:hAnsi="Open Sans" w:cs="Open Sans"/>
          <w:sz w:val="20"/>
          <w:szCs w:val="20"/>
        </w:rPr>
        <w:t>20</w:t>
      </w:r>
      <w:proofErr w:type="gramEnd"/>
      <w:r w:rsidRPr="00A776BC">
        <w:rPr>
          <w:rFonts w:ascii="Open Sans" w:hAnsi="Open Sans" w:cs="Open Sans"/>
          <w:sz w:val="20"/>
          <w:szCs w:val="20"/>
        </w:rPr>
        <w:t>.</w:t>
      </w:r>
    </w:p>
    <w:p w14:paraId="0AB8DF7E" w14:textId="5FC4CB48" w:rsidR="002C4A96" w:rsidRPr="00A776BC" w:rsidRDefault="002C4A96" w:rsidP="00A1510E">
      <w:pPr>
        <w:pStyle w:val="ListParagraph"/>
        <w:numPr>
          <w:ilvl w:val="0"/>
          <w:numId w:val="15"/>
        </w:numPr>
        <w:spacing w:before="120" w:after="120" w:line="360" w:lineRule="auto"/>
        <w:jc w:val="both"/>
        <w:rPr>
          <w:rFonts w:ascii="Open Sans" w:hAnsi="Open Sans" w:cs="Open Sans"/>
          <w:sz w:val="20"/>
          <w:szCs w:val="20"/>
        </w:rPr>
      </w:pPr>
      <w:r w:rsidRPr="00A776BC">
        <w:rPr>
          <w:rFonts w:ascii="Open Sans" w:hAnsi="Open Sans" w:cs="Open Sans"/>
          <w:sz w:val="20"/>
          <w:szCs w:val="20"/>
        </w:rPr>
        <w:t>Those that leave after the voluntary window and before August 31</w:t>
      </w:r>
      <w:r w:rsidRPr="00A776BC">
        <w:rPr>
          <w:rFonts w:ascii="Open Sans" w:hAnsi="Open Sans" w:cs="Open Sans"/>
          <w:sz w:val="20"/>
          <w:szCs w:val="20"/>
          <w:vertAlign w:val="superscript"/>
        </w:rPr>
        <w:t>st</w:t>
      </w:r>
      <w:r w:rsidRPr="00A776BC">
        <w:rPr>
          <w:rFonts w:ascii="Open Sans" w:hAnsi="Open Sans" w:cs="Open Sans"/>
          <w:sz w:val="20"/>
          <w:szCs w:val="20"/>
        </w:rPr>
        <w:t>, 20</w:t>
      </w:r>
      <w:r w:rsidR="005D6E3B">
        <w:rPr>
          <w:rFonts w:ascii="Open Sans" w:hAnsi="Open Sans" w:cs="Open Sans"/>
          <w:sz w:val="20"/>
          <w:szCs w:val="20"/>
        </w:rPr>
        <w:t>20</w:t>
      </w:r>
      <w:r w:rsidRPr="00A776BC">
        <w:rPr>
          <w:rFonts w:ascii="Open Sans" w:hAnsi="Open Sans" w:cs="Open Sans"/>
          <w:sz w:val="20"/>
          <w:szCs w:val="20"/>
        </w:rPr>
        <w:t xml:space="preserve"> will not receive any severance payments.</w:t>
      </w:r>
    </w:p>
    <w:p w14:paraId="71628E48" w14:textId="40C69220" w:rsidR="004361B6" w:rsidRPr="00A776BC" w:rsidRDefault="004361B6" w:rsidP="0099690F">
      <w:pPr>
        <w:spacing w:before="120" w:after="120" w:line="360" w:lineRule="auto"/>
        <w:jc w:val="both"/>
        <w:rPr>
          <w:rFonts w:ascii="Open Sans" w:hAnsi="Open Sans" w:cs="Open Sans"/>
          <w:sz w:val="20"/>
          <w:szCs w:val="20"/>
        </w:rPr>
      </w:pPr>
      <w:r w:rsidRPr="00A776BC">
        <w:rPr>
          <w:rFonts w:ascii="Open Sans" w:hAnsi="Open Sans" w:cs="Open Sans"/>
          <w:sz w:val="20"/>
          <w:szCs w:val="20"/>
        </w:rPr>
        <w:t xml:space="preserve">Your role is to suggest a plan of action that can lead to the </w:t>
      </w:r>
      <w:r w:rsidR="00A1510E" w:rsidRPr="00A776BC">
        <w:rPr>
          <w:rFonts w:ascii="Open Sans" w:hAnsi="Open Sans" w:cs="Open Sans"/>
          <w:sz w:val="20"/>
          <w:szCs w:val="20"/>
        </w:rPr>
        <w:t>lowest restructuring cost</w:t>
      </w:r>
      <w:r w:rsidR="002C4A96" w:rsidRPr="00A776BC">
        <w:rPr>
          <w:rFonts w:ascii="Open Sans" w:hAnsi="Open Sans" w:cs="Open Sans"/>
          <w:sz w:val="20"/>
          <w:szCs w:val="20"/>
        </w:rPr>
        <w:t xml:space="preserve"> estimate for </w:t>
      </w:r>
      <w:r w:rsidR="00E87316" w:rsidRPr="00A776BC">
        <w:rPr>
          <w:rFonts w:ascii="Open Sans" w:hAnsi="Open Sans" w:cs="Open Sans"/>
          <w:sz w:val="20"/>
          <w:szCs w:val="20"/>
        </w:rPr>
        <w:t>the quarter ending March 31</w:t>
      </w:r>
      <w:r w:rsidR="00E87316" w:rsidRPr="00A776BC">
        <w:rPr>
          <w:rFonts w:ascii="Open Sans" w:hAnsi="Open Sans" w:cs="Open Sans"/>
          <w:sz w:val="20"/>
          <w:szCs w:val="20"/>
          <w:vertAlign w:val="superscript"/>
        </w:rPr>
        <w:t>st</w:t>
      </w:r>
      <w:r w:rsidR="00E87316" w:rsidRPr="00A776BC">
        <w:rPr>
          <w:rFonts w:ascii="Open Sans" w:hAnsi="Open Sans" w:cs="Open Sans"/>
          <w:sz w:val="20"/>
          <w:szCs w:val="20"/>
        </w:rPr>
        <w:t xml:space="preserve"> 20</w:t>
      </w:r>
      <w:r w:rsidR="00321F90">
        <w:rPr>
          <w:rFonts w:ascii="Open Sans" w:hAnsi="Open Sans" w:cs="Open Sans"/>
          <w:sz w:val="20"/>
          <w:szCs w:val="20"/>
        </w:rPr>
        <w:t>20</w:t>
      </w:r>
      <w:r w:rsidR="00E87316" w:rsidRPr="00A776BC">
        <w:rPr>
          <w:rFonts w:ascii="Open Sans" w:hAnsi="Open Sans" w:cs="Open Sans"/>
          <w:sz w:val="20"/>
          <w:szCs w:val="20"/>
        </w:rPr>
        <w:t xml:space="preserve"> and scenario analyses for the total restructuring cost for the fiscal year ending </w:t>
      </w:r>
      <w:r w:rsidR="002C4A96" w:rsidRPr="00A776BC">
        <w:rPr>
          <w:rFonts w:ascii="Open Sans" w:hAnsi="Open Sans" w:cs="Open Sans"/>
          <w:sz w:val="20"/>
          <w:szCs w:val="20"/>
        </w:rPr>
        <w:t>December 31</w:t>
      </w:r>
      <w:r w:rsidR="002C4A96" w:rsidRPr="00A776BC">
        <w:rPr>
          <w:rFonts w:ascii="Open Sans" w:hAnsi="Open Sans" w:cs="Open Sans"/>
          <w:sz w:val="20"/>
          <w:szCs w:val="20"/>
          <w:vertAlign w:val="superscript"/>
        </w:rPr>
        <w:t>st</w:t>
      </w:r>
      <w:r w:rsidR="002C4A96" w:rsidRPr="00A776BC">
        <w:rPr>
          <w:rFonts w:ascii="Open Sans" w:hAnsi="Open Sans" w:cs="Open Sans"/>
          <w:sz w:val="20"/>
          <w:szCs w:val="20"/>
        </w:rPr>
        <w:t xml:space="preserve"> 20</w:t>
      </w:r>
      <w:r w:rsidR="00321F90">
        <w:rPr>
          <w:rFonts w:ascii="Open Sans" w:hAnsi="Open Sans" w:cs="Open Sans"/>
          <w:sz w:val="20"/>
          <w:szCs w:val="20"/>
        </w:rPr>
        <w:t>20.</w:t>
      </w:r>
      <w:r w:rsidR="005D6E3B">
        <w:rPr>
          <w:rFonts w:ascii="Open Sans" w:hAnsi="Open Sans" w:cs="Open Sans"/>
          <w:sz w:val="20"/>
          <w:szCs w:val="20"/>
        </w:rPr>
        <w:t xml:space="preserve"> You have received the scenario estimates from the Accounting Department. Some of the scenarios involve selecting individuals based on the </w:t>
      </w:r>
      <w:r w:rsidR="00AB05D3">
        <w:rPr>
          <w:rFonts w:ascii="Open Sans" w:hAnsi="Open Sans" w:cs="Open Sans"/>
          <w:sz w:val="20"/>
          <w:szCs w:val="20"/>
        </w:rPr>
        <w:t>internally generated f</w:t>
      </w:r>
      <w:r w:rsidR="005D6E3B">
        <w:rPr>
          <w:rFonts w:ascii="Open Sans" w:hAnsi="Open Sans" w:cs="Open Sans"/>
          <w:sz w:val="20"/>
          <w:szCs w:val="20"/>
        </w:rPr>
        <w:t xml:space="preserve">light </w:t>
      </w:r>
      <w:r w:rsidR="00AB05D3">
        <w:rPr>
          <w:rFonts w:ascii="Open Sans" w:hAnsi="Open Sans" w:cs="Open Sans"/>
          <w:sz w:val="20"/>
          <w:szCs w:val="20"/>
        </w:rPr>
        <w:t>r</w:t>
      </w:r>
      <w:r w:rsidR="005D6E3B">
        <w:rPr>
          <w:rFonts w:ascii="Open Sans" w:hAnsi="Open Sans" w:cs="Open Sans"/>
          <w:sz w:val="20"/>
          <w:szCs w:val="20"/>
        </w:rPr>
        <w:t xml:space="preserve">isk </w:t>
      </w:r>
      <w:r w:rsidR="00AB05D3">
        <w:rPr>
          <w:rFonts w:ascii="Open Sans" w:hAnsi="Open Sans" w:cs="Open Sans"/>
          <w:sz w:val="20"/>
          <w:szCs w:val="20"/>
        </w:rPr>
        <w:t>s</w:t>
      </w:r>
      <w:r w:rsidR="005D6E3B">
        <w:rPr>
          <w:rFonts w:ascii="Open Sans" w:hAnsi="Open Sans" w:cs="Open Sans"/>
          <w:sz w:val="20"/>
          <w:szCs w:val="20"/>
        </w:rPr>
        <w:t>core</w:t>
      </w:r>
      <w:r w:rsidR="00AB05D3">
        <w:rPr>
          <w:rFonts w:ascii="Open Sans" w:hAnsi="Open Sans" w:cs="Open Sans"/>
          <w:sz w:val="20"/>
          <w:szCs w:val="20"/>
        </w:rPr>
        <w:t xml:space="preserve"> calculated by the HR and IT departments.</w:t>
      </w:r>
      <w:r w:rsidR="005D6E3B">
        <w:rPr>
          <w:rFonts w:ascii="Open Sans" w:hAnsi="Open Sans" w:cs="Open Sans"/>
          <w:sz w:val="20"/>
          <w:szCs w:val="20"/>
        </w:rPr>
        <w:t xml:space="preserve"> </w:t>
      </w:r>
      <w:r w:rsidR="00AB05D3">
        <w:rPr>
          <w:rFonts w:ascii="Open Sans" w:hAnsi="Open Sans" w:cs="Open Sans"/>
          <w:sz w:val="20"/>
          <w:szCs w:val="20"/>
        </w:rPr>
        <w:t xml:space="preserve">The use of </w:t>
      </w:r>
      <w:r w:rsidR="005D6E3B">
        <w:rPr>
          <w:rFonts w:ascii="Open Sans" w:hAnsi="Open Sans" w:cs="Open Sans"/>
          <w:sz w:val="20"/>
          <w:szCs w:val="20"/>
        </w:rPr>
        <w:t xml:space="preserve">this </w:t>
      </w:r>
      <w:r w:rsidR="00AB05D3">
        <w:rPr>
          <w:rFonts w:ascii="Open Sans" w:hAnsi="Open Sans" w:cs="Open Sans"/>
          <w:sz w:val="20"/>
          <w:szCs w:val="20"/>
        </w:rPr>
        <w:t xml:space="preserve">flight score </w:t>
      </w:r>
      <w:r w:rsidR="005D6E3B">
        <w:rPr>
          <w:rFonts w:ascii="Open Sans" w:hAnsi="Open Sans" w:cs="Open Sans"/>
          <w:sz w:val="20"/>
          <w:szCs w:val="20"/>
        </w:rPr>
        <w:t>is the contentious part of the decision, an</w:t>
      </w:r>
      <w:r w:rsidR="00AB05D3">
        <w:rPr>
          <w:rFonts w:ascii="Open Sans" w:hAnsi="Open Sans" w:cs="Open Sans"/>
          <w:sz w:val="20"/>
          <w:szCs w:val="20"/>
        </w:rPr>
        <w:t>d</w:t>
      </w:r>
      <w:r w:rsidR="005D6E3B">
        <w:rPr>
          <w:rFonts w:ascii="Open Sans" w:hAnsi="Open Sans" w:cs="Open Sans"/>
          <w:sz w:val="20"/>
          <w:szCs w:val="20"/>
        </w:rPr>
        <w:t xml:space="preserve"> you will need to consider various legal and ethical issues.</w:t>
      </w:r>
    </w:p>
    <w:p w14:paraId="6CF9521F" w14:textId="77777777" w:rsidR="004361B6" w:rsidRPr="00A776BC" w:rsidRDefault="00E87316" w:rsidP="00085F5F">
      <w:pPr>
        <w:spacing w:before="120" w:after="120" w:line="360" w:lineRule="auto"/>
        <w:jc w:val="both"/>
        <w:rPr>
          <w:rFonts w:ascii="Open Sans" w:hAnsi="Open Sans" w:cs="Open Sans"/>
          <w:sz w:val="20"/>
          <w:szCs w:val="20"/>
        </w:rPr>
      </w:pPr>
      <w:r w:rsidRPr="00A776BC">
        <w:rPr>
          <w:rFonts w:ascii="Open Sans" w:hAnsi="Open Sans" w:cs="Open Sans"/>
          <w:b/>
          <w:i/>
          <w:color w:val="33006F"/>
          <w:sz w:val="20"/>
          <w:szCs w:val="20"/>
        </w:rPr>
        <w:lastRenderedPageBreak/>
        <w:t>Legal and ethical issues:</w:t>
      </w:r>
      <w:r w:rsidRPr="00A776BC">
        <w:rPr>
          <w:rFonts w:ascii="Open Sans" w:hAnsi="Open Sans" w:cs="Open Sans"/>
          <w:sz w:val="20"/>
          <w:szCs w:val="20"/>
        </w:rPr>
        <w:t xml:space="preserve"> </w:t>
      </w:r>
      <w:r w:rsidR="00043F76" w:rsidRPr="00A776BC">
        <w:rPr>
          <w:rFonts w:ascii="Open Sans" w:hAnsi="Open Sans" w:cs="Open Sans"/>
          <w:sz w:val="20"/>
          <w:szCs w:val="20"/>
        </w:rPr>
        <w:t xml:space="preserve">The firm’s legal counsel has noted that </w:t>
      </w:r>
      <w:r w:rsidR="004361B6" w:rsidRPr="00A776BC">
        <w:rPr>
          <w:rFonts w:ascii="Open Sans" w:hAnsi="Open Sans" w:cs="Open Sans"/>
          <w:sz w:val="20"/>
          <w:szCs w:val="20"/>
        </w:rPr>
        <w:t>there are no contractual obligations that are in place</w:t>
      </w:r>
      <w:r w:rsidR="00A1510E" w:rsidRPr="00A776BC">
        <w:rPr>
          <w:rFonts w:ascii="Open Sans" w:hAnsi="Open Sans" w:cs="Open Sans"/>
          <w:sz w:val="20"/>
          <w:szCs w:val="20"/>
        </w:rPr>
        <w:t>, and suggest that</w:t>
      </w:r>
      <w:r w:rsidR="004361B6" w:rsidRPr="00A776BC">
        <w:rPr>
          <w:rFonts w:ascii="Open Sans" w:hAnsi="Open Sans" w:cs="Open Sans"/>
          <w:sz w:val="20"/>
          <w:szCs w:val="20"/>
        </w:rPr>
        <w:t xml:space="preserve"> employees can be terminated with or without cause as long as the selection of individuals does not violate antidiscrimination law. </w:t>
      </w:r>
      <w:r w:rsidR="00043F76" w:rsidRPr="00A776BC">
        <w:rPr>
          <w:rFonts w:ascii="Open Sans" w:hAnsi="Open Sans" w:cs="Open Sans"/>
          <w:b/>
          <w:i/>
          <w:color w:val="33006F"/>
          <w:sz w:val="20"/>
          <w:szCs w:val="20"/>
        </w:rPr>
        <w:t>Federal Employment Law</w:t>
      </w:r>
      <w:r w:rsidR="00085F5F" w:rsidRPr="00A776BC">
        <w:rPr>
          <w:rFonts w:ascii="Open Sans" w:hAnsi="Open Sans" w:cs="Open Sans"/>
          <w:sz w:val="20"/>
          <w:szCs w:val="20"/>
        </w:rPr>
        <w:t xml:space="preserve"> </w:t>
      </w:r>
      <w:r w:rsidR="00043F76" w:rsidRPr="00A776BC">
        <w:rPr>
          <w:rFonts w:ascii="Open Sans" w:hAnsi="Open Sans" w:cs="Open Sans"/>
          <w:sz w:val="20"/>
          <w:szCs w:val="20"/>
        </w:rPr>
        <w:t>prohibits discrimination on the basis of race, sex, color, national origin, or religion (Title VII of the Civil Rights Act of 1964), on the basis of age for employees over the age of 40 (Age Discrimination in Employment Act), those with disabilities (Americans with Disabilities Act), those who are pregnant (Pregnancy Discrimination Act of 1978), those that fail polygraph tests (Employee Polygraph Protection Act), genetic information (Genetic Information Nondiscrimination Act)</w:t>
      </w:r>
      <w:r w:rsidR="004361B6" w:rsidRPr="00A776BC">
        <w:rPr>
          <w:rFonts w:ascii="Open Sans" w:hAnsi="Open Sans" w:cs="Open Sans"/>
          <w:sz w:val="20"/>
          <w:szCs w:val="20"/>
        </w:rPr>
        <w:t xml:space="preserve"> among other provisions and specific State employment laws</w:t>
      </w:r>
      <w:r w:rsidRPr="00A776BC">
        <w:rPr>
          <w:rFonts w:ascii="Open Sans" w:hAnsi="Open Sans" w:cs="Open Sans"/>
          <w:sz w:val="20"/>
          <w:szCs w:val="20"/>
        </w:rPr>
        <w:t>.</w:t>
      </w:r>
    </w:p>
    <w:p w14:paraId="33D053BE" w14:textId="77777777" w:rsidR="00043F76" w:rsidRPr="00A776BC" w:rsidRDefault="004361B6" w:rsidP="00085F5F">
      <w:pPr>
        <w:spacing w:before="120" w:after="120" w:line="360" w:lineRule="auto"/>
        <w:jc w:val="both"/>
        <w:rPr>
          <w:rFonts w:ascii="Open Sans" w:hAnsi="Open Sans" w:cs="Open Sans"/>
          <w:sz w:val="20"/>
          <w:szCs w:val="20"/>
        </w:rPr>
      </w:pPr>
      <w:r w:rsidRPr="00A776BC">
        <w:rPr>
          <w:rFonts w:ascii="Open Sans" w:hAnsi="Open Sans" w:cs="Open Sans"/>
          <w:sz w:val="20"/>
          <w:szCs w:val="20"/>
        </w:rPr>
        <w:t>The general counsel does not believe that the use of data collected from individuals, such as browser history and email, violates employee privacy as the company policy which has been communicated to all employees is that all electronic communication and retrieval is subject to internal audit and monitoring. You have also heard the HR manager mention that they are concerned that many individuals are unaware that their email and web browser history might be monitored. They raise the concern that it may be unethical to fire individuals for poor performance, or even workplace reduction</w:t>
      </w:r>
      <w:r w:rsidR="00E87316" w:rsidRPr="00A776BC">
        <w:rPr>
          <w:rFonts w:ascii="Open Sans" w:hAnsi="Open Sans" w:cs="Open Sans"/>
          <w:sz w:val="20"/>
          <w:szCs w:val="20"/>
        </w:rPr>
        <w:t>,</w:t>
      </w:r>
      <w:r w:rsidRPr="00A776BC">
        <w:rPr>
          <w:rFonts w:ascii="Open Sans" w:hAnsi="Open Sans" w:cs="Open Sans"/>
          <w:sz w:val="20"/>
          <w:szCs w:val="20"/>
        </w:rPr>
        <w:t xml:space="preserve"> based on web browser monitoring.</w:t>
      </w:r>
    </w:p>
    <w:p w14:paraId="5A2969D4" w14:textId="39DC950A" w:rsidR="00085F5F" w:rsidRPr="00A776BC" w:rsidRDefault="002C4A96" w:rsidP="002C4A96">
      <w:pPr>
        <w:spacing w:before="120" w:after="120" w:line="360" w:lineRule="auto"/>
        <w:jc w:val="both"/>
        <w:rPr>
          <w:rFonts w:ascii="Open Sans" w:hAnsi="Open Sans" w:cs="Open Sans"/>
          <w:sz w:val="20"/>
          <w:szCs w:val="20"/>
        </w:rPr>
      </w:pPr>
      <w:r w:rsidRPr="00A776BC">
        <w:rPr>
          <w:rFonts w:ascii="Open Sans" w:hAnsi="Open Sans" w:cs="Open Sans"/>
          <w:b/>
          <w:i/>
          <w:color w:val="33006F"/>
          <w:sz w:val="20"/>
          <w:szCs w:val="20"/>
        </w:rPr>
        <w:t>Browser history</w:t>
      </w:r>
      <w:r w:rsidR="00085F5F" w:rsidRPr="00A776BC">
        <w:rPr>
          <w:rFonts w:ascii="Open Sans" w:hAnsi="Open Sans" w:cs="Open Sans"/>
          <w:b/>
          <w:i/>
          <w:color w:val="33006F"/>
          <w:sz w:val="20"/>
          <w:szCs w:val="20"/>
        </w:rPr>
        <w:t>:</w:t>
      </w:r>
      <w:r w:rsidR="00085F5F" w:rsidRPr="00A776BC">
        <w:rPr>
          <w:rFonts w:ascii="Open Sans" w:hAnsi="Open Sans" w:cs="Open Sans"/>
          <w:sz w:val="20"/>
          <w:szCs w:val="20"/>
        </w:rPr>
        <w:t xml:space="preserve"> </w:t>
      </w:r>
      <w:r w:rsidR="00E87316" w:rsidRPr="00A776BC">
        <w:rPr>
          <w:rFonts w:ascii="Open Sans" w:hAnsi="Open Sans" w:cs="Open Sans"/>
          <w:sz w:val="20"/>
          <w:szCs w:val="20"/>
        </w:rPr>
        <w:t>The IT department has been able to generate reports on individuals’ browser history using searches to identify certain internet domains. They have identified job search websites, competitors’ websites</w:t>
      </w:r>
      <w:r w:rsidR="00321F90">
        <w:rPr>
          <w:rFonts w:ascii="Open Sans" w:hAnsi="Open Sans" w:cs="Open Sans"/>
          <w:sz w:val="20"/>
          <w:szCs w:val="20"/>
        </w:rPr>
        <w:t>,</w:t>
      </w:r>
      <w:r w:rsidR="00E87316" w:rsidRPr="00A776BC">
        <w:rPr>
          <w:rFonts w:ascii="Open Sans" w:hAnsi="Open Sans" w:cs="Open Sans"/>
          <w:sz w:val="20"/>
          <w:szCs w:val="20"/>
        </w:rPr>
        <w:t xml:space="preserve"> and social media websites, including </w:t>
      </w:r>
      <w:r w:rsidR="00321F90">
        <w:rPr>
          <w:rFonts w:ascii="Open Sans" w:hAnsi="Open Sans" w:cs="Open Sans"/>
          <w:sz w:val="20"/>
          <w:szCs w:val="20"/>
        </w:rPr>
        <w:t>F</w:t>
      </w:r>
      <w:r w:rsidR="00E87316" w:rsidRPr="00A776BC">
        <w:rPr>
          <w:rFonts w:ascii="Open Sans" w:hAnsi="Open Sans" w:cs="Open Sans"/>
          <w:sz w:val="20"/>
          <w:szCs w:val="20"/>
        </w:rPr>
        <w:t>acebook and twitter</w:t>
      </w:r>
      <w:r w:rsidR="0018655E" w:rsidRPr="00A776BC">
        <w:rPr>
          <w:rFonts w:ascii="Open Sans" w:hAnsi="Open Sans" w:cs="Open Sans"/>
          <w:sz w:val="20"/>
          <w:szCs w:val="20"/>
        </w:rPr>
        <w:t>, personal searches including political websites, news websites, and medical related searches</w:t>
      </w:r>
      <w:r w:rsidR="00E87316" w:rsidRPr="00A776BC">
        <w:rPr>
          <w:rFonts w:ascii="Open Sans" w:hAnsi="Open Sans" w:cs="Open Sans"/>
          <w:sz w:val="20"/>
          <w:szCs w:val="20"/>
        </w:rPr>
        <w:t xml:space="preserve">. </w:t>
      </w:r>
      <w:r w:rsidR="0018655E" w:rsidRPr="00A776BC">
        <w:rPr>
          <w:rFonts w:ascii="Open Sans" w:hAnsi="Open Sans" w:cs="Open Sans"/>
          <w:sz w:val="20"/>
          <w:szCs w:val="20"/>
        </w:rPr>
        <w:t>They can provide output on the total time spent on various websites, both from any company issued desktop computers used by employees and any personal wireless devices that connected through the company wireless, both of which require a login. They will keep this data in a secure location until it is requested by the group you are working with requests it. They are also holding back on analyzing email content or any other further monitoring until it is requested.</w:t>
      </w:r>
    </w:p>
    <w:p w14:paraId="44FA0190" w14:textId="57D25A6B" w:rsidR="00AB05D3" w:rsidRDefault="00AB05D3" w:rsidP="00AB05D3">
      <w:pPr>
        <w:pStyle w:val="Heading1"/>
        <w:rPr>
          <w:rFonts w:ascii="Open Sans" w:hAnsi="Open Sans" w:cs="Open Sans"/>
          <w:smallCaps/>
          <w:color w:val="33006F"/>
          <w:sz w:val="26"/>
          <w:szCs w:val="26"/>
        </w:rPr>
      </w:pPr>
      <w:bookmarkStart w:id="9" w:name="_Toc52021867"/>
      <w:r>
        <w:rPr>
          <w:rFonts w:ascii="Open Sans" w:hAnsi="Open Sans" w:cs="Open Sans"/>
          <w:smallCaps/>
          <w:color w:val="33006F"/>
          <w:sz w:val="26"/>
          <w:szCs w:val="26"/>
        </w:rPr>
        <w:t>Accounting</w:t>
      </w:r>
      <w:r w:rsidRPr="00A776BC">
        <w:rPr>
          <w:rFonts w:ascii="Open Sans" w:hAnsi="Open Sans" w:cs="Open Sans"/>
          <w:smallCaps/>
          <w:color w:val="33006F"/>
          <w:sz w:val="26"/>
          <w:szCs w:val="26"/>
        </w:rPr>
        <w:t xml:space="preserve"> Analytics</w:t>
      </w:r>
      <w:bookmarkEnd w:id="9"/>
    </w:p>
    <w:p w14:paraId="77C93251" w14:textId="113DCD7F" w:rsidR="00AB05D3" w:rsidRDefault="00E37C49" w:rsidP="00AB05D3">
      <w:pPr>
        <w:spacing w:before="120" w:after="120" w:line="360" w:lineRule="auto"/>
        <w:jc w:val="both"/>
        <w:rPr>
          <w:rFonts w:ascii="Open Sans" w:hAnsi="Open Sans" w:cs="Open Sans"/>
          <w:sz w:val="20"/>
          <w:szCs w:val="20"/>
        </w:rPr>
      </w:pPr>
      <w:r>
        <w:rPr>
          <w:rFonts w:ascii="Open Sans" w:hAnsi="Open Sans" w:cs="Open Sans"/>
          <w:b/>
          <w:i/>
          <w:color w:val="33006F"/>
          <w:sz w:val="20"/>
          <w:szCs w:val="20"/>
        </w:rPr>
        <w:t>Black box measures</w:t>
      </w:r>
      <w:r w:rsidR="00AB05D3" w:rsidRPr="00A776BC">
        <w:rPr>
          <w:rFonts w:ascii="Open Sans" w:hAnsi="Open Sans" w:cs="Open Sans"/>
          <w:b/>
          <w:i/>
          <w:color w:val="33006F"/>
          <w:sz w:val="20"/>
          <w:szCs w:val="20"/>
        </w:rPr>
        <w:t>:</w:t>
      </w:r>
      <w:r w:rsidR="00AB05D3" w:rsidRPr="00A776BC">
        <w:rPr>
          <w:rFonts w:ascii="Open Sans" w:hAnsi="Open Sans" w:cs="Open Sans"/>
          <w:sz w:val="20"/>
          <w:szCs w:val="20"/>
        </w:rPr>
        <w:t xml:space="preserve"> The</w:t>
      </w:r>
      <w:r w:rsidR="00AB05D3">
        <w:rPr>
          <w:rFonts w:ascii="Open Sans" w:hAnsi="Open Sans" w:cs="Open Sans"/>
          <w:sz w:val="20"/>
          <w:szCs w:val="20"/>
        </w:rPr>
        <w:t xml:space="preserve"> difficulty with looking at “black-box” measures, such as the internally generated flight-risk score is that we do not know how whether the score is purely objective or has inadvertently added an implicit bias. Implicit bias is defined on Dictionary.com as “</w:t>
      </w:r>
      <w:r w:rsidR="00AB05D3" w:rsidRPr="00AB05D3">
        <w:rPr>
          <w:rFonts w:ascii="Open Sans" w:hAnsi="Open Sans" w:cs="Open Sans"/>
          <w:sz w:val="20"/>
          <w:szCs w:val="20"/>
        </w:rPr>
        <w:t>bias that results from the tendency to process information based on unconscious associations and feelings, even when these are contrary to one’s conscious or declared beliefs</w:t>
      </w:r>
      <w:r w:rsidR="00AB05D3">
        <w:rPr>
          <w:rFonts w:ascii="Open Sans" w:hAnsi="Open Sans" w:cs="Open Sans"/>
          <w:sz w:val="20"/>
          <w:szCs w:val="20"/>
        </w:rPr>
        <w:t xml:space="preserve">.” Implicit bias is </w:t>
      </w:r>
      <w:r>
        <w:rPr>
          <w:rFonts w:ascii="Open Sans" w:hAnsi="Open Sans" w:cs="Open Sans"/>
          <w:sz w:val="20"/>
          <w:szCs w:val="20"/>
        </w:rPr>
        <w:t xml:space="preserve">widely understood to be a cause of unintended discrimination that leads to </w:t>
      </w:r>
      <w:r>
        <w:rPr>
          <w:rFonts w:ascii="Open Sans" w:hAnsi="Open Sans" w:cs="Open Sans"/>
          <w:sz w:val="20"/>
          <w:szCs w:val="20"/>
        </w:rPr>
        <w:lastRenderedPageBreak/>
        <w:t xml:space="preserve">racial, ethnic, socioeconomic, and other inequalities, and is </w:t>
      </w:r>
      <w:r w:rsidR="0016231C">
        <w:rPr>
          <w:rFonts w:ascii="Open Sans" w:hAnsi="Open Sans" w:cs="Open Sans"/>
          <w:sz w:val="20"/>
          <w:szCs w:val="20"/>
        </w:rPr>
        <w:t xml:space="preserve">a significant issue when making </w:t>
      </w:r>
      <w:r>
        <w:rPr>
          <w:rFonts w:ascii="Open Sans" w:hAnsi="Open Sans" w:cs="Open Sans"/>
          <w:sz w:val="20"/>
          <w:szCs w:val="20"/>
        </w:rPr>
        <w:t>business decisions, including those related to hiring and retention.</w:t>
      </w:r>
    </w:p>
    <w:p w14:paraId="15A73BFD" w14:textId="37F258CC" w:rsidR="00E37C49" w:rsidRDefault="00E37C49" w:rsidP="00E37C49">
      <w:pPr>
        <w:spacing w:before="120" w:after="120" w:line="360" w:lineRule="auto"/>
        <w:jc w:val="both"/>
        <w:rPr>
          <w:rFonts w:ascii="Open Sans" w:hAnsi="Open Sans" w:cs="Open Sans"/>
          <w:sz w:val="20"/>
          <w:szCs w:val="20"/>
        </w:rPr>
      </w:pPr>
      <w:r>
        <w:rPr>
          <w:rFonts w:ascii="Open Sans" w:hAnsi="Open Sans" w:cs="Open Sans"/>
          <w:b/>
          <w:i/>
          <w:color w:val="33006F"/>
          <w:sz w:val="20"/>
          <w:szCs w:val="20"/>
        </w:rPr>
        <w:t xml:space="preserve">Two-Sample Tests: </w:t>
      </w:r>
      <w:r w:rsidRPr="00A776BC">
        <w:rPr>
          <w:rFonts w:ascii="Open Sans" w:hAnsi="Open Sans" w:cs="Open Sans"/>
          <w:sz w:val="20"/>
          <w:szCs w:val="20"/>
        </w:rPr>
        <w:t>The</w:t>
      </w:r>
      <w:r>
        <w:rPr>
          <w:rFonts w:ascii="Open Sans" w:hAnsi="Open Sans" w:cs="Open Sans"/>
          <w:sz w:val="20"/>
          <w:szCs w:val="20"/>
        </w:rPr>
        <w:t xml:space="preserve"> way we can test for any bias in the measure is to use a statistical test that compares two sample means. In this case, we will use these statistical tests to investigate whether the flight risk score has an unintended bias. Specifically, we will </w:t>
      </w:r>
      <w:r w:rsidR="0016231C">
        <w:rPr>
          <w:rFonts w:ascii="Open Sans" w:hAnsi="Open Sans" w:cs="Open Sans"/>
          <w:sz w:val="20"/>
          <w:szCs w:val="20"/>
        </w:rPr>
        <w:t xml:space="preserve">consider unintended gender bias by </w:t>
      </w:r>
      <w:r>
        <w:rPr>
          <w:rFonts w:ascii="Open Sans" w:hAnsi="Open Sans" w:cs="Open Sans"/>
          <w:sz w:val="20"/>
          <w:szCs w:val="20"/>
        </w:rPr>
        <w:t>examin</w:t>
      </w:r>
      <w:r w:rsidR="0016231C">
        <w:rPr>
          <w:rFonts w:ascii="Open Sans" w:hAnsi="Open Sans" w:cs="Open Sans"/>
          <w:sz w:val="20"/>
          <w:szCs w:val="20"/>
        </w:rPr>
        <w:t>ing</w:t>
      </w:r>
      <w:r>
        <w:rPr>
          <w:rFonts w:ascii="Open Sans" w:hAnsi="Open Sans" w:cs="Open Sans"/>
          <w:sz w:val="20"/>
          <w:szCs w:val="20"/>
        </w:rPr>
        <w:t xml:space="preserve"> whether those identified as high flight risk are more likely to be male or female. </w:t>
      </w:r>
    </w:p>
    <w:p w14:paraId="01CDC0A3" w14:textId="2D0521D6" w:rsidR="005951C3" w:rsidRPr="00A776BC" w:rsidRDefault="005951C3" w:rsidP="005951C3">
      <w:pPr>
        <w:pStyle w:val="Heading1"/>
        <w:rPr>
          <w:rFonts w:ascii="Open Sans" w:hAnsi="Open Sans" w:cs="Open Sans"/>
          <w:smallCaps/>
          <w:color w:val="33006F"/>
          <w:sz w:val="26"/>
          <w:szCs w:val="26"/>
        </w:rPr>
      </w:pPr>
      <w:bookmarkStart w:id="10" w:name="_Toc52021868"/>
      <w:r w:rsidRPr="00A776BC">
        <w:rPr>
          <w:rFonts w:ascii="Open Sans" w:hAnsi="Open Sans" w:cs="Open Sans"/>
          <w:smallCaps/>
          <w:color w:val="33006F"/>
          <w:sz w:val="26"/>
          <w:szCs w:val="26"/>
        </w:rPr>
        <w:t>Data and Resources</w:t>
      </w:r>
      <w:bookmarkEnd w:id="10"/>
    </w:p>
    <w:p w14:paraId="4D63DFCA" w14:textId="77777777" w:rsidR="00732C96" w:rsidRPr="00A776BC" w:rsidRDefault="00177FDE" w:rsidP="00F8742C">
      <w:pPr>
        <w:spacing w:before="120" w:after="120" w:line="360" w:lineRule="auto"/>
        <w:jc w:val="both"/>
        <w:rPr>
          <w:rFonts w:ascii="Open Sans" w:hAnsi="Open Sans" w:cs="Open Sans"/>
          <w:sz w:val="20"/>
          <w:szCs w:val="20"/>
        </w:rPr>
      </w:pPr>
      <w:r w:rsidRPr="00A776BC">
        <w:rPr>
          <w:rFonts w:ascii="Open Sans" w:hAnsi="Open Sans" w:cs="Open Sans"/>
          <w:sz w:val="20"/>
          <w:szCs w:val="20"/>
        </w:rPr>
        <w:t>The following data</w:t>
      </w:r>
      <w:r w:rsidR="00BF2C70" w:rsidRPr="00A776BC">
        <w:rPr>
          <w:rFonts w:ascii="Open Sans" w:hAnsi="Open Sans" w:cs="Open Sans"/>
          <w:sz w:val="20"/>
          <w:szCs w:val="20"/>
        </w:rPr>
        <w:t xml:space="preserve"> and resources are </w:t>
      </w:r>
      <w:r w:rsidRPr="00A776BC">
        <w:rPr>
          <w:rFonts w:ascii="Open Sans" w:hAnsi="Open Sans" w:cs="Open Sans"/>
          <w:sz w:val="20"/>
          <w:szCs w:val="20"/>
        </w:rPr>
        <w:t xml:space="preserve">available in the </w:t>
      </w:r>
      <w:r w:rsidR="00BF2C70" w:rsidRPr="00A776BC">
        <w:rPr>
          <w:rFonts w:ascii="Open Sans" w:hAnsi="Open Sans" w:cs="Open Sans"/>
          <w:sz w:val="20"/>
          <w:szCs w:val="20"/>
        </w:rPr>
        <w:t>case supplement</w:t>
      </w:r>
      <w:r w:rsidRPr="00A776BC">
        <w:rPr>
          <w:rFonts w:ascii="Open Sans" w:hAnsi="Open Sans" w:cs="Open Sans"/>
          <w:sz w:val="20"/>
          <w:szCs w:val="20"/>
        </w:rPr>
        <w:t>:</w:t>
      </w:r>
    </w:p>
    <w:p w14:paraId="5DCCF53C" w14:textId="77777777" w:rsidR="00A31D30" w:rsidRDefault="00A17C6A" w:rsidP="00D7236E">
      <w:pPr>
        <w:pStyle w:val="ListParagraph"/>
        <w:numPr>
          <w:ilvl w:val="0"/>
          <w:numId w:val="8"/>
        </w:numPr>
        <w:spacing w:before="120" w:after="120" w:line="360" w:lineRule="auto"/>
        <w:jc w:val="both"/>
        <w:rPr>
          <w:rFonts w:ascii="Open Sans" w:hAnsi="Open Sans" w:cs="Open Sans"/>
          <w:sz w:val="20"/>
          <w:szCs w:val="20"/>
        </w:rPr>
      </w:pPr>
      <w:r w:rsidRPr="00A776BC">
        <w:rPr>
          <w:rFonts w:ascii="Open Sans" w:hAnsi="Open Sans" w:cs="Open Sans"/>
          <w:sz w:val="20"/>
          <w:szCs w:val="20"/>
        </w:rPr>
        <w:t>The</w:t>
      </w:r>
      <w:r w:rsidR="00A31D30">
        <w:rPr>
          <w:rFonts w:ascii="Open Sans" w:hAnsi="Open Sans" w:cs="Open Sans"/>
          <w:sz w:val="20"/>
          <w:szCs w:val="20"/>
        </w:rPr>
        <w:t>re are three datasets related to this case:</w:t>
      </w:r>
    </w:p>
    <w:p w14:paraId="0B8D3988" w14:textId="3C78D534" w:rsidR="00BE4E64" w:rsidRDefault="00A31D30" w:rsidP="00A31D30">
      <w:pPr>
        <w:pStyle w:val="ListParagraph"/>
        <w:numPr>
          <w:ilvl w:val="1"/>
          <w:numId w:val="8"/>
        </w:numPr>
        <w:spacing w:before="120" w:after="120" w:line="360" w:lineRule="auto"/>
        <w:jc w:val="both"/>
        <w:rPr>
          <w:rFonts w:ascii="Open Sans" w:hAnsi="Open Sans" w:cs="Open Sans"/>
          <w:sz w:val="20"/>
          <w:szCs w:val="20"/>
        </w:rPr>
      </w:pPr>
      <w:r>
        <w:rPr>
          <w:rFonts w:ascii="Open Sans" w:hAnsi="Open Sans" w:cs="Open Sans"/>
          <w:sz w:val="20"/>
          <w:szCs w:val="20"/>
        </w:rPr>
        <w:t xml:space="preserve">The flight risk </w:t>
      </w:r>
      <w:proofErr w:type="gramStart"/>
      <w:r>
        <w:rPr>
          <w:rFonts w:ascii="Open Sans" w:hAnsi="Open Sans" w:cs="Open Sans"/>
          <w:sz w:val="20"/>
          <w:szCs w:val="20"/>
        </w:rPr>
        <w:t>scores</w:t>
      </w:r>
      <w:proofErr w:type="gramEnd"/>
      <w:r>
        <w:rPr>
          <w:rFonts w:ascii="Open Sans" w:hAnsi="Open Sans" w:cs="Open Sans"/>
          <w:sz w:val="20"/>
          <w:szCs w:val="20"/>
        </w:rPr>
        <w:t xml:space="preserve"> and surveillance of web searches data is recorded in “employeedata.xlsx”</w:t>
      </w:r>
    </w:p>
    <w:p w14:paraId="674F3619" w14:textId="6BCACEB0" w:rsidR="00A31D30" w:rsidRDefault="00A31D30" w:rsidP="00A31D30">
      <w:pPr>
        <w:pStyle w:val="ListParagraph"/>
        <w:numPr>
          <w:ilvl w:val="1"/>
          <w:numId w:val="8"/>
        </w:numPr>
        <w:spacing w:before="120" w:after="120" w:line="360" w:lineRule="auto"/>
        <w:jc w:val="both"/>
        <w:rPr>
          <w:rFonts w:ascii="Open Sans" w:hAnsi="Open Sans" w:cs="Open Sans"/>
          <w:sz w:val="20"/>
          <w:szCs w:val="20"/>
        </w:rPr>
      </w:pPr>
      <w:r>
        <w:rPr>
          <w:rFonts w:ascii="Open Sans" w:hAnsi="Open Sans" w:cs="Open Sans"/>
          <w:sz w:val="20"/>
          <w:szCs w:val="20"/>
        </w:rPr>
        <w:t xml:space="preserve">The </w:t>
      </w:r>
      <w:r w:rsidR="005D6E3B">
        <w:rPr>
          <w:rFonts w:ascii="Open Sans" w:hAnsi="Open Sans" w:cs="Open Sans"/>
          <w:sz w:val="20"/>
          <w:szCs w:val="20"/>
        </w:rPr>
        <w:t xml:space="preserve">“Resutructuring_estimates_and_impact.xlsx” has the </w:t>
      </w:r>
      <w:r>
        <w:rPr>
          <w:rFonts w:ascii="Open Sans" w:hAnsi="Open Sans" w:cs="Open Sans"/>
          <w:sz w:val="20"/>
          <w:szCs w:val="20"/>
        </w:rPr>
        <w:t xml:space="preserve">accounting department </w:t>
      </w:r>
      <w:r w:rsidR="005D6E3B">
        <w:rPr>
          <w:rFonts w:ascii="Open Sans" w:hAnsi="Open Sans" w:cs="Open Sans"/>
          <w:sz w:val="20"/>
          <w:szCs w:val="20"/>
        </w:rPr>
        <w:t>estimates</w:t>
      </w:r>
      <w:r>
        <w:rPr>
          <w:rFonts w:ascii="Open Sans" w:hAnsi="Open Sans" w:cs="Open Sans"/>
          <w:sz w:val="20"/>
          <w:szCs w:val="20"/>
        </w:rPr>
        <w:t xml:space="preserve"> </w:t>
      </w:r>
    </w:p>
    <w:p w14:paraId="057808B8" w14:textId="75B9D673" w:rsidR="00321F90" w:rsidRPr="00321F90" w:rsidRDefault="00A31D30" w:rsidP="00321F90">
      <w:pPr>
        <w:pStyle w:val="ListParagraph"/>
        <w:numPr>
          <w:ilvl w:val="1"/>
          <w:numId w:val="8"/>
        </w:numPr>
        <w:spacing w:before="120" w:after="120" w:line="360" w:lineRule="auto"/>
        <w:jc w:val="both"/>
        <w:rPr>
          <w:rFonts w:ascii="Open Sans" w:hAnsi="Open Sans" w:cs="Open Sans"/>
          <w:sz w:val="20"/>
          <w:szCs w:val="20"/>
        </w:rPr>
      </w:pPr>
      <w:r>
        <w:rPr>
          <w:rFonts w:ascii="Open Sans" w:hAnsi="Open Sans" w:cs="Open Sans"/>
          <w:sz w:val="20"/>
          <w:szCs w:val="20"/>
        </w:rPr>
        <w:t>The “name_gender.csv” file has the likelihood of a first name being male or female</w:t>
      </w:r>
      <w:r w:rsidR="005D6E3B">
        <w:rPr>
          <w:rFonts w:ascii="Open Sans" w:hAnsi="Open Sans" w:cs="Open Sans"/>
          <w:sz w:val="20"/>
          <w:szCs w:val="20"/>
        </w:rPr>
        <w:t>.</w:t>
      </w:r>
    </w:p>
    <w:p w14:paraId="599690F3" w14:textId="77777777" w:rsidR="00AE4AA3" w:rsidRPr="00A776BC" w:rsidRDefault="00AE4AA3" w:rsidP="00AE4AA3">
      <w:pPr>
        <w:pStyle w:val="Heading1"/>
        <w:rPr>
          <w:rFonts w:ascii="Open Sans" w:hAnsi="Open Sans" w:cs="Open Sans"/>
          <w:smallCaps/>
          <w:color w:val="33006F"/>
          <w:sz w:val="26"/>
          <w:szCs w:val="26"/>
        </w:rPr>
      </w:pPr>
      <w:bookmarkStart w:id="11" w:name="_Toc52021869"/>
      <w:r w:rsidRPr="00A776BC">
        <w:rPr>
          <w:rFonts w:ascii="Open Sans" w:hAnsi="Open Sans" w:cs="Open Sans"/>
          <w:smallCaps/>
          <w:color w:val="33006F"/>
          <w:sz w:val="26"/>
          <w:szCs w:val="26"/>
        </w:rPr>
        <w:t>References</w:t>
      </w:r>
      <w:bookmarkEnd w:id="11"/>
    </w:p>
    <w:p w14:paraId="00439B2A" w14:textId="77777777" w:rsidR="00B4714A" w:rsidRPr="00A776BC" w:rsidRDefault="001A6E2C" w:rsidP="00B4714A">
      <w:pPr>
        <w:pStyle w:val="EndNoteBibliography"/>
        <w:ind w:left="720" w:hanging="720"/>
        <w:rPr>
          <w:rFonts w:ascii="Open Sans" w:hAnsi="Open Sans" w:cs="Open Sans"/>
          <w:sz w:val="20"/>
          <w:szCs w:val="20"/>
        </w:rPr>
      </w:pPr>
      <w:r w:rsidRPr="00A776BC">
        <w:rPr>
          <w:rFonts w:ascii="Open Sans" w:hAnsi="Open Sans" w:cs="Open Sans"/>
          <w:sz w:val="20"/>
          <w:szCs w:val="20"/>
        </w:rPr>
        <w:fldChar w:fldCharType="begin"/>
      </w:r>
      <w:r w:rsidRPr="00A776BC">
        <w:rPr>
          <w:rFonts w:ascii="Open Sans" w:hAnsi="Open Sans" w:cs="Open Sans"/>
          <w:sz w:val="20"/>
          <w:szCs w:val="20"/>
        </w:rPr>
        <w:instrText xml:space="preserve"> ADDIN EN.REFLIST </w:instrText>
      </w:r>
      <w:r w:rsidRPr="00A776BC">
        <w:rPr>
          <w:rFonts w:ascii="Open Sans" w:hAnsi="Open Sans" w:cs="Open Sans"/>
          <w:sz w:val="20"/>
          <w:szCs w:val="20"/>
        </w:rPr>
        <w:fldChar w:fldCharType="separate"/>
      </w:r>
      <w:r w:rsidR="00B4714A" w:rsidRPr="00A776BC">
        <w:rPr>
          <w:rFonts w:ascii="Open Sans" w:hAnsi="Open Sans" w:cs="Open Sans"/>
          <w:sz w:val="20"/>
          <w:szCs w:val="20"/>
        </w:rPr>
        <w:t>Deloitte. 2016. Global Human Capital Trends 2016: The new organization: Different by design: Deloitte University Press.</w:t>
      </w:r>
    </w:p>
    <w:p w14:paraId="3CA4486A" w14:textId="77777777" w:rsidR="00B4714A" w:rsidRPr="00A776BC" w:rsidRDefault="00B4714A" w:rsidP="00B4714A">
      <w:pPr>
        <w:pStyle w:val="EndNoteBibliography"/>
        <w:ind w:left="720" w:hanging="720"/>
        <w:rPr>
          <w:rFonts w:ascii="Open Sans" w:hAnsi="Open Sans" w:cs="Open Sans"/>
          <w:sz w:val="20"/>
          <w:szCs w:val="20"/>
        </w:rPr>
      </w:pPr>
      <w:r w:rsidRPr="00A776BC">
        <w:rPr>
          <w:rFonts w:ascii="Open Sans" w:hAnsi="Open Sans" w:cs="Open Sans"/>
          <w:sz w:val="20"/>
          <w:szCs w:val="20"/>
        </w:rPr>
        <w:t xml:space="preserve">Siegal, E. 2016. </w:t>
      </w:r>
      <w:r w:rsidRPr="00A776BC">
        <w:rPr>
          <w:rFonts w:ascii="Open Sans" w:hAnsi="Open Sans" w:cs="Open Sans"/>
          <w:i/>
          <w:sz w:val="20"/>
          <w:szCs w:val="20"/>
        </w:rPr>
        <w:t>Predictive Analytics</w:t>
      </w:r>
      <w:r w:rsidRPr="00A776BC">
        <w:rPr>
          <w:rFonts w:ascii="Open Sans" w:hAnsi="Open Sans" w:cs="Open Sans"/>
          <w:sz w:val="20"/>
          <w:szCs w:val="20"/>
        </w:rPr>
        <w:t>. Hoboken, NJ: John Wiley &amp; Sons.</w:t>
      </w:r>
    </w:p>
    <w:p w14:paraId="057AE028" w14:textId="77777777" w:rsidR="00866991" w:rsidRPr="00A776BC" w:rsidRDefault="001A6E2C" w:rsidP="001A6E2C">
      <w:pPr>
        <w:spacing w:line="240" w:lineRule="auto"/>
        <w:rPr>
          <w:rFonts w:ascii="Open Sans" w:hAnsi="Open Sans" w:cs="Open Sans"/>
          <w:sz w:val="20"/>
          <w:szCs w:val="20"/>
        </w:rPr>
      </w:pPr>
      <w:r w:rsidRPr="00A776BC">
        <w:rPr>
          <w:rFonts w:ascii="Open Sans" w:hAnsi="Open Sans" w:cs="Open Sans"/>
          <w:sz w:val="20"/>
          <w:szCs w:val="20"/>
        </w:rPr>
        <w:fldChar w:fldCharType="end"/>
      </w:r>
    </w:p>
    <w:tbl>
      <w:tblPr>
        <w:tblStyle w:val="TableGrid"/>
        <w:tblpPr w:leftFromText="180" w:rightFromText="180" w:vertAnchor="text" w:horzAnchor="margin" w:tblpY="3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5"/>
        <w:gridCol w:w="7593"/>
      </w:tblGrid>
      <w:tr w:rsidR="001A6E2C" w:rsidRPr="00A776BC" w14:paraId="517218FD" w14:textId="77777777" w:rsidTr="00201681">
        <w:trPr>
          <w:trHeight w:val="85"/>
        </w:trPr>
        <w:tc>
          <w:tcPr>
            <w:tcW w:w="2087" w:type="dxa"/>
            <w:tcBorders>
              <w:bottom w:val="single" w:sz="4" w:space="0" w:color="auto"/>
            </w:tcBorders>
          </w:tcPr>
          <w:p w14:paraId="55F611A2" w14:textId="77777777" w:rsidR="001A6E2C" w:rsidRPr="00A776BC" w:rsidRDefault="001A6E2C" w:rsidP="00705483">
            <w:pPr>
              <w:rPr>
                <w:rFonts w:ascii="Open Sans" w:hAnsi="Open Sans" w:cs="Open Sans"/>
                <w:sz w:val="10"/>
                <w:szCs w:val="20"/>
              </w:rPr>
            </w:pPr>
          </w:p>
        </w:tc>
        <w:tc>
          <w:tcPr>
            <w:tcW w:w="7741" w:type="dxa"/>
          </w:tcPr>
          <w:p w14:paraId="5C0F490B" w14:textId="77777777" w:rsidR="001A6E2C" w:rsidRPr="00A776BC" w:rsidRDefault="001A6E2C" w:rsidP="00705483">
            <w:pPr>
              <w:rPr>
                <w:rFonts w:ascii="Open Sans" w:hAnsi="Open Sans" w:cs="Open Sans"/>
                <w:sz w:val="10"/>
                <w:szCs w:val="20"/>
              </w:rPr>
            </w:pPr>
          </w:p>
        </w:tc>
      </w:tr>
      <w:tr w:rsidR="001A6E2C" w:rsidRPr="00A776BC" w14:paraId="1F939B7D" w14:textId="77777777" w:rsidTr="00201681">
        <w:trPr>
          <w:trHeight w:val="612"/>
        </w:trPr>
        <w:tc>
          <w:tcPr>
            <w:tcW w:w="9828" w:type="dxa"/>
            <w:gridSpan w:val="2"/>
          </w:tcPr>
          <w:p w14:paraId="213594A1" w14:textId="3C005711" w:rsidR="001A6E2C" w:rsidRPr="00A776BC" w:rsidRDefault="001A6E2C" w:rsidP="00FD1278">
            <w:pPr>
              <w:spacing w:line="240" w:lineRule="auto"/>
              <w:jc w:val="both"/>
              <w:rPr>
                <w:rFonts w:ascii="Open Sans" w:hAnsi="Open Sans" w:cs="Open Sans"/>
                <w:sz w:val="20"/>
                <w:szCs w:val="20"/>
              </w:rPr>
            </w:pPr>
            <w:r w:rsidRPr="00A776BC">
              <w:rPr>
                <w:rFonts w:ascii="Open Sans" w:hAnsi="Open Sans" w:cs="Open Sans"/>
                <w:b/>
                <w:color w:val="33006F"/>
                <w:sz w:val="18"/>
                <w:szCs w:val="20"/>
              </w:rPr>
              <w:t>Acknowledgements:</w:t>
            </w:r>
            <w:r w:rsidRPr="00A776BC">
              <w:rPr>
                <w:rFonts w:ascii="Open Sans" w:hAnsi="Open Sans" w:cs="Open Sans"/>
                <w:sz w:val="18"/>
                <w:szCs w:val="20"/>
              </w:rPr>
              <w:t xml:space="preserve"> This case </w:t>
            </w:r>
            <w:r w:rsidR="00FD1278" w:rsidRPr="00A776BC">
              <w:rPr>
                <w:rFonts w:ascii="Open Sans" w:hAnsi="Open Sans" w:cs="Open Sans"/>
                <w:sz w:val="18"/>
                <w:szCs w:val="20"/>
              </w:rPr>
              <w:t xml:space="preserve">written </w:t>
            </w:r>
            <w:r w:rsidR="00201681" w:rsidRPr="00A776BC">
              <w:rPr>
                <w:rFonts w:ascii="Open Sans" w:hAnsi="Open Sans" w:cs="Open Sans"/>
                <w:sz w:val="18"/>
                <w:szCs w:val="20"/>
              </w:rPr>
              <w:t xml:space="preserve">by Asher Curtis in </w:t>
            </w:r>
            <w:r w:rsidRPr="00A776BC">
              <w:rPr>
                <w:rFonts w:ascii="Open Sans" w:hAnsi="Open Sans" w:cs="Open Sans"/>
                <w:sz w:val="18"/>
                <w:szCs w:val="20"/>
              </w:rPr>
              <w:t>Winter 2017.</w:t>
            </w:r>
            <w:r w:rsidR="00A776BC">
              <w:rPr>
                <w:rFonts w:ascii="Open Sans" w:hAnsi="Open Sans" w:cs="Open Sans"/>
                <w:sz w:val="18"/>
                <w:szCs w:val="20"/>
              </w:rPr>
              <w:t xml:space="preserve"> Revised Fall 2020.</w:t>
            </w:r>
          </w:p>
        </w:tc>
      </w:tr>
    </w:tbl>
    <w:p w14:paraId="7CC0CA52" w14:textId="77777777" w:rsidR="002706F3" w:rsidRPr="00A776BC" w:rsidRDefault="002706F3" w:rsidP="00BF2C70">
      <w:pPr>
        <w:spacing w:line="240" w:lineRule="auto"/>
        <w:rPr>
          <w:rFonts w:ascii="Open Sans" w:hAnsi="Open Sans" w:cs="Open Sans"/>
          <w:sz w:val="20"/>
          <w:szCs w:val="20"/>
        </w:rPr>
      </w:pPr>
    </w:p>
    <w:sectPr w:rsidR="002706F3" w:rsidRPr="00A776BC" w:rsidSect="005D6E3B">
      <w:headerReference w:type="default" r:id="rId11"/>
      <w:footerReference w:type="default" r:id="rId12"/>
      <w:headerReference w:type="first" r:id="rId13"/>
      <w:footerReference w:type="first" r:id="rId14"/>
      <w:pgSz w:w="12240" w:h="15840" w:code="1"/>
      <w:pgMar w:top="1440" w:right="1440" w:bottom="1440" w:left="1152" w:header="907" w:footer="57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89329B" w14:textId="77777777" w:rsidR="006A4D6A" w:rsidRDefault="006A4D6A" w:rsidP="00046408">
      <w:pPr>
        <w:spacing w:line="240" w:lineRule="auto"/>
      </w:pPr>
      <w:r>
        <w:separator/>
      </w:r>
    </w:p>
  </w:endnote>
  <w:endnote w:type="continuationSeparator" w:id="0">
    <w:p w14:paraId="281C3F47" w14:textId="77777777" w:rsidR="006A4D6A" w:rsidRDefault="006A4D6A" w:rsidP="000464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68C99AB-6C22-4154-9992-BFDB56E4E62B}"/>
    <w:embedBold r:id="rId2" w:fontKey="{C156B124-9254-4915-ABDD-CD0B65A92C11}"/>
    <w:embedItalic r:id="rId3" w:fontKey="{E9DC5C3F-0904-4FF9-8B3B-B69F276E0888}"/>
    <w:embedBoldItalic r:id="rId4" w:fontKey="{2FF79054-9D41-4C9B-9BF2-FA0F7E843CBB}"/>
  </w:font>
  <w:font w:name="Tahoma">
    <w:panose1 w:val="020B0604030504040204"/>
    <w:charset w:val="00"/>
    <w:family w:val="swiss"/>
    <w:pitch w:val="variable"/>
    <w:sig w:usb0="E1002EFF" w:usb1="C000605B" w:usb2="00000029" w:usb3="00000000" w:csb0="000101FF" w:csb1="00000000"/>
    <w:embedRegular r:id="rId5" w:fontKey="{04405B26-E026-4C8A-9049-0FCCC4979841}"/>
  </w:font>
  <w:font w:name="Open Sans">
    <w:altName w:val="Segoe UI"/>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0558761"/>
      <w:docPartObj>
        <w:docPartGallery w:val="Page Numbers (Bottom of Page)"/>
        <w:docPartUnique/>
      </w:docPartObj>
    </w:sdtPr>
    <w:sdtEndPr>
      <w:rPr>
        <w:color w:val="33006F"/>
        <w:spacing w:val="60"/>
      </w:rPr>
    </w:sdtEndPr>
    <w:sdtContent>
      <w:p w14:paraId="3DA3867F" w14:textId="77777777" w:rsidR="00AE623D" w:rsidRDefault="00AE623D">
        <w:pPr>
          <w:pStyle w:val="Footer"/>
          <w:pBdr>
            <w:top w:val="single" w:sz="4" w:space="1" w:color="D9D9D9" w:themeColor="background1" w:themeShade="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sidR="00D748C7">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456B9A04" w14:textId="77777777" w:rsidR="00AE623D" w:rsidRDefault="00AE62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AE623D" w:rsidRPr="005951C3" w14:paraId="26BC3D33" w14:textId="77777777" w:rsidTr="00E423D7">
      <w:tc>
        <w:tcPr>
          <w:tcW w:w="8298" w:type="dxa"/>
        </w:tcPr>
        <w:p w14:paraId="6CB5898F" w14:textId="77777777" w:rsidR="00AE623D" w:rsidRPr="005951C3" w:rsidRDefault="00AE623D"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by Asher Curtis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14:paraId="0B6B1974" w14:textId="77777777" w:rsidR="00AE623D" w:rsidRPr="005951C3" w:rsidRDefault="00AE623D"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1F03B7FC" wp14:editId="6CB5F34B">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1E84A100" w14:textId="77777777" w:rsidR="00AE623D" w:rsidRDefault="00AE62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9B7AD0" w14:textId="77777777" w:rsidR="006A4D6A" w:rsidRDefault="006A4D6A" w:rsidP="00046408">
      <w:pPr>
        <w:spacing w:line="240" w:lineRule="auto"/>
      </w:pPr>
      <w:r>
        <w:separator/>
      </w:r>
    </w:p>
  </w:footnote>
  <w:footnote w:type="continuationSeparator" w:id="0">
    <w:p w14:paraId="33A97FD7" w14:textId="77777777" w:rsidR="006A4D6A" w:rsidRDefault="006A4D6A" w:rsidP="000464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816B6F" w14:textId="77777777" w:rsidR="00AE623D" w:rsidRDefault="00AE623D" w:rsidP="006F33FC">
    <w:pPr>
      <w:pStyle w:val="FBLogo"/>
      <w:spacing w:after="120"/>
    </w:pPr>
  </w:p>
  <w:p w14:paraId="6B035CF6" w14:textId="77777777" w:rsidR="00AE623D" w:rsidRPr="001F60E1" w:rsidRDefault="00AE623D" w:rsidP="001F60E1">
    <w:pPr>
      <w:jc w:val="right"/>
      <w:rPr>
        <w:color w:val="33006F"/>
      </w:rPr>
    </w:pPr>
    <w:r w:rsidRPr="001F60E1">
      <w:rPr>
        <w:color w:val="33006F"/>
      </w:rPr>
      <w:t>Foster School of Business Case</w:t>
    </w:r>
  </w:p>
  <w:p w14:paraId="02B51061" w14:textId="2CEFB328" w:rsidR="00AE623D" w:rsidRDefault="005D6E3B" w:rsidP="001F60E1">
    <w:pPr>
      <w:jc w:val="right"/>
      <w:rPr>
        <w:color w:val="33006F"/>
      </w:rPr>
    </w:pPr>
    <w:r>
      <w:rPr>
        <w:color w:val="33006F"/>
      </w:rPr>
      <w:t>Ethics in Data Usage</w:t>
    </w:r>
  </w:p>
  <w:p w14:paraId="02B8C453" w14:textId="77777777" w:rsidR="00E37C49" w:rsidRPr="001F60E1" w:rsidRDefault="00E37C49"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6156"/>
    </w:tblGrid>
    <w:tr w:rsidR="00AE623D" w14:paraId="5B1EDCE9" w14:textId="77777777" w:rsidTr="00E423D7">
      <w:trPr>
        <w:trHeight w:val="1174"/>
      </w:trPr>
      <w:tc>
        <w:tcPr>
          <w:tcW w:w="4032" w:type="dxa"/>
        </w:tcPr>
        <w:p w14:paraId="46F59783" w14:textId="77777777" w:rsidR="00AE623D" w:rsidRDefault="00AE623D" w:rsidP="00793977">
          <w:pPr>
            <w:pStyle w:val="FBLogo"/>
            <w:spacing w:after="240"/>
            <w:jc w:val="left"/>
          </w:pPr>
          <w:r>
            <w:rPr>
              <w:noProof/>
            </w:rPr>
            <w:drawing>
              <wp:anchor distT="0" distB="0" distL="114300" distR="114300" simplePos="0" relativeHeight="251659264" behindDoc="0" locked="0" layoutInCell="1" allowOverlap="1" wp14:anchorId="53A94F33" wp14:editId="21504214">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156" w:type="dxa"/>
        </w:tcPr>
        <w:p w14:paraId="56C256A7" w14:textId="77777777" w:rsidR="00AE623D" w:rsidRDefault="00AE623D" w:rsidP="00793977">
          <w:pPr>
            <w:pStyle w:val="FBLogo"/>
            <w:spacing w:after="240"/>
            <w:ind w:firstLine="18"/>
            <w:jc w:val="left"/>
          </w:pPr>
        </w:p>
        <w:p w14:paraId="78832B3E" w14:textId="77777777" w:rsidR="00AE623D" w:rsidRPr="00793977" w:rsidRDefault="00AE623D" w:rsidP="00793977">
          <w:pPr>
            <w:jc w:val="right"/>
          </w:pPr>
        </w:p>
      </w:tc>
    </w:tr>
  </w:tbl>
  <w:p w14:paraId="4A0DCC5B" w14:textId="77777777" w:rsidR="00AE623D" w:rsidRDefault="00AE623D"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510F64"/>
    <w:multiLevelType w:val="hybridMultilevel"/>
    <w:tmpl w:val="4CBA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D4170"/>
    <w:multiLevelType w:val="hybridMultilevel"/>
    <w:tmpl w:val="3274E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924D54"/>
    <w:multiLevelType w:val="hybridMultilevel"/>
    <w:tmpl w:val="886E8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8A3C47"/>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C747B1"/>
    <w:multiLevelType w:val="hybridMultilevel"/>
    <w:tmpl w:val="2AF8E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B12E7E"/>
    <w:multiLevelType w:val="hybridMultilevel"/>
    <w:tmpl w:val="9678D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22635"/>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F51DC0"/>
    <w:multiLevelType w:val="hybridMultilevel"/>
    <w:tmpl w:val="7BE21EA0"/>
    <w:lvl w:ilvl="0" w:tplc="22F8ED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911E3B"/>
    <w:multiLevelType w:val="hybridMultilevel"/>
    <w:tmpl w:val="CA42B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F567D9"/>
    <w:multiLevelType w:val="hybridMultilevel"/>
    <w:tmpl w:val="677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1538AB"/>
    <w:multiLevelType w:val="hybridMultilevel"/>
    <w:tmpl w:val="B0EA8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9B508B"/>
    <w:multiLevelType w:val="hybridMultilevel"/>
    <w:tmpl w:val="DAA8D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3E0602"/>
    <w:multiLevelType w:val="hybridMultilevel"/>
    <w:tmpl w:val="5AA0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DA1CDB"/>
    <w:multiLevelType w:val="hybridMultilevel"/>
    <w:tmpl w:val="7BEE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7A3532"/>
    <w:multiLevelType w:val="hybridMultilevel"/>
    <w:tmpl w:val="1CC6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3"/>
  </w:num>
  <w:num w:numId="4">
    <w:abstractNumId w:val="6"/>
  </w:num>
  <w:num w:numId="5">
    <w:abstractNumId w:val="13"/>
  </w:num>
  <w:num w:numId="6">
    <w:abstractNumId w:val="4"/>
  </w:num>
  <w:num w:numId="7">
    <w:abstractNumId w:val="5"/>
  </w:num>
  <w:num w:numId="8">
    <w:abstractNumId w:val="1"/>
  </w:num>
  <w:num w:numId="9">
    <w:abstractNumId w:val="8"/>
  </w:num>
  <w:num w:numId="10">
    <w:abstractNumId w:val="7"/>
  </w:num>
  <w:num w:numId="11">
    <w:abstractNumId w:val="10"/>
  </w:num>
  <w:num w:numId="12">
    <w:abstractNumId w:val="0"/>
  </w:num>
  <w:num w:numId="13">
    <w:abstractNumId w:val="12"/>
  </w:num>
  <w:num w:numId="14">
    <w:abstractNumId w:val="1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counting Review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ddtwtdltavvheer5vvrda5pftspd2zre9e&quot;&gt;My EndNote Library&lt;record-ids&gt;&lt;item&gt;398&lt;/item&gt;&lt;item&gt;399&lt;/item&gt;&lt;/record-ids&gt;&lt;/item&gt;&lt;/Libraries&gt;"/>
  </w:docVars>
  <w:rsids>
    <w:rsidRoot w:val="00875B0E"/>
    <w:rsid w:val="000027F0"/>
    <w:rsid w:val="00006A5D"/>
    <w:rsid w:val="00006CC9"/>
    <w:rsid w:val="000238EF"/>
    <w:rsid w:val="00043F76"/>
    <w:rsid w:val="0004403A"/>
    <w:rsid w:val="0004527D"/>
    <w:rsid w:val="00046408"/>
    <w:rsid w:val="00050E12"/>
    <w:rsid w:val="000515EB"/>
    <w:rsid w:val="00085F5F"/>
    <w:rsid w:val="000A34F1"/>
    <w:rsid w:val="000B57C4"/>
    <w:rsid w:val="000C7BC8"/>
    <w:rsid w:val="000D258E"/>
    <w:rsid w:val="000E2EAB"/>
    <w:rsid w:val="000F0B98"/>
    <w:rsid w:val="00102341"/>
    <w:rsid w:val="001251A8"/>
    <w:rsid w:val="00127C2D"/>
    <w:rsid w:val="00142F8B"/>
    <w:rsid w:val="0016231C"/>
    <w:rsid w:val="00176AA8"/>
    <w:rsid w:val="00177FDE"/>
    <w:rsid w:val="00180E94"/>
    <w:rsid w:val="00182B43"/>
    <w:rsid w:val="0018655E"/>
    <w:rsid w:val="001936EC"/>
    <w:rsid w:val="00196F85"/>
    <w:rsid w:val="001A6E2C"/>
    <w:rsid w:val="001B6291"/>
    <w:rsid w:val="001C364B"/>
    <w:rsid w:val="001E63CB"/>
    <w:rsid w:val="001E72E7"/>
    <w:rsid w:val="001E7F69"/>
    <w:rsid w:val="001F60E1"/>
    <w:rsid w:val="00201681"/>
    <w:rsid w:val="00225F8D"/>
    <w:rsid w:val="002706F3"/>
    <w:rsid w:val="00276C9E"/>
    <w:rsid w:val="002773AB"/>
    <w:rsid w:val="00287274"/>
    <w:rsid w:val="002A0187"/>
    <w:rsid w:val="002B49E8"/>
    <w:rsid w:val="002C28D3"/>
    <w:rsid w:val="002C4A96"/>
    <w:rsid w:val="002D7825"/>
    <w:rsid w:val="002E4AEB"/>
    <w:rsid w:val="002F0819"/>
    <w:rsid w:val="0031436D"/>
    <w:rsid w:val="00314538"/>
    <w:rsid w:val="00321F90"/>
    <w:rsid w:val="00327D1D"/>
    <w:rsid w:val="00333770"/>
    <w:rsid w:val="003349B1"/>
    <w:rsid w:val="003406C3"/>
    <w:rsid w:val="00352D83"/>
    <w:rsid w:val="0035481B"/>
    <w:rsid w:val="00387655"/>
    <w:rsid w:val="003931FB"/>
    <w:rsid w:val="003A038F"/>
    <w:rsid w:val="003A2565"/>
    <w:rsid w:val="003A7F49"/>
    <w:rsid w:val="003B13BF"/>
    <w:rsid w:val="003B27F0"/>
    <w:rsid w:val="003C20A0"/>
    <w:rsid w:val="003C6A3D"/>
    <w:rsid w:val="003D11EC"/>
    <w:rsid w:val="003E3360"/>
    <w:rsid w:val="00401D34"/>
    <w:rsid w:val="004033F1"/>
    <w:rsid w:val="0041279F"/>
    <w:rsid w:val="00416692"/>
    <w:rsid w:val="004361B6"/>
    <w:rsid w:val="00437BBD"/>
    <w:rsid w:val="0045172A"/>
    <w:rsid w:val="00490017"/>
    <w:rsid w:val="004A41B3"/>
    <w:rsid w:val="004B0EDE"/>
    <w:rsid w:val="004B6359"/>
    <w:rsid w:val="004C2760"/>
    <w:rsid w:val="004C5DF5"/>
    <w:rsid w:val="004E3885"/>
    <w:rsid w:val="00506E48"/>
    <w:rsid w:val="00512B97"/>
    <w:rsid w:val="00515696"/>
    <w:rsid w:val="005200F8"/>
    <w:rsid w:val="005554EF"/>
    <w:rsid w:val="00575D46"/>
    <w:rsid w:val="00580914"/>
    <w:rsid w:val="00590694"/>
    <w:rsid w:val="00591A3E"/>
    <w:rsid w:val="00593D8D"/>
    <w:rsid w:val="005951C3"/>
    <w:rsid w:val="0059520A"/>
    <w:rsid w:val="005C3ADF"/>
    <w:rsid w:val="005C4FA7"/>
    <w:rsid w:val="005D016B"/>
    <w:rsid w:val="005D0ACD"/>
    <w:rsid w:val="005D6E3B"/>
    <w:rsid w:val="005F16DF"/>
    <w:rsid w:val="005F4B04"/>
    <w:rsid w:val="00603E0A"/>
    <w:rsid w:val="00623BB3"/>
    <w:rsid w:val="00627AC1"/>
    <w:rsid w:val="00646963"/>
    <w:rsid w:val="006513EA"/>
    <w:rsid w:val="00665BD7"/>
    <w:rsid w:val="0067212A"/>
    <w:rsid w:val="00684559"/>
    <w:rsid w:val="006A4D6A"/>
    <w:rsid w:val="006A5AE8"/>
    <w:rsid w:val="006D1538"/>
    <w:rsid w:val="006F1087"/>
    <w:rsid w:val="006F33FC"/>
    <w:rsid w:val="006F5E79"/>
    <w:rsid w:val="00705483"/>
    <w:rsid w:val="00732C96"/>
    <w:rsid w:val="00757DE3"/>
    <w:rsid w:val="00763459"/>
    <w:rsid w:val="00763893"/>
    <w:rsid w:val="007812AA"/>
    <w:rsid w:val="00793977"/>
    <w:rsid w:val="007A2C63"/>
    <w:rsid w:val="007A3C10"/>
    <w:rsid w:val="007E32E0"/>
    <w:rsid w:val="007F2A9D"/>
    <w:rsid w:val="007F4668"/>
    <w:rsid w:val="007F66D6"/>
    <w:rsid w:val="0082628A"/>
    <w:rsid w:val="0084110C"/>
    <w:rsid w:val="0084466D"/>
    <w:rsid w:val="0084626F"/>
    <w:rsid w:val="00866991"/>
    <w:rsid w:val="00875B0E"/>
    <w:rsid w:val="008837FE"/>
    <w:rsid w:val="008900CB"/>
    <w:rsid w:val="00891DA7"/>
    <w:rsid w:val="008A506C"/>
    <w:rsid w:val="008A63B4"/>
    <w:rsid w:val="008A64D1"/>
    <w:rsid w:val="008B71AC"/>
    <w:rsid w:val="008D0581"/>
    <w:rsid w:val="008D7A37"/>
    <w:rsid w:val="008E5B1D"/>
    <w:rsid w:val="008F4781"/>
    <w:rsid w:val="0091174F"/>
    <w:rsid w:val="009131A6"/>
    <w:rsid w:val="00920902"/>
    <w:rsid w:val="00924FAA"/>
    <w:rsid w:val="00942D09"/>
    <w:rsid w:val="00950258"/>
    <w:rsid w:val="00951D89"/>
    <w:rsid w:val="00965A88"/>
    <w:rsid w:val="009849FA"/>
    <w:rsid w:val="00985D5E"/>
    <w:rsid w:val="00987CB7"/>
    <w:rsid w:val="0099690F"/>
    <w:rsid w:val="009B2FF7"/>
    <w:rsid w:val="009C3C7E"/>
    <w:rsid w:val="009C40AB"/>
    <w:rsid w:val="009E2740"/>
    <w:rsid w:val="009E79E2"/>
    <w:rsid w:val="009F2527"/>
    <w:rsid w:val="00A005C5"/>
    <w:rsid w:val="00A0723C"/>
    <w:rsid w:val="00A1510E"/>
    <w:rsid w:val="00A17C6A"/>
    <w:rsid w:val="00A2582E"/>
    <w:rsid w:val="00A26258"/>
    <w:rsid w:val="00A31D30"/>
    <w:rsid w:val="00A53159"/>
    <w:rsid w:val="00A613C7"/>
    <w:rsid w:val="00A64B96"/>
    <w:rsid w:val="00A70D39"/>
    <w:rsid w:val="00A776BC"/>
    <w:rsid w:val="00A87312"/>
    <w:rsid w:val="00AB05D3"/>
    <w:rsid w:val="00AB5811"/>
    <w:rsid w:val="00AB5912"/>
    <w:rsid w:val="00AC1A3E"/>
    <w:rsid w:val="00AC33F6"/>
    <w:rsid w:val="00AC482F"/>
    <w:rsid w:val="00AC63BE"/>
    <w:rsid w:val="00AD5168"/>
    <w:rsid w:val="00AE1226"/>
    <w:rsid w:val="00AE45C3"/>
    <w:rsid w:val="00AE4AA3"/>
    <w:rsid w:val="00AE623D"/>
    <w:rsid w:val="00B06204"/>
    <w:rsid w:val="00B236ED"/>
    <w:rsid w:val="00B42F15"/>
    <w:rsid w:val="00B44620"/>
    <w:rsid w:val="00B4714A"/>
    <w:rsid w:val="00B47E78"/>
    <w:rsid w:val="00B51194"/>
    <w:rsid w:val="00B53CA2"/>
    <w:rsid w:val="00B6098D"/>
    <w:rsid w:val="00B63AF1"/>
    <w:rsid w:val="00B71816"/>
    <w:rsid w:val="00B71FC0"/>
    <w:rsid w:val="00B85757"/>
    <w:rsid w:val="00B91EC4"/>
    <w:rsid w:val="00B9298F"/>
    <w:rsid w:val="00BA0419"/>
    <w:rsid w:val="00BA2428"/>
    <w:rsid w:val="00BA6C5F"/>
    <w:rsid w:val="00BB0DFD"/>
    <w:rsid w:val="00BC5C98"/>
    <w:rsid w:val="00BD1946"/>
    <w:rsid w:val="00BE4E64"/>
    <w:rsid w:val="00BF2C70"/>
    <w:rsid w:val="00BF52E2"/>
    <w:rsid w:val="00C05D0E"/>
    <w:rsid w:val="00C64EC4"/>
    <w:rsid w:val="00C81E09"/>
    <w:rsid w:val="00C8775E"/>
    <w:rsid w:val="00C907F2"/>
    <w:rsid w:val="00CA69B0"/>
    <w:rsid w:val="00CA69D4"/>
    <w:rsid w:val="00CB3716"/>
    <w:rsid w:val="00CC050B"/>
    <w:rsid w:val="00CC3775"/>
    <w:rsid w:val="00CD4155"/>
    <w:rsid w:val="00CE1443"/>
    <w:rsid w:val="00CE65E9"/>
    <w:rsid w:val="00CF5D18"/>
    <w:rsid w:val="00CF6231"/>
    <w:rsid w:val="00CF7927"/>
    <w:rsid w:val="00D144ED"/>
    <w:rsid w:val="00D43E33"/>
    <w:rsid w:val="00D57225"/>
    <w:rsid w:val="00D7236E"/>
    <w:rsid w:val="00D72F1B"/>
    <w:rsid w:val="00D748C7"/>
    <w:rsid w:val="00DA6AF5"/>
    <w:rsid w:val="00DB22DA"/>
    <w:rsid w:val="00DB3B75"/>
    <w:rsid w:val="00DD38C0"/>
    <w:rsid w:val="00DE244B"/>
    <w:rsid w:val="00DE2462"/>
    <w:rsid w:val="00DE5877"/>
    <w:rsid w:val="00DF0B95"/>
    <w:rsid w:val="00DF7D48"/>
    <w:rsid w:val="00E05761"/>
    <w:rsid w:val="00E16826"/>
    <w:rsid w:val="00E37C49"/>
    <w:rsid w:val="00E37D3E"/>
    <w:rsid w:val="00E423D7"/>
    <w:rsid w:val="00E61DE3"/>
    <w:rsid w:val="00E87316"/>
    <w:rsid w:val="00E87D0E"/>
    <w:rsid w:val="00E95557"/>
    <w:rsid w:val="00E97DE1"/>
    <w:rsid w:val="00EA3205"/>
    <w:rsid w:val="00EC6CD6"/>
    <w:rsid w:val="00EE3D1D"/>
    <w:rsid w:val="00EE5469"/>
    <w:rsid w:val="00EF0787"/>
    <w:rsid w:val="00EF717F"/>
    <w:rsid w:val="00F0136F"/>
    <w:rsid w:val="00F23B20"/>
    <w:rsid w:val="00F4108E"/>
    <w:rsid w:val="00F44EEC"/>
    <w:rsid w:val="00F529D0"/>
    <w:rsid w:val="00F5744C"/>
    <w:rsid w:val="00F641A0"/>
    <w:rsid w:val="00F73E77"/>
    <w:rsid w:val="00F82B87"/>
    <w:rsid w:val="00F864BD"/>
    <w:rsid w:val="00F8742C"/>
    <w:rsid w:val="00FA34D9"/>
    <w:rsid w:val="00FA6FF8"/>
    <w:rsid w:val="00FA75DF"/>
    <w:rsid w:val="00FC7D96"/>
    <w:rsid w:val="00FD1278"/>
    <w:rsid w:val="00FD58ED"/>
    <w:rsid w:val="00FE4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8509CE"/>
  <w15:docId w15:val="{7D8A5A7C-298B-4E65-ACCF-3585CD425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205"/>
    <w:pPr>
      <w:spacing w:line="288" w:lineRule="auto"/>
    </w:pPr>
  </w:style>
  <w:style w:type="paragraph" w:styleId="Heading1">
    <w:name w:val="heading 1"/>
    <w:basedOn w:val="Normal"/>
    <w:next w:val="Normal"/>
    <w:link w:val="Heading1Char"/>
    <w:uiPriority w:val="9"/>
    <w:qFormat/>
    <w:rsid w:val="000A34F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2C96"/>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C05D0E"/>
    <w:pPr>
      <w:spacing w:after="1613"/>
      <w:ind w:right="-720"/>
      <w:contextualSpacing/>
      <w:jc w:val="right"/>
    </w:pPr>
  </w:style>
  <w:style w:type="paragraph" w:styleId="Header">
    <w:name w:val="header"/>
    <w:basedOn w:val="Normal"/>
    <w:link w:val="HeaderChar"/>
    <w:uiPriority w:val="99"/>
    <w:unhideWhenUsed/>
    <w:rsid w:val="00046408"/>
    <w:pPr>
      <w:tabs>
        <w:tab w:val="center" w:pos="4680"/>
        <w:tab w:val="right" w:pos="9360"/>
      </w:tabs>
      <w:spacing w:line="240" w:lineRule="auto"/>
    </w:pPr>
  </w:style>
  <w:style w:type="character" w:customStyle="1" w:styleId="HeaderChar">
    <w:name w:val="Header Char"/>
    <w:basedOn w:val="DefaultParagraphFont"/>
    <w:link w:val="Header"/>
    <w:uiPriority w:val="99"/>
    <w:rsid w:val="00046408"/>
    <w:rPr>
      <w:sz w:val="20"/>
    </w:rPr>
  </w:style>
  <w:style w:type="paragraph" w:styleId="Footer">
    <w:name w:val="footer"/>
    <w:basedOn w:val="Normal"/>
    <w:link w:val="FooterChar"/>
    <w:uiPriority w:val="99"/>
    <w:unhideWhenUsed/>
    <w:rsid w:val="00046408"/>
    <w:pPr>
      <w:tabs>
        <w:tab w:val="center" w:pos="4680"/>
        <w:tab w:val="right" w:pos="9360"/>
      </w:tabs>
      <w:spacing w:line="240" w:lineRule="auto"/>
    </w:pPr>
  </w:style>
  <w:style w:type="character" w:customStyle="1" w:styleId="FooterChar">
    <w:name w:val="Footer Char"/>
    <w:basedOn w:val="DefaultParagraphFont"/>
    <w:link w:val="Footer"/>
    <w:uiPriority w:val="99"/>
    <w:rsid w:val="00046408"/>
    <w:rPr>
      <w:sz w:val="20"/>
    </w:rPr>
  </w:style>
  <w:style w:type="paragraph" w:customStyle="1" w:styleId="FBFooter">
    <w:name w:val="FB Footer"/>
    <w:basedOn w:val="Normal"/>
    <w:qFormat/>
    <w:rsid w:val="009131A6"/>
    <w:pPr>
      <w:spacing w:line="276" w:lineRule="auto"/>
    </w:pPr>
    <w:rPr>
      <w:caps/>
      <w:color w:val="37246A" w:themeColor="text2"/>
      <w:sz w:val="18"/>
    </w:rPr>
  </w:style>
  <w:style w:type="paragraph" w:styleId="BalloonText">
    <w:name w:val="Balloon Text"/>
    <w:basedOn w:val="Normal"/>
    <w:link w:val="BalloonTextChar"/>
    <w:uiPriority w:val="99"/>
    <w:semiHidden/>
    <w:unhideWhenUsed/>
    <w:rsid w:val="00FD58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ED"/>
    <w:rPr>
      <w:rFonts w:ascii="Tahoma" w:hAnsi="Tahoma" w:cs="Tahoma"/>
      <w:sz w:val="16"/>
      <w:szCs w:val="16"/>
    </w:rPr>
  </w:style>
  <w:style w:type="character" w:styleId="Hyperlink">
    <w:name w:val="Hyperlink"/>
    <w:basedOn w:val="DefaultParagraphFont"/>
    <w:uiPriority w:val="99"/>
    <w:unhideWhenUsed/>
    <w:rsid w:val="00FD58ED"/>
    <w:rPr>
      <w:color w:val="0563C1" w:themeColor="hyperlink"/>
      <w:u w:val="single"/>
    </w:rPr>
  </w:style>
  <w:style w:type="table" w:styleId="TableGrid">
    <w:name w:val="Table Grid"/>
    <w:basedOn w:val="TableNormal"/>
    <w:uiPriority w:val="59"/>
    <w:rsid w:val="0079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F864BD"/>
    <w:rPr>
      <w:vertAlign w:val="superscript"/>
    </w:rPr>
  </w:style>
  <w:style w:type="paragraph" w:styleId="FootnoteText">
    <w:name w:val="footnote text"/>
    <w:basedOn w:val="Normal"/>
    <w:link w:val="FootnoteTextChar"/>
    <w:uiPriority w:val="99"/>
    <w:unhideWhenUsed/>
    <w:rsid w:val="00F864BD"/>
    <w:pPr>
      <w:spacing w:line="240" w:lineRule="auto"/>
    </w:pPr>
    <w:rPr>
      <w:sz w:val="20"/>
      <w:szCs w:val="20"/>
    </w:rPr>
  </w:style>
  <w:style w:type="character" w:customStyle="1" w:styleId="FootnoteTextChar">
    <w:name w:val="Footnote Text Char"/>
    <w:basedOn w:val="DefaultParagraphFont"/>
    <w:link w:val="FootnoteText"/>
    <w:uiPriority w:val="99"/>
    <w:rsid w:val="00F864BD"/>
    <w:rPr>
      <w:sz w:val="20"/>
      <w:szCs w:val="20"/>
    </w:rPr>
  </w:style>
  <w:style w:type="paragraph" w:styleId="ListParagraph">
    <w:name w:val="List Paragraph"/>
    <w:basedOn w:val="Normal"/>
    <w:uiPriority w:val="34"/>
    <w:qFormat/>
    <w:rsid w:val="002706F3"/>
    <w:pPr>
      <w:ind w:left="720"/>
      <w:contextualSpacing/>
    </w:pPr>
  </w:style>
  <w:style w:type="character" w:customStyle="1" w:styleId="Heading1Char">
    <w:name w:val="Heading 1 Char"/>
    <w:basedOn w:val="DefaultParagraphFont"/>
    <w:link w:val="Heading1"/>
    <w:uiPriority w:val="9"/>
    <w:rsid w:val="000A34F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semiHidden/>
    <w:unhideWhenUsed/>
    <w:qFormat/>
    <w:rsid w:val="000A34F1"/>
    <w:pPr>
      <w:spacing w:line="276" w:lineRule="auto"/>
      <w:outlineLvl w:val="9"/>
    </w:pPr>
    <w:rPr>
      <w:lang w:eastAsia="ja-JP"/>
    </w:rPr>
  </w:style>
  <w:style w:type="paragraph" w:styleId="TOC2">
    <w:name w:val="toc 2"/>
    <w:basedOn w:val="Normal"/>
    <w:next w:val="Normal"/>
    <w:autoRedefine/>
    <w:uiPriority w:val="39"/>
    <w:unhideWhenUsed/>
    <w:qFormat/>
    <w:rsid w:val="000A34F1"/>
    <w:pPr>
      <w:spacing w:after="100" w:line="276" w:lineRule="auto"/>
      <w:ind w:left="220"/>
    </w:pPr>
    <w:rPr>
      <w:rFonts w:eastAsiaTheme="minorEastAsia"/>
      <w:lang w:eastAsia="ja-JP"/>
    </w:rPr>
  </w:style>
  <w:style w:type="paragraph" w:styleId="TOC1">
    <w:name w:val="toc 1"/>
    <w:basedOn w:val="Normal"/>
    <w:next w:val="Normal"/>
    <w:autoRedefine/>
    <w:uiPriority w:val="39"/>
    <w:unhideWhenUsed/>
    <w:qFormat/>
    <w:rsid w:val="000A34F1"/>
    <w:pPr>
      <w:spacing w:after="100" w:line="276" w:lineRule="auto"/>
    </w:pPr>
    <w:rPr>
      <w:rFonts w:eastAsiaTheme="minorEastAsia"/>
      <w:lang w:eastAsia="ja-JP"/>
    </w:rPr>
  </w:style>
  <w:style w:type="paragraph" w:styleId="TOC3">
    <w:name w:val="toc 3"/>
    <w:basedOn w:val="Normal"/>
    <w:next w:val="Normal"/>
    <w:autoRedefine/>
    <w:uiPriority w:val="39"/>
    <w:semiHidden/>
    <w:unhideWhenUsed/>
    <w:qFormat/>
    <w:rsid w:val="000A34F1"/>
    <w:pPr>
      <w:spacing w:after="100" w:line="276" w:lineRule="auto"/>
      <w:ind w:left="440"/>
    </w:pPr>
    <w:rPr>
      <w:rFonts w:eastAsiaTheme="minorEastAsia"/>
      <w:lang w:eastAsia="ja-JP"/>
    </w:rPr>
  </w:style>
  <w:style w:type="paragraph" w:customStyle="1" w:styleId="EndNoteBibliographyTitle">
    <w:name w:val="EndNote Bibliography Title"/>
    <w:basedOn w:val="Normal"/>
    <w:link w:val="EndNoteBibliographyTitleChar"/>
    <w:rsid w:val="00AC1A3E"/>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AC1A3E"/>
    <w:rPr>
      <w:rFonts w:ascii="Calibri" w:hAnsi="Calibri"/>
      <w:noProof/>
    </w:rPr>
  </w:style>
  <w:style w:type="paragraph" w:customStyle="1" w:styleId="EndNoteBibliography">
    <w:name w:val="EndNote Bibliography"/>
    <w:basedOn w:val="Normal"/>
    <w:link w:val="EndNoteBibliographyChar"/>
    <w:rsid w:val="00AC1A3E"/>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AC1A3E"/>
    <w:rPr>
      <w:rFonts w:ascii="Calibri" w:hAnsi="Calibri"/>
      <w:noProof/>
    </w:rPr>
  </w:style>
  <w:style w:type="character" w:customStyle="1" w:styleId="Heading2Char">
    <w:name w:val="Heading 2 Char"/>
    <w:basedOn w:val="DefaultParagraphFont"/>
    <w:link w:val="Heading2"/>
    <w:uiPriority w:val="9"/>
    <w:rsid w:val="00732C9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59"/>
    <w:rsid w:val="0059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63CB"/>
    <w:rPr>
      <w:color w:val="808080"/>
    </w:rPr>
  </w:style>
  <w:style w:type="character" w:styleId="CommentReference">
    <w:name w:val="annotation reference"/>
    <w:basedOn w:val="DefaultParagraphFont"/>
    <w:uiPriority w:val="99"/>
    <w:semiHidden/>
    <w:unhideWhenUsed/>
    <w:rsid w:val="0084110C"/>
    <w:rPr>
      <w:sz w:val="16"/>
      <w:szCs w:val="16"/>
    </w:rPr>
  </w:style>
  <w:style w:type="paragraph" w:styleId="CommentText">
    <w:name w:val="annotation text"/>
    <w:basedOn w:val="Normal"/>
    <w:link w:val="CommentTextChar"/>
    <w:uiPriority w:val="99"/>
    <w:semiHidden/>
    <w:unhideWhenUsed/>
    <w:rsid w:val="0084110C"/>
    <w:pPr>
      <w:spacing w:line="240" w:lineRule="auto"/>
    </w:pPr>
    <w:rPr>
      <w:sz w:val="20"/>
      <w:szCs w:val="20"/>
    </w:rPr>
  </w:style>
  <w:style w:type="character" w:customStyle="1" w:styleId="CommentTextChar">
    <w:name w:val="Comment Text Char"/>
    <w:basedOn w:val="DefaultParagraphFont"/>
    <w:link w:val="CommentText"/>
    <w:uiPriority w:val="99"/>
    <w:semiHidden/>
    <w:rsid w:val="0084110C"/>
    <w:rPr>
      <w:sz w:val="20"/>
      <w:szCs w:val="20"/>
    </w:rPr>
  </w:style>
  <w:style w:type="paragraph" w:styleId="CommentSubject">
    <w:name w:val="annotation subject"/>
    <w:basedOn w:val="CommentText"/>
    <w:next w:val="CommentText"/>
    <w:link w:val="CommentSubjectChar"/>
    <w:uiPriority w:val="99"/>
    <w:semiHidden/>
    <w:unhideWhenUsed/>
    <w:rsid w:val="0084110C"/>
    <w:rPr>
      <w:b/>
      <w:bCs/>
    </w:rPr>
  </w:style>
  <w:style w:type="character" w:customStyle="1" w:styleId="CommentSubjectChar">
    <w:name w:val="Comment Subject Char"/>
    <w:basedOn w:val="CommentTextChar"/>
    <w:link w:val="CommentSubject"/>
    <w:uiPriority w:val="99"/>
    <w:semiHidden/>
    <w:rsid w:val="0084110C"/>
    <w:rPr>
      <w:b/>
      <w:bCs/>
      <w:sz w:val="20"/>
      <w:szCs w:val="20"/>
    </w:rPr>
  </w:style>
  <w:style w:type="table" w:customStyle="1" w:styleId="TableGrid2">
    <w:name w:val="Table Grid2"/>
    <w:basedOn w:val="TableNormal"/>
    <w:next w:val="TableGrid"/>
    <w:uiPriority w:val="59"/>
    <w:rsid w:val="00CA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975226">
      <w:bodyDiv w:val="1"/>
      <w:marLeft w:val="0"/>
      <w:marRight w:val="0"/>
      <w:marTop w:val="0"/>
      <w:marBottom w:val="0"/>
      <w:divBdr>
        <w:top w:val="none" w:sz="0" w:space="0" w:color="auto"/>
        <w:left w:val="none" w:sz="0" w:space="0" w:color="auto"/>
        <w:bottom w:val="none" w:sz="0" w:space="0" w:color="auto"/>
        <w:right w:val="none" w:sz="0" w:space="0" w:color="auto"/>
      </w:divBdr>
      <w:divsChild>
        <w:div w:id="1169979861">
          <w:marLeft w:val="0"/>
          <w:marRight w:val="0"/>
          <w:marTop w:val="0"/>
          <w:marBottom w:val="0"/>
          <w:divBdr>
            <w:top w:val="none" w:sz="0" w:space="0" w:color="auto"/>
            <w:left w:val="none" w:sz="0" w:space="0" w:color="auto"/>
            <w:bottom w:val="none" w:sz="0" w:space="0" w:color="auto"/>
            <w:right w:val="none" w:sz="0" w:space="0" w:color="auto"/>
          </w:divBdr>
        </w:div>
      </w:divsChild>
    </w:div>
    <w:div w:id="266738395">
      <w:bodyDiv w:val="1"/>
      <w:marLeft w:val="0"/>
      <w:marRight w:val="0"/>
      <w:marTop w:val="0"/>
      <w:marBottom w:val="0"/>
      <w:divBdr>
        <w:top w:val="none" w:sz="0" w:space="0" w:color="auto"/>
        <w:left w:val="none" w:sz="0" w:space="0" w:color="auto"/>
        <w:bottom w:val="none" w:sz="0" w:space="0" w:color="auto"/>
        <w:right w:val="none" w:sz="0" w:space="0" w:color="auto"/>
      </w:divBdr>
    </w:div>
    <w:div w:id="462816945">
      <w:bodyDiv w:val="1"/>
      <w:marLeft w:val="0"/>
      <w:marRight w:val="0"/>
      <w:marTop w:val="0"/>
      <w:marBottom w:val="0"/>
      <w:divBdr>
        <w:top w:val="none" w:sz="0" w:space="0" w:color="auto"/>
        <w:left w:val="none" w:sz="0" w:space="0" w:color="auto"/>
        <w:bottom w:val="none" w:sz="0" w:space="0" w:color="auto"/>
        <w:right w:val="none" w:sz="0" w:space="0" w:color="auto"/>
      </w:divBdr>
      <w:divsChild>
        <w:div w:id="1780176141">
          <w:marLeft w:val="0"/>
          <w:marRight w:val="0"/>
          <w:marTop w:val="240"/>
          <w:marBottom w:val="0"/>
          <w:divBdr>
            <w:top w:val="none" w:sz="0" w:space="0" w:color="auto"/>
            <w:left w:val="none" w:sz="0" w:space="0" w:color="auto"/>
            <w:bottom w:val="none" w:sz="0" w:space="0" w:color="auto"/>
            <w:right w:val="none" w:sz="0" w:space="0" w:color="auto"/>
          </w:divBdr>
          <w:divsChild>
            <w:div w:id="1581713381">
              <w:marLeft w:val="0"/>
              <w:marRight w:val="0"/>
              <w:marTop w:val="0"/>
              <w:marBottom w:val="0"/>
              <w:divBdr>
                <w:top w:val="none" w:sz="0" w:space="0" w:color="auto"/>
                <w:left w:val="none" w:sz="0" w:space="0" w:color="auto"/>
                <w:bottom w:val="none" w:sz="0" w:space="0" w:color="auto"/>
                <w:right w:val="none" w:sz="0" w:space="0" w:color="auto"/>
              </w:divBdr>
            </w:div>
            <w:div w:id="1548300274">
              <w:marLeft w:val="0"/>
              <w:marRight w:val="240"/>
              <w:marTop w:val="0"/>
              <w:marBottom w:val="0"/>
              <w:divBdr>
                <w:top w:val="none" w:sz="0" w:space="0" w:color="auto"/>
                <w:left w:val="none" w:sz="0" w:space="0" w:color="auto"/>
                <w:bottom w:val="dotted" w:sz="6" w:space="2" w:color="CCCCCC"/>
                <w:right w:val="none" w:sz="0" w:space="0" w:color="auto"/>
              </w:divBdr>
            </w:div>
          </w:divsChild>
        </w:div>
        <w:div w:id="1545748628">
          <w:marLeft w:val="0"/>
          <w:marRight w:val="0"/>
          <w:marTop w:val="240"/>
          <w:marBottom w:val="0"/>
          <w:divBdr>
            <w:top w:val="none" w:sz="0" w:space="0" w:color="auto"/>
            <w:left w:val="none" w:sz="0" w:space="0" w:color="auto"/>
            <w:bottom w:val="none" w:sz="0" w:space="0" w:color="auto"/>
            <w:right w:val="none" w:sz="0" w:space="0" w:color="auto"/>
          </w:divBdr>
          <w:divsChild>
            <w:div w:id="16667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4310">
      <w:bodyDiv w:val="1"/>
      <w:marLeft w:val="0"/>
      <w:marRight w:val="0"/>
      <w:marTop w:val="0"/>
      <w:marBottom w:val="0"/>
      <w:divBdr>
        <w:top w:val="none" w:sz="0" w:space="0" w:color="auto"/>
        <w:left w:val="none" w:sz="0" w:space="0" w:color="auto"/>
        <w:bottom w:val="none" w:sz="0" w:space="0" w:color="auto"/>
        <w:right w:val="none" w:sz="0" w:space="0" w:color="auto"/>
      </w:divBdr>
    </w:div>
    <w:div w:id="848523333">
      <w:bodyDiv w:val="1"/>
      <w:marLeft w:val="0"/>
      <w:marRight w:val="0"/>
      <w:marTop w:val="0"/>
      <w:marBottom w:val="0"/>
      <w:divBdr>
        <w:top w:val="none" w:sz="0" w:space="0" w:color="auto"/>
        <w:left w:val="none" w:sz="0" w:space="0" w:color="auto"/>
        <w:bottom w:val="none" w:sz="0" w:space="0" w:color="auto"/>
        <w:right w:val="none" w:sz="0" w:space="0" w:color="auto"/>
      </w:divBdr>
      <w:divsChild>
        <w:div w:id="1825968663">
          <w:marLeft w:val="1267"/>
          <w:marRight w:val="0"/>
          <w:marTop w:val="120"/>
          <w:marBottom w:val="240"/>
          <w:divBdr>
            <w:top w:val="none" w:sz="0" w:space="0" w:color="auto"/>
            <w:left w:val="none" w:sz="0" w:space="0" w:color="auto"/>
            <w:bottom w:val="none" w:sz="0" w:space="0" w:color="auto"/>
            <w:right w:val="none" w:sz="0" w:space="0" w:color="auto"/>
          </w:divBdr>
        </w:div>
        <w:div w:id="958268197">
          <w:marLeft w:val="1267"/>
          <w:marRight w:val="0"/>
          <w:marTop w:val="120"/>
          <w:marBottom w:val="240"/>
          <w:divBdr>
            <w:top w:val="none" w:sz="0" w:space="0" w:color="auto"/>
            <w:left w:val="none" w:sz="0" w:space="0" w:color="auto"/>
            <w:bottom w:val="none" w:sz="0" w:space="0" w:color="auto"/>
            <w:right w:val="none" w:sz="0" w:space="0" w:color="auto"/>
          </w:divBdr>
        </w:div>
        <w:div w:id="1328899966">
          <w:marLeft w:val="1267"/>
          <w:marRight w:val="0"/>
          <w:marTop w:val="120"/>
          <w:marBottom w:val="240"/>
          <w:divBdr>
            <w:top w:val="none" w:sz="0" w:space="0" w:color="auto"/>
            <w:left w:val="none" w:sz="0" w:space="0" w:color="auto"/>
            <w:bottom w:val="none" w:sz="0" w:space="0" w:color="auto"/>
            <w:right w:val="none" w:sz="0" w:space="0" w:color="auto"/>
          </w:divBdr>
        </w:div>
        <w:div w:id="846022982">
          <w:marLeft w:val="1267"/>
          <w:marRight w:val="0"/>
          <w:marTop w:val="120"/>
          <w:marBottom w:val="240"/>
          <w:divBdr>
            <w:top w:val="none" w:sz="0" w:space="0" w:color="auto"/>
            <w:left w:val="none" w:sz="0" w:space="0" w:color="auto"/>
            <w:bottom w:val="none" w:sz="0" w:space="0" w:color="auto"/>
            <w:right w:val="none" w:sz="0" w:space="0" w:color="auto"/>
          </w:divBdr>
        </w:div>
      </w:divsChild>
    </w:div>
    <w:div w:id="1010180657">
      <w:bodyDiv w:val="1"/>
      <w:marLeft w:val="0"/>
      <w:marRight w:val="0"/>
      <w:marTop w:val="0"/>
      <w:marBottom w:val="0"/>
      <w:divBdr>
        <w:top w:val="none" w:sz="0" w:space="0" w:color="auto"/>
        <w:left w:val="none" w:sz="0" w:space="0" w:color="auto"/>
        <w:bottom w:val="none" w:sz="0" w:space="0" w:color="auto"/>
        <w:right w:val="none" w:sz="0" w:space="0" w:color="auto"/>
      </w:divBdr>
      <w:divsChild>
        <w:div w:id="1763916801">
          <w:marLeft w:val="0"/>
          <w:marRight w:val="0"/>
          <w:marTop w:val="0"/>
          <w:marBottom w:val="240"/>
          <w:divBdr>
            <w:top w:val="none" w:sz="0" w:space="0" w:color="auto"/>
            <w:left w:val="none" w:sz="0" w:space="0" w:color="auto"/>
            <w:bottom w:val="none" w:sz="0" w:space="0" w:color="auto"/>
            <w:right w:val="none" w:sz="0" w:space="0" w:color="auto"/>
          </w:divBdr>
        </w:div>
        <w:div w:id="977106997">
          <w:marLeft w:val="0"/>
          <w:marRight w:val="0"/>
          <w:marTop w:val="0"/>
          <w:marBottom w:val="300"/>
          <w:divBdr>
            <w:top w:val="none" w:sz="0" w:space="0" w:color="auto"/>
            <w:left w:val="none" w:sz="0" w:space="0" w:color="auto"/>
            <w:bottom w:val="none" w:sz="0" w:space="0" w:color="auto"/>
            <w:right w:val="none" w:sz="0" w:space="0" w:color="auto"/>
          </w:divBdr>
          <w:divsChild>
            <w:div w:id="907150341">
              <w:marLeft w:val="0"/>
              <w:marRight w:val="0"/>
              <w:marTop w:val="240"/>
              <w:marBottom w:val="0"/>
              <w:divBdr>
                <w:top w:val="none" w:sz="0" w:space="0" w:color="auto"/>
                <w:left w:val="none" w:sz="0" w:space="0" w:color="auto"/>
                <w:bottom w:val="none" w:sz="0" w:space="0" w:color="auto"/>
                <w:right w:val="none" w:sz="0" w:space="0" w:color="auto"/>
              </w:divBdr>
              <w:divsChild>
                <w:div w:id="60758269">
                  <w:marLeft w:val="0"/>
                  <w:marRight w:val="0"/>
                  <w:marTop w:val="0"/>
                  <w:marBottom w:val="0"/>
                  <w:divBdr>
                    <w:top w:val="none" w:sz="0" w:space="0" w:color="auto"/>
                    <w:left w:val="none" w:sz="0" w:space="0" w:color="auto"/>
                    <w:bottom w:val="none" w:sz="0" w:space="0" w:color="auto"/>
                    <w:right w:val="none" w:sz="0" w:space="0" w:color="auto"/>
                  </w:divBdr>
                </w:div>
              </w:divsChild>
            </w:div>
            <w:div w:id="556547971">
              <w:marLeft w:val="0"/>
              <w:marRight w:val="0"/>
              <w:marTop w:val="240"/>
              <w:marBottom w:val="0"/>
              <w:divBdr>
                <w:top w:val="none" w:sz="0" w:space="0" w:color="auto"/>
                <w:left w:val="none" w:sz="0" w:space="0" w:color="auto"/>
                <w:bottom w:val="none" w:sz="0" w:space="0" w:color="auto"/>
                <w:right w:val="none" w:sz="0" w:space="0" w:color="auto"/>
              </w:divBdr>
              <w:divsChild>
                <w:div w:id="1271351602">
                  <w:marLeft w:val="0"/>
                  <w:marRight w:val="0"/>
                  <w:marTop w:val="0"/>
                  <w:marBottom w:val="0"/>
                  <w:divBdr>
                    <w:top w:val="none" w:sz="0" w:space="0" w:color="auto"/>
                    <w:left w:val="none" w:sz="0" w:space="0" w:color="auto"/>
                    <w:bottom w:val="none" w:sz="0" w:space="0" w:color="auto"/>
                    <w:right w:val="none" w:sz="0" w:space="0" w:color="auto"/>
                  </w:divBdr>
                </w:div>
              </w:divsChild>
            </w:div>
            <w:div w:id="328556820">
              <w:marLeft w:val="0"/>
              <w:marRight w:val="0"/>
              <w:marTop w:val="240"/>
              <w:marBottom w:val="0"/>
              <w:divBdr>
                <w:top w:val="none" w:sz="0" w:space="0" w:color="auto"/>
                <w:left w:val="none" w:sz="0" w:space="0" w:color="auto"/>
                <w:bottom w:val="none" w:sz="0" w:space="0" w:color="auto"/>
                <w:right w:val="none" w:sz="0" w:space="0" w:color="auto"/>
              </w:divBdr>
              <w:divsChild>
                <w:div w:id="265774348">
                  <w:marLeft w:val="0"/>
                  <w:marRight w:val="0"/>
                  <w:marTop w:val="0"/>
                  <w:marBottom w:val="0"/>
                  <w:divBdr>
                    <w:top w:val="none" w:sz="0" w:space="0" w:color="auto"/>
                    <w:left w:val="none" w:sz="0" w:space="0" w:color="auto"/>
                    <w:bottom w:val="none" w:sz="0" w:space="0" w:color="auto"/>
                    <w:right w:val="none" w:sz="0" w:space="0" w:color="auto"/>
                  </w:divBdr>
                </w:div>
              </w:divsChild>
            </w:div>
            <w:div w:id="678042783">
              <w:marLeft w:val="0"/>
              <w:marRight w:val="0"/>
              <w:marTop w:val="240"/>
              <w:marBottom w:val="0"/>
              <w:divBdr>
                <w:top w:val="none" w:sz="0" w:space="0" w:color="auto"/>
                <w:left w:val="none" w:sz="0" w:space="0" w:color="auto"/>
                <w:bottom w:val="none" w:sz="0" w:space="0" w:color="auto"/>
                <w:right w:val="none" w:sz="0" w:space="0" w:color="auto"/>
              </w:divBdr>
              <w:divsChild>
                <w:div w:id="1595357960">
                  <w:marLeft w:val="0"/>
                  <w:marRight w:val="0"/>
                  <w:marTop w:val="0"/>
                  <w:marBottom w:val="0"/>
                  <w:divBdr>
                    <w:top w:val="none" w:sz="0" w:space="0" w:color="auto"/>
                    <w:left w:val="none" w:sz="0" w:space="0" w:color="auto"/>
                    <w:bottom w:val="none" w:sz="0" w:space="0" w:color="auto"/>
                    <w:right w:val="none" w:sz="0" w:space="0" w:color="auto"/>
                  </w:divBdr>
                </w:div>
              </w:divsChild>
            </w:div>
            <w:div w:id="1259019718">
              <w:marLeft w:val="0"/>
              <w:marRight w:val="0"/>
              <w:marTop w:val="240"/>
              <w:marBottom w:val="0"/>
              <w:divBdr>
                <w:top w:val="none" w:sz="0" w:space="0" w:color="auto"/>
                <w:left w:val="none" w:sz="0" w:space="0" w:color="auto"/>
                <w:bottom w:val="none" w:sz="0" w:space="0" w:color="auto"/>
                <w:right w:val="none" w:sz="0" w:space="0" w:color="auto"/>
              </w:divBdr>
              <w:divsChild>
                <w:div w:id="3434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422278">
      <w:bodyDiv w:val="1"/>
      <w:marLeft w:val="0"/>
      <w:marRight w:val="0"/>
      <w:marTop w:val="0"/>
      <w:marBottom w:val="0"/>
      <w:divBdr>
        <w:top w:val="none" w:sz="0" w:space="0" w:color="auto"/>
        <w:left w:val="none" w:sz="0" w:space="0" w:color="auto"/>
        <w:bottom w:val="none" w:sz="0" w:space="0" w:color="auto"/>
        <w:right w:val="none" w:sz="0" w:space="0" w:color="auto"/>
      </w:divBdr>
    </w:div>
    <w:div w:id="1306158526">
      <w:bodyDiv w:val="1"/>
      <w:marLeft w:val="0"/>
      <w:marRight w:val="0"/>
      <w:marTop w:val="0"/>
      <w:marBottom w:val="0"/>
      <w:divBdr>
        <w:top w:val="none" w:sz="0" w:space="0" w:color="auto"/>
        <w:left w:val="none" w:sz="0" w:space="0" w:color="auto"/>
        <w:bottom w:val="none" w:sz="0" w:space="0" w:color="auto"/>
        <w:right w:val="none" w:sz="0" w:space="0" w:color="auto"/>
      </w:divBdr>
      <w:divsChild>
        <w:div w:id="960915041">
          <w:marLeft w:val="0"/>
          <w:marRight w:val="0"/>
          <w:marTop w:val="0"/>
          <w:marBottom w:val="0"/>
          <w:divBdr>
            <w:top w:val="none" w:sz="0" w:space="0" w:color="auto"/>
            <w:left w:val="none" w:sz="0" w:space="0" w:color="auto"/>
            <w:bottom w:val="none" w:sz="0" w:space="0" w:color="auto"/>
            <w:right w:val="none" w:sz="0" w:space="0" w:color="auto"/>
          </w:divBdr>
        </w:div>
      </w:divsChild>
    </w:div>
    <w:div w:id="1643273511">
      <w:bodyDiv w:val="1"/>
      <w:marLeft w:val="0"/>
      <w:marRight w:val="0"/>
      <w:marTop w:val="0"/>
      <w:marBottom w:val="0"/>
      <w:divBdr>
        <w:top w:val="none" w:sz="0" w:space="0" w:color="auto"/>
        <w:left w:val="none" w:sz="0" w:space="0" w:color="auto"/>
        <w:bottom w:val="none" w:sz="0" w:space="0" w:color="auto"/>
        <w:right w:val="none" w:sz="0" w:space="0" w:color="auto"/>
      </w:divBdr>
      <w:divsChild>
        <w:div w:id="1691563221">
          <w:marLeft w:val="0"/>
          <w:marRight w:val="0"/>
          <w:marTop w:val="0"/>
          <w:marBottom w:val="0"/>
          <w:divBdr>
            <w:top w:val="none" w:sz="0" w:space="0" w:color="auto"/>
            <w:left w:val="none" w:sz="0" w:space="0" w:color="auto"/>
            <w:bottom w:val="none" w:sz="0" w:space="0" w:color="auto"/>
            <w:right w:val="none" w:sz="0" w:space="0" w:color="auto"/>
          </w:divBdr>
        </w:div>
      </w:divsChild>
    </w:div>
    <w:div w:id="1800149886">
      <w:bodyDiv w:val="1"/>
      <w:marLeft w:val="0"/>
      <w:marRight w:val="0"/>
      <w:marTop w:val="0"/>
      <w:marBottom w:val="0"/>
      <w:divBdr>
        <w:top w:val="none" w:sz="0" w:space="0" w:color="auto"/>
        <w:left w:val="none" w:sz="0" w:space="0" w:color="auto"/>
        <w:bottom w:val="none" w:sz="0" w:space="0" w:color="auto"/>
        <w:right w:val="none" w:sz="0" w:space="0" w:color="auto"/>
      </w:divBdr>
      <w:divsChild>
        <w:div w:id="1796024696">
          <w:marLeft w:val="0"/>
          <w:marRight w:val="0"/>
          <w:marTop w:val="0"/>
          <w:marBottom w:val="240"/>
          <w:divBdr>
            <w:top w:val="none" w:sz="0" w:space="0" w:color="auto"/>
            <w:left w:val="none" w:sz="0" w:space="0" w:color="auto"/>
            <w:bottom w:val="none" w:sz="0" w:space="0" w:color="auto"/>
            <w:right w:val="none" w:sz="0" w:space="0" w:color="auto"/>
          </w:divBdr>
        </w:div>
        <w:div w:id="1126630423">
          <w:marLeft w:val="0"/>
          <w:marRight w:val="0"/>
          <w:marTop w:val="0"/>
          <w:marBottom w:val="300"/>
          <w:divBdr>
            <w:top w:val="none" w:sz="0" w:space="0" w:color="auto"/>
            <w:left w:val="none" w:sz="0" w:space="0" w:color="auto"/>
            <w:bottom w:val="none" w:sz="0" w:space="0" w:color="auto"/>
            <w:right w:val="none" w:sz="0" w:space="0" w:color="auto"/>
          </w:divBdr>
          <w:divsChild>
            <w:div w:id="1413236855">
              <w:marLeft w:val="0"/>
              <w:marRight w:val="0"/>
              <w:marTop w:val="240"/>
              <w:marBottom w:val="0"/>
              <w:divBdr>
                <w:top w:val="none" w:sz="0" w:space="0" w:color="auto"/>
                <w:left w:val="none" w:sz="0" w:space="0" w:color="auto"/>
                <w:bottom w:val="none" w:sz="0" w:space="0" w:color="auto"/>
                <w:right w:val="none" w:sz="0" w:space="0" w:color="auto"/>
              </w:divBdr>
              <w:divsChild>
                <w:div w:id="1708792783">
                  <w:marLeft w:val="0"/>
                  <w:marRight w:val="0"/>
                  <w:marTop w:val="0"/>
                  <w:marBottom w:val="0"/>
                  <w:divBdr>
                    <w:top w:val="none" w:sz="0" w:space="0" w:color="auto"/>
                    <w:left w:val="none" w:sz="0" w:space="0" w:color="auto"/>
                    <w:bottom w:val="none" w:sz="0" w:space="0" w:color="auto"/>
                    <w:right w:val="none" w:sz="0" w:space="0" w:color="auto"/>
                  </w:divBdr>
                </w:div>
              </w:divsChild>
            </w:div>
            <w:div w:id="1412770794">
              <w:marLeft w:val="0"/>
              <w:marRight w:val="0"/>
              <w:marTop w:val="240"/>
              <w:marBottom w:val="0"/>
              <w:divBdr>
                <w:top w:val="none" w:sz="0" w:space="0" w:color="auto"/>
                <w:left w:val="none" w:sz="0" w:space="0" w:color="auto"/>
                <w:bottom w:val="none" w:sz="0" w:space="0" w:color="auto"/>
                <w:right w:val="none" w:sz="0" w:space="0" w:color="auto"/>
              </w:divBdr>
              <w:divsChild>
                <w:div w:id="6545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22620">
      <w:bodyDiv w:val="1"/>
      <w:marLeft w:val="0"/>
      <w:marRight w:val="0"/>
      <w:marTop w:val="0"/>
      <w:marBottom w:val="0"/>
      <w:divBdr>
        <w:top w:val="none" w:sz="0" w:space="0" w:color="auto"/>
        <w:left w:val="none" w:sz="0" w:space="0" w:color="auto"/>
        <w:bottom w:val="none" w:sz="0" w:space="0" w:color="auto"/>
        <w:right w:val="none" w:sz="0" w:space="0" w:color="auto"/>
      </w:divBdr>
    </w:div>
    <w:div w:id="2026900418">
      <w:bodyDiv w:val="1"/>
      <w:marLeft w:val="0"/>
      <w:marRight w:val="0"/>
      <w:marTop w:val="0"/>
      <w:marBottom w:val="0"/>
      <w:divBdr>
        <w:top w:val="none" w:sz="0" w:space="0" w:color="auto"/>
        <w:left w:val="none" w:sz="0" w:space="0" w:color="auto"/>
        <w:bottom w:val="none" w:sz="0" w:space="0" w:color="auto"/>
        <w:right w:val="none" w:sz="0" w:space="0" w:color="auto"/>
      </w:divBdr>
    </w:div>
    <w:div w:id="2031486623">
      <w:bodyDiv w:val="1"/>
      <w:marLeft w:val="0"/>
      <w:marRight w:val="0"/>
      <w:marTop w:val="0"/>
      <w:marBottom w:val="0"/>
      <w:divBdr>
        <w:top w:val="none" w:sz="0" w:space="0" w:color="auto"/>
        <w:left w:val="none" w:sz="0" w:space="0" w:color="auto"/>
        <w:bottom w:val="none" w:sz="0" w:space="0" w:color="auto"/>
        <w:right w:val="none" w:sz="0" w:space="0" w:color="auto"/>
      </w:divBdr>
      <w:divsChild>
        <w:div w:id="623774268">
          <w:marLeft w:val="0"/>
          <w:marRight w:val="0"/>
          <w:marTop w:val="0"/>
          <w:marBottom w:val="240"/>
          <w:divBdr>
            <w:top w:val="none" w:sz="0" w:space="0" w:color="auto"/>
            <w:left w:val="none" w:sz="0" w:space="0" w:color="auto"/>
            <w:bottom w:val="none" w:sz="0" w:space="0" w:color="auto"/>
            <w:right w:val="none" w:sz="0" w:space="0" w:color="auto"/>
          </w:divBdr>
        </w:div>
        <w:div w:id="1299533262">
          <w:marLeft w:val="0"/>
          <w:marRight w:val="0"/>
          <w:marTop w:val="0"/>
          <w:marBottom w:val="300"/>
          <w:divBdr>
            <w:top w:val="none" w:sz="0" w:space="0" w:color="auto"/>
            <w:left w:val="none" w:sz="0" w:space="0" w:color="auto"/>
            <w:bottom w:val="none" w:sz="0" w:space="0" w:color="auto"/>
            <w:right w:val="none" w:sz="0" w:space="0" w:color="auto"/>
          </w:divBdr>
          <w:divsChild>
            <w:div w:id="1852179593">
              <w:marLeft w:val="0"/>
              <w:marRight w:val="0"/>
              <w:marTop w:val="240"/>
              <w:marBottom w:val="0"/>
              <w:divBdr>
                <w:top w:val="none" w:sz="0" w:space="0" w:color="auto"/>
                <w:left w:val="none" w:sz="0" w:space="0" w:color="auto"/>
                <w:bottom w:val="none" w:sz="0" w:space="0" w:color="auto"/>
                <w:right w:val="none" w:sz="0" w:space="0" w:color="auto"/>
              </w:divBdr>
              <w:divsChild>
                <w:div w:id="706687799">
                  <w:marLeft w:val="0"/>
                  <w:marRight w:val="0"/>
                  <w:marTop w:val="0"/>
                  <w:marBottom w:val="0"/>
                  <w:divBdr>
                    <w:top w:val="none" w:sz="0" w:space="0" w:color="auto"/>
                    <w:left w:val="none" w:sz="0" w:space="0" w:color="auto"/>
                    <w:bottom w:val="none" w:sz="0" w:space="0" w:color="auto"/>
                    <w:right w:val="none" w:sz="0" w:space="0" w:color="auto"/>
                  </w:divBdr>
                </w:div>
              </w:divsChild>
            </w:div>
            <w:div w:id="646125534">
              <w:marLeft w:val="0"/>
              <w:marRight w:val="0"/>
              <w:marTop w:val="240"/>
              <w:marBottom w:val="0"/>
              <w:divBdr>
                <w:top w:val="none" w:sz="0" w:space="0" w:color="auto"/>
                <w:left w:val="none" w:sz="0" w:space="0" w:color="auto"/>
                <w:bottom w:val="none" w:sz="0" w:space="0" w:color="auto"/>
                <w:right w:val="none" w:sz="0" w:space="0" w:color="auto"/>
              </w:divBdr>
              <w:divsChild>
                <w:div w:id="56707275">
                  <w:marLeft w:val="0"/>
                  <w:marRight w:val="0"/>
                  <w:marTop w:val="0"/>
                  <w:marBottom w:val="0"/>
                  <w:divBdr>
                    <w:top w:val="none" w:sz="0" w:space="0" w:color="auto"/>
                    <w:left w:val="none" w:sz="0" w:space="0" w:color="auto"/>
                    <w:bottom w:val="none" w:sz="0" w:space="0" w:color="auto"/>
                    <w:right w:val="none" w:sz="0" w:space="0" w:color="auto"/>
                  </w:divBdr>
                </w:div>
              </w:divsChild>
            </w:div>
            <w:div w:id="2126536232">
              <w:marLeft w:val="0"/>
              <w:marRight w:val="0"/>
              <w:marTop w:val="240"/>
              <w:marBottom w:val="0"/>
              <w:divBdr>
                <w:top w:val="none" w:sz="0" w:space="0" w:color="auto"/>
                <w:left w:val="none" w:sz="0" w:space="0" w:color="auto"/>
                <w:bottom w:val="none" w:sz="0" w:space="0" w:color="auto"/>
                <w:right w:val="none" w:sz="0" w:space="0" w:color="auto"/>
              </w:divBdr>
              <w:divsChild>
                <w:div w:id="10516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49633">
      <w:bodyDiv w:val="1"/>
      <w:marLeft w:val="0"/>
      <w:marRight w:val="0"/>
      <w:marTop w:val="0"/>
      <w:marBottom w:val="0"/>
      <w:divBdr>
        <w:top w:val="none" w:sz="0" w:space="0" w:color="auto"/>
        <w:left w:val="none" w:sz="0" w:space="0" w:color="auto"/>
        <w:bottom w:val="none" w:sz="0" w:space="0" w:color="auto"/>
        <w:right w:val="none" w:sz="0" w:space="0" w:color="auto"/>
      </w:divBdr>
    </w:div>
    <w:div w:id="2096853853">
      <w:bodyDiv w:val="1"/>
      <w:marLeft w:val="0"/>
      <w:marRight w:val="0"/>
      <w:marTop w:val="0"/>
      <w:marBottom w:val="0"/>
      <w:divBdr>
        <w:top w:val="none" w:sz="0" w:space="0" w:color="auto"/>
        <w:left w:val="none" w:sz="0" w:space="0" w:color="auto"/>
        <w:bottom w:val="none" w:sz="0" w:space="0" w:color="auto"/>
        <w:right w:val="none" w:sz="0" w:space="0" w:color="auto"/>
      </w:divBdr>
      <w:divsChild>
        <w:div w:id="761485303">
          <w:marLeft w:val="0"/>
          <w:marRight w:val="0"/>
          <w:marTop w:val="240"/>
          <w:marBottom w:val="0"/>
          <w:divBdr>
            <w:top w:val="none" w:sz="0" w:space="0" w:color="auto"/>
            <w:left w:val="none" w:sz="0" w:space="0" w:color="auto"/>
            <w:bottom w:val="none" w:sz="0" w:space="0" w:color="auto"/>
            <w:right w:val="none" w:sz="0" w:space="0" w:color="auto"/>
          </w:divBdr>
          <w:divsChild>
            <w:div w:id="909585632">
              <w:marLeft w:val="0"/>
              <w:marRight w:val="0"/>
              <w:marTop w:val="0"/>
              <w:marBottom w:val="0"/>
              <w:divBdr>
                <w:top w:val="none" w:sz="0" w:space="0" w:color="auto"/>
                <w:left w:val="none" w:sz="0" w:space="0" w:color="auto"/>
                <w:bottom w:val="none" w:sz="0" w:space="0" w:color="auto"/>
                <w:right w:val="none" w:sz="0" w:space="0" w:color="auto"/>
              </w:divBdr>
            </w:div>
            <w:div w:id="501971888">
              <w:marLeft w:val="0"/>
              <w:marRight w:val="240"/>
              <w:marTop w:val="0"/>
              <w:marBottom w:val="0"/>
              <w:divBdr>
                <w:top w:val="none" w:sz="0" w:space="0" w:color="auto"/>
                <w:left w:val="none" w:sz="0" w:space="0" w:color="auto"/>
                <w:bottom w:val="dotted" w:sz="6" w:space="2" w:color="CCCCCC"/>
                <w:right w:val="none" w:sz="0" w:space="0" w:color="auto"/>
              </w:divBdr>
            </w:div>
          </w:divsChild>
        </w:div>
        <w:div w:id="106237182">
          <w:marLeft w:val="0"/>
          <w:marRight w:val="0"/>
          <w:marTop w:val="240"/>
          <w:marBottom w:val="0"/>
          <w:divBdr>
            <w:top w:val="none" w:sz="0" w:space="0" w:color="auto"/>
            <w:left w:val="none" w:sz="0" w:space="0" w:color="auto"/>
            <w:bottom w:val="none" w:sz="0" w:space="0" w:color="auto"/>
            <w:right w:val="none" w:sz="0" w:space="0" w:color="auto"/>
          </w:divBdr>
          <w:divsChild>
            <w:div w:id="10463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Foster Template">
      <a:dk1>
        <a:sysClr val="windowText" lastClr="000000"/>
      </a:dk1>
      <a:lt1>
        <a:sysClr val="window" lastClr="FFFFFF"/>
      </a:lt1>
      <a:dk2>
        <a:srgbClr val="372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DBA140367F5E45A6479147AB01EE5C" ma:contentTypeVersion="2" ma:contentTypeDescription="Create a new document." ma:contentTypeScope="" ma:versionID="5fee9bbb1944408c4bc6a65b3c17b3ee">
  <xsd:schema xmlns:xsd="http://www.w3.org/2001/XMLSchema" xmlns:xs="http://www.w3.org/2001/XMLSchema" xmlns:p="http://schemas.microsoft.com/office/2006/metadata/properties" xmlns:ns2="0b14d42a-2987-47a9-a571-31f318bb7601" targetNamespace="http://schemas.microsoft.com/office/2006/metadata/properties" ma:root="true" ma:fieldsID="3d56cc5f60d242bd1e26cfb6de6d354a" ns2:_="">
    <xsd:import namespace="0b14d42a-2987-47a9-a571-31f318bb760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4d42a-2987-47a9-a571-31f318bb76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C33161-EB0D-480E-9A0C-B302F23F17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25A9CC-0A42-4A64-8B60-9B9BAE856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4d42a-2987-47a9-a571-31f318bb7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6A60EB-101A-4E56-BEB9-566D86A63B9D}">
  <ds:schemaRefs>
    <ds:schemaRef ds:uri="http://schemas.microsoft.com/sharepoint/v3/contenttype/forms"/>
  </ds:schemaRefs>
</ds:datastoreItem>
</file>

<file path=customXml/itemProps4.xml><?xml version="1.0" encoding="utf-8"?>
<ds:datastoreItem xmlns:ds="http://schemas.openxmlformats.org/officeDocument/2006/customXml" ds:itemID="{EDCD3D2A-5B8F-4ED4-8180-80F4D3BF5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9</Pages>
  <Words>3587</Words>
  <Characters>20844</Characters>
  <Application>Microsoft Office Word</Application>
  <DocSecurity>0</DocSecurity>
  <Lines>353</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Carrie and Simon Campbell and Pritikin</dc:creator>
  <cp:lastModifiedBy>Asher Curtis</cp:lastModifiedBy>
  <cp:revision>8</cp:revision>
  <cp:lastPrinted>2020-09-26T19:45:00Z</cp:lastPrinted>
  <dcterms:created xsi:type="dcterms:W3CDTF">2020-09-16T21:12:00Z</dcterms:created>
  <dcterms:modified xsi:type="dcterms:W3CDTF">2020-09-26T21:10:00Z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0x010100CEDBA140367F5E45A6479147AB01EE5C</vt:lpwstr>
  </property>
</Properties>
</file>