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7D907" w14:textId="5043F2CA" w:rsidR="004F725E" w:rsidRPr="004F725E" w:rsidRDefault="008A73D6" w:rsidP="004F725E">
      <w:pPr>
        <w:spacing w:before="240" w:after="240" w:line="240" w:lineRule="auto"/>
        <w:jc w:val="center"/>
        <w:rPr>
          <w:rFonts w:ascii="Open Sans" w:eastAsia="Calibri" w:hAnsi="Open Sans" w:cs="Open Sans"/>
          <w:b/>
          <w:color w:val="33006F"/>
          <w:sz w:val="40"/>
          <w:szCs w:val="32"/>
        </w:rPr>
      </w:pPr>
      <w:r>
        <w:rPr>
          <w:rFonts w:ascii="Open Sans" w:eastAsia="Calibri" w:hAnsi="Open Sans" w:cs="Open Sans"/>
          <w:b/>
          <w:color w:val="33006F"/>
          <w:sz w:val="40"/>
          <w:szCs w:val="32"/>
        </w:rPr>
        <w:t>Earnings Announcements</w:t>
      </w:r>
    </w:p>
    <w:p w14:paraId="234D9F10" w14:textId="77777777" w:rsidR="004F725E" w:rsidRPr="004F725E" w:rsidRDefault="004F725E" w:rsidP="004F725E">
      <w:pPr>
        <w:spacing w:before="240" w:after="240" w:line="240" w:lineRule="auto"/>
        <w:jc w:val="center"/>
        <w:rPr>
          <w:rFonts w:ascii="Open Sans" w:eastAsia="Calibri" w:hAnsi="Open Sans" w:cs="Open Sans"/>
          <w:b/>
          <w:color w:val="33006F"/>
          <w:sz w:val="40"/>
          <w:szCs w:val="3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938"/>
      </w:tblGrid>
      <w:tr w:rsidR="004F725E" w:rsidRPr="004F725E" w14:paraId="6C2E07F1" w14:textId="77777777" w:rsidTr="004F725E">
        <w:tc>
          <w:tcPr>
            <w:tcW w:w="2250" w:type="dxa"/>
          </w:tcPr>
          <w:p w14:paraId="73DBE128" w14:textId="56929BA7"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Mindset Keywords:</w:t>
            </w:r>
          </w:p>
        </w:tc>
        <w:tc>
          <w:tcPr>
            <w:tcW w:w="7938" w:type="dxa"/>
          </w:tcPr>
          <w:p w14:paraId="5559AC26" w14:textId="70D6FEA8" w:rsidR="004F725E" w:rsidRPr="004F725E" w:rsidRDefault="001F3688"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Disclosure, new information, capital markets</w:t>
            </w:r>
            <w:r w:rsidR="004F725E" w:rsidRPr="004F725E">
              <w:rPr>
                <w:rFonts w:ascii="Open Sans" w:eastAsia="Calibri" w:hAnsi="Open Sans" w:cs="Open Sans"/>
                <w:b/>
                <w:color w:val="000000"/>
                <w:sz w:val="24"/>
                <w:szCs w:val="24"/>
              </w:rPr>
              <w:t>.</w:t>
            </w:r>
          </w:p>
        </w:tc>
      </w:tr>
      <w:tr w:rsidR="004F725E" w:rsidRPr="004F725E" w14:paraId="7F424A5F" w14:textId="77777777" w:rsidTr="004F725E">
        <w:tc>
          <w:tcPr>
            <w:tcW w:w="2250" w:type="dxa"/>
          </w:tcPr>
          <w:p w14:paraId="3CF39619" w14:textId="00D71D38"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Skillsets Keywords</w:t>
            </w:r>
            <w:r w:rsidRPr="004F725E">
              <w:rPr>
                <w:rFonts w:ascii="Open Sans" w:eastAsia="Calibri" w:hAnsi="Open Sans" w:cs="Open Sans"/>
                <w:b/>
                <w:color w:val="33006F"/>
                <w:sz w:val="24"/>
                <w:szCs w:val="24"/>
              </w:rPr>
              <w:t>:</w:t>
            </w:r>
          </w:p>
        </w:tc>
        <w:tc>
          <w:tcPr>
            <w:tcW w:w="7938" w:type="dxa"/>
          </w:tcPr>
          <w:p w14:paraId="67D20623" w14:textId="6F25347C" w:rsidR="004F725E" w:rsidRPr="004F725E" w:rsidRDefault="001F3688"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Measuring earnings outcomes, analysis of capital markets</w:t>
            </w:r>
            <w:r w:rsidR="004F725E" w:rsidRPr="004F725E">
              <w:rPr>
                <w:rFonts w:ascii="Open Sans" w:eastAsia="Calibri" w:hAnsi="Open Sans" w:cs="Open Sans"/>
                <w:b/>
                <w:color w:val="000000"/>
                <w:sz w:val="24"/>
                <w:szCs w:val="24"/>
              </w:rPr>
              <w:t>.</w:t>
            </w:r>
          </w:p>
        </w:tc>
      </w:tr>
    </w:tbl>
    <w:sdt>
      <w:sdtPr>
        <w:rPr>
          <w:rFonts w:ascii="Open Sans" w:eastAsia="Times New Roman" w:hAnsi="Open Sans" w:cs="Open Sans"/>
          <w:color w:val="33006F"/>
          <w:lang w:eastAsia="ja-JP"/>
        </w:rPr>
        <w:id w:val="-360892776"/>
        <w:docPartObj>
          <w:docPartGallery w:val="Table of Contents"/>
          <w:docPartUnique/>
        </w:docPartObj>
      </w:sdtPr>
      <w:sdtEndPr>
        <w:rPr>
          <w:noProof/>
        </w:rPr>
      </w:sdtEndPr>
      <w:sdtContent>
        <w:p w14:paraId="2D2C20AA" w14:textId="77777777" w:rsidR="004F725E" w:rsidRPr="004F725E" w:rsidRDefault="004F725E" w:rsidP="004F725E">
          <w:pPr>
            <w:keepNext/>
            <w:keepLines/>
            <w:spacing w:before="480" w:after="0" w:line="276" w:lineRule="auto"/>
            <w:rPr>
              <w:rFonts w:ascii="Open Sans" w:eastAsia="Times New Roman" w:hAnsi="Open Sans" w:cs="Open Sans"/>
              <w:b/>
              <w:bCs/>
              <w:color w:val="33006F"/>
              <w:sz w:val="28"/>
              <w:szCs w:val="28"/>
              <w:lang w:eastAsia="ja-JP"/>
            </w:rPr>
          </w:pPr>
          <w:r w:rsidRPr="004F725E">
            <w:rPr>
              <w:rFonts w:ascii="Open Sans" w:eastAsia="Times New Roman" w:hAnsi="Open Sans" w:cs="Open Sans"/>
              <w:b/>
              <w:bCs/>
              <w:color w:val="33006F"/>
              <w:sz w:val="28"/>
              <w:szCs w:val="28"/>
              <w:lang w:eastAsia="ja-JP"/>
            </w:rPr>
            <w:t>Contents</w:t>
          </w:r>
        </w:p>
        <w:p w14:paraId="388315A3" w14:textId="0E72733E" w:rsidR="001F3688" w:rsidRDefault="004F725E">
          <w:pPr>
            <w:pStyle w:val="TOC1"/>
            <w:tabs>
              <w:tab w:val="right" w:leader="dot" w:pos="9638"/>
            </w:tabs>
            <w:rPr>
              <w:rFonts w:eastAsiaTheme="minorEastAsia"/>
              <w:noProof/>
            </w:rPr>
          </w:pPr>
          <w:r w:rsidRPr="004F725E">
            <w:rPr>
              <w:rFonts w:ascii="Open Sans" w:eastAsia="Times New Roman" w:hAnsi="Open Sans" w:cs="Open Sans"/>
              <w:color w:val="33006F"/>
              <w:lang w:eastAsia="ja-JP"/>
            </w:rPr>
            <w:fldChar w:fldCharType="begin"/>
          </w:r>
          <w:r w:rsidRPr="004F725E">
            <w:rPr>
              <w:rFonts w:ascii="Open Sans" w:eastAsia="Times New Roman" w:hAnsi="Open Sans" w:cs="Open Sans"/>
              <w:color w:val="33006F"/>
              <w:lang w:eastAsia="ja-JP"/>
            </w:rPr>
            <w:instrText xml:space="preserve"> TOC \o "1-3" \h \z \u </w:instrText>
          </w:r>
          <w:r w:rsidRPr="004F725E">
            <w:rPr>
              <w:rFonts w:ascii="Open Sans" w:eastAsia="Times New Roman" w:hAnsi="Open Sans" w:cs="Open Sans"/>
              <w:color w:val="33006F"/>
              <w:lang w:eastAsia="ja-JP"/>
            </w:rPr>
            <w:fldChar w:fldCharType="separate"/>
          </w:r>
          <w:hyperlink w:anchor="_Toc52096146" w:history="1">
            <w:r w:rsidR="001F3688" w:rsidRPr="00612F0A">
              <w:rPr>
                <w:rStyle w:val="Hyperlink"/>
                <w:rFonts w:ascii="Open Sans" w:eastAsia="Times New Roman" w:hAnsi="Open Sans" w:cs="Open Sans"/>
                <w:b/>
                <w:bCs/>
                <w:smallCaps/>
                <w:noProof/>
              </w:rPr>
              <w:t>Case Brief</w:t>
            </w:r>
            <w:r w:rsidR="001F3688">
              <w:rPr>
                <w:noProof/>
                <w:webHidden/>
              </w:rPr>
              <w:tab/>
            </w:r>
            <w:r w:rsidR="001F3688">
              <w:rPr>
                <w:noProof/>
                <w:webHidden/>
              </w:rPr>
              <w:fldChar w:fldCharType="begin"/>
            </w:r>
            <w:r w:rsidR="001F3688">
              <w:rPr>
                <w:noProof/>
                <w:webHidden/>
              </w:rPr>
              <w:instrText xml:space="preserve"> PAGEREF _Toc52096146 \h </w:instrText>
            </w:r>
            <w:r w:rsidR="001F3688">
              <w:rPr>
                <w:noProof/>
                <w:webHidden/>
              </w:rPr>
            </w:r>
            <w:r w:rsidR="001F3688">
              <w:rPr>
                <w:noProof/>
                <w:webHidden/>
              </w:rPr>
              <w:fldChar w:fldCharType="separate"/>
            </w:r>
            <w:r w:rsidR="001F3688">
              <w:rPr>
                <w:noProof/>
                <w:webHidden/>
              </w:rPr>
              <w:t>2</w:t>
            </w:r>
            <w:r w:rsidR="001F3688">
              <w:rPr>
                <w:noProof/>
                <w:webHidden/>
              </w:rPr>
              <w:fldChar w:fldCharType="end"/>
            </w:r>
          </w:hyperlink>
        </w:p>
        <w:p w14:paraId="17E1CEBB" w14:textId="66664159" w:rsidR="001F3688" w:rsidRDefault="00C91E0D">
          <w:pPr>
            <w:pStyle w:val="TOC1"/>
            <w:tabs>
              <w:tab w:val="right" w:leader="dot" w:pos="9638"/>
            </w:tabs>
            <w:rPr>
              <w:rFonts w:eastAsiaTheme="minorEastAsia"/>
              <w:noProof/>
            </w:rPr>
          </w:pPr>
          <w:hyperlink w:anchor="_Toc52096147" w:history="1">
            <w:r w:rsidR="001F3688" w:rsidRPr="00612F0A">
              <w:rPr>
                <w:rStyle w:val="Hyperlink"/>
                <w:rFonts w:ascii="Open Sans" w:eastAsia="Times New Roman" w:hAnsi="Open Sans" w:cs="Open Sans"/>
                <w:b/>
                <w:bCs/>
                <w:smallCaps/>
                <w:noProof/>
              </w:rPr>
              <w:t>Background</w:t>
            </w:r>
            <w:r w:rsidR="001F3688">
              <w:rPr>
                <w:noProof/>
                <w:webHidden/>
              </w:rPr>
              <w:tab/>
            </w:r>
            <w:r w:rsidR="001F3688">
              <w:rPr>
                <w:noProof/>
                <w:webHidden/>
              </w:rPr>
              <w:fldChar w:fldCharType="begin"/>
            </w:r>
            <w:r w:rsidR="001F3688">
              <w:rPr>
                <w:noProof/>
                <w:webHidden/>
              </w:rPr>
              <w:instrText xml:space="preserve"> PAGEREF _Toc52096147 \h </w:instrText>
            </w:r>
            <w:r w:rsidR="001F3688">
              <w:rPr>
                <w:noProof/>
                <w:webHidden/>
              </w:rPr>
            </w:r>
            <w:r w:rsidR="001F3688">
              <w:rPr>
                <w:noProof/>
                <w:webHidden/>
              </w:rPr>
              <w:fldChar w:fldCharType="separate"/>
            </w:r>
            <w:r w:rsidR="001F3688">
              <w:rPr>
                <w:noProof/>
                <w:webHidden/>
              </w:rPr>
              <w:t>2</w:t>
            </w:r>
            <w:r w:rsidR="001F3688">
              <w:rPr>
                <w:noProof/>
                <w:webHidden/>
              </w:rPr>
              <w:fldChar w:fldCharType="end"/>
            </w:r>
          </w:hyperlink>
        </w:p>
        <w:p w14:paraId="4CC4A9EF" w14:textId="1502834B" w:rsidR="001F3688" w:rsidRDefault="00C91E0D">
          <w:pPr>
            <w:pStyle w:val="TOC1"/>
            <w:tabs>
              <w:tab w:val="right" w:leader="dot" w:pos="9638"/>
            </w:tabs>
            <w:rPr>
              <w:rFonts w:eastAsiaTheme="minorEastAsia"/>
              <w:noProof/>
            </w:rPr>
          </w:pPr>
          <w:hyperlink w:anchor="_Toc52096148" w:history="1">
            <w:r w:rsidR="001F3688" w:rsidRPr="00612F0A">
              <w:rPr>
                <w:rStyle w:val="Hyperlink"/>
                <w:rFonts w:ascii="Open Sans" w:eastAsia="Times New Roman" w:hAnsi="Open Sans" w:cs="Open Sans"/>
                <w:b/>
                <w:bCs/>
                <w:smallCaps/>
                <w:noProof/>
              </w:rPr>
              <w:t>Accounting Analytics</w:t>
            </w:r>
            <w:r w:rsidR="001F3688">
              <w:rPr>
                <w:noProof/>
                <w:webHidden/>
              </w:rPr>
              <w:tab/>
            </w:r>
            <w:r w:rsidR="001F3688">
              <w:rPr>
                <w:noProof/>
                <w:webHidden/>
              </w:rPr>
              <w:fldChar w:fldCharType="begin"/>
            </w:r>
            <w:r w:rsidR="001F3688">
              <w:rPr>
                <w:noProof/>
                <w:webHidden/>
              </w:rPr>
              <w:instrText xml:space="preserve"> PAGEREF _Toc52096148 \h </w:instrText>
            </w:r>
            <w:r w:rsidR="001F3688">
              <w:rPr>
                <w:noProof/>
                <w:webHidden/>
              </w:rPr>
            </w:r>
            <w:r w:rsidR="001F3688">
              <w:rPr>
                <w:noProof/>
                <w:webHidden/>
              </w:rPr>
              <w:fldChar w:fldCharType="separate"/>
            </w:r>
            <w:r w:rsidR="001F3688">
              <w:rPr>
                <w:noProof/>
                <w:webHidden/>
              </w:rPr>
              <w:t>4</w:t>
            </w:r>
            <w:r w:rsidR="001F3688">
              <w:rPr>
                <w:noProof/>
                <w:webHidden/>
              </w:rPr>
              <w:fldChar w:fldCharType="end"/>
            </w:r>
          </w:hyperlink>
        </w:p>
        <w:p w14:paraId="2FB81309" w14:textId="5ED147FE" w:rsidR="001F3688" w:rsidRDefault="00C91E0D">
          <w:pPr>
            <w:pStyle w:val="TOC1"/>
            <w:tabs>
              <w:tab w:val="right" w:leader="dot" w:pos="9638"/>
            </w:tabs>
            <w:rPr>
              <w:rFonts w:eastAsiaTheme="minorEastAsia"/>
              <w:noProof/>
            </w:rPr>
          </w:pPr>
          <w:hyperlink w:anchor="_Toc52096149" w:history="1">
            <w:r w:rsidR="001F3688" w:rsidRPr="00612F0A">
              <w:rPr>
                <w:rStyle w:val="Hyperlink"/>
                <w:rFonts w:ascii="Open Sans" w:eastAsia="Times New Roman" w:hAnsi="Open Sans" w:cs="Open Sans"/>
                <w:b/>
                <w:bCs/>
                <w:smallCaps/>
                <w:noProof/>
              </w:rPr>
              <w:t>Additional Context</w:t>
            </w:r>
            <w:r w:rsidR="001F3688">
              <w:rPr>
                <w:noProof/>
                <w:webHidden/>
              </w:rPr>
              <w:tab/>
            </w:r>
            <w:r w:rsidR="001F3688">
              <w:rPr>
                <w:noProof/>
                <w:webHidden/>
              </w:rPr>
              <w:fldChar w:fldCharType="begin"/>
            </w:r>
            <w:r w:rsidR="001F3688">
              <w:rPr>
                <w:noProof/>
                <w:webHidden/>
              </w:rPr>
              <w:instrText xml:space="preserve"> PAGEREF _Toc52096149 \h </w:instrText>
            </w:r>
            <w:r w:rsidR="001F3688">
              <w:rPr>
                <w:noProof/>
                <w:webHidden/>
              </w:rPr>
            </w:r>
            <w:r w:rsidR="001F3688">
              <w:rPr>
                <w:noProof/>
                <w:webHidden/>
              </w:rPr>
              <w:fldChar w:fldCharType="separate"/>
            </w:r>
            <w:r w:rsidR="001F3688">
              <w:rPr>
                <w:noProof/>
                <w:webHidden/>
              </w:rPr>
              <w:t>6</w:t>
            </w:r>
            <w:r w:rsidR="001F3688">
              <w:rPr>
                <w:noProof/>
                <w:webHidden/>
              </w:rPr>
              <w:fldChar w:fldCharType="end"/>
            </w:r>
          </w:hyperlink>
        </w:p>
        <w:p w14:paraId="43BF189C" w14:textId="0289B27A" w:rsidR="001F3688" w:rsidRDefault="00C91E0D">
          <w:pPr>
            <w:pStyle w:val="TOC1"/>
            <w:tabs>
              <w:tab w:val="right" w:leader="dot" w:pos="9638"/>
            </w:tabs>
            <w:rPr>
              <w:rFonts w:eastAsiaTheme="minorEastAsia"/>
              <w:noProof/>
            </w:rPr>
          </w:pPr>
          <w:hyperlink w:anchor="_Toc52096150" w:history="1">
            <w:r w:rsidR="001F3688" w:rsidRPr="00612F0A">
              <w:rPr>
                <w:rStyle w:val="Hyperlink"/>
                <w:rFonts w:ascii="Open Sans" w:eastAsia="Times New Roman" w:hAnsi="Open Sans" w:cs="Open Sans"/>
                <w:b/>
                <w:bCs/>
                <w:smallCaps/>
                <w:noProof/>
              </w:rPr>
              <w:t>Data and Additional Resources</w:t>
            </w:r>
            <w:r w:rsidR="001F3688">
              <w:rPr>
                <w:noProof/>
                <w:webHidden/>
              </w:rPr>
              <w:tab/>
            </w:r>
            <w:r w:rsidR="001F3688">
              <w:rPr>
                <w:noProof/>
                <w:webHidden/>
              </w:rPr>
              <w:fldChar w:fldCharType="begin"/>
            </w:r>
            <w:r w:rsidR="001F3688">
              <w:rPr>
                <w:noProof/>
                <w:webHidden/>
              </w:rPr>
              <w:instrText xml:space="preserve"> PAGEREF _Toc52096150 \h </w:instrText>
            </w:r>
            <w:r w:rsidR="001F3688">
              <w:rPr>
                <w:noProof/>
                <w:webHidden/>
              </w:rPr>
            </w:r>
            <w:r w:rsidR="001F3688">
              <w:rPr>
                <w:noProof/>
                <w:webHidden/>
              </w:rPr>
              <w:fldChar w:fldCharType="separate"/>
            </w:r>
            <w:r w:rsidR="001F3688">
              <w:rPr>
                <w:noProof/>
                <w:webHidden/>
              </w:rPr>
              <w:t>8</w:t>
            </w:r>
            <w:r w:rsidR="001F3688">
              <w:rPr>
                <w:noProof/>
                <w:webHidden/>
              </w:rPr>
              <w:fldChar w:fldCharType="end"/>
            </w:r>
          </w:hyperlink>
        </w:p>
        <w:p w14:paraId="151FF86F" w14:textId="1DBF0E74" w:rsidR="001F3688" w:rsidRDefault="00C91E0D">
          <w:pPr>
            <w:pStyle w:val="TOC1"/>
            <w:tabs>
              <w:tab w:val="right" w:leader="dot" w:pos="9638"/>
            </w:tabs>
            <w:rPr>
              <w:rFonts w:eastAsiaTheme="minorEastAsia"/>
              <w:noProof/>
            </w:rPr>
          </w:pPr>
          <w:hyperlink w:anchor="_Toc52096151" w:history="1">
            <w:r w:rsidR="001F3688" w:rsidRPr="00612F0A">
              <w:rPr>
                <w:rStyle w:val="Hyperlink"/>
                <w:rFonts w:ascii="Open Sans" w:eastAsia="Times New Roman" w:hAnsi="Open Sans" w:cs="Open Sans"/>
                <w:b/>
                <w:bCs/>
                <w:smallCaps/>
                <w:noProof/>
              </w:rPr>
              <w:t>References</w:t>
            </w:r>
            <w:r w:rsidR="001F3688">
              <w:rPr>
                <w:noProof/>
                <w:webHidden/>
              </w:rPr>
              <w:tab/>
            </w:r>
            <w:r w:rsidR="001F3688">
              <w:rPr>
                <w:noProof/>
                <w:webHidden/>
              </w:rPr>
              <w:fldChar w:fldCharType="begin"/>
            </w:r>
            <w:r w:rsidR="001F3688">
              <w:rPr>
                <w:noProof/>
                <w:webHidden/>
              </w:rPr>
              <w:instrText xml:space="preserve"> PAGEREF _Toc52096151 \h </w:instrText>
            </w:r>
            <w:r w:rsidR="001F3688">
              <w:rPr>
                <w:noProof/>
                <w:webHidden/>
              </w:rPr>
            </w:r>
            <w:r w:rsidR="001F3688">
              <w:rPr>
                <w:noProof/>
                <w:webHidden/>
              </w:rPr>
              <w:fldChar w:fldCharType="separate"/>
            </w:r>
            <w:r w:rsidR="001F3688">
              <w:rPr>
                <w:noProof/>
                <w:webHidden/>
              </w:rPr>
              <w:t>9</w:t>
            </w:r>
            <w:r w:rsidR="001F3688">
              <w:rPr>
                <w:noProof/>
                <w:webHidden/>
              </w:rPr>
              <w:fldChar w:fldCharType="end"/>
            </w:r>
          </w:hyperlink>
        </w:p>
        <w:p w14:paraId="2BD28142" w14:textId="068A730C" w:rsidR="004F725E" w:rsidRPr="004F725E" w:rsidRDefault="004F725E" w:rsidP="004F725E">
          <w:pPr>
            <w:tabs>
              <w:tab w:val="right" w:leader="dot" w:pos="7838"/>
            </w:tabs>
            <w:spacing w:after="100" w:line="276" w:lineRule="auto"/>
            <w:rPr>
              <w:rFonts w:ascii="Open Sans" w:eastAsia="Times New Roman" w:hAnsi="Open Sans" w:cs="Open Sans"/>
              <w:color w:val="33006F"/>
              <w:lang w:eastAsia="ja-JP"/>
            </w:rPr>
          </w:pPr>
          <w:r w:rsidRPr="004F725E">
            <w:rPr>
              <w:rFonts w:ascii="Open Sans" w:eastAsia="Times New Roman" w:hAnsi="Open Sans" w:cs="Open Sans"/>
              <w:b/>
              <w:bCs/>
              <w:noProof/>
              <w:color w:val="33006F"/>
              <w:lang w:eastAsia="ja-JP"/>
            </w:rPr>
            <w:fldChar w:fldCharType="end"/>
          </w:r>
        </w:p>
      </w:sdtContent>
    </w:sdt>
    <w:p w14:paraId="45B58623" w14:textId="77777777" w:rsidR="004F725E" w:rsidRPr="004F725E" w:rsidRDefault="004F725E" w:rsidP="004F725E">
      <w:pPr>
        <w:spacing w:after="0" w:line="240" w:lineRule="auto"/>
        <w:rPr>
          <w:rFonts w:ascii="Open Sans" w:eastAsia="Calibri" w:hAnsi="Open Sans" w:cs="Open Sans"/>
        </w:rPr>
      </w:pPr>
      <w:r w:rsidRPr="004F725E">
        <w:rPr>
          <w:rFonts w:ascii="Open Sans" w:eastAsia="Calibri" w:hAnsi="Open Sans" w:cs="Open Sans"/>
        </w:rPr>
        <w:br w:type="page"/>
      </w:r>
    </w:p>
    <w:p w14:paraId="5FE7B94A"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0" w:name="_Toc52096146"/>
      <w:r w:rsidRPr="004F725E">
        <w:rPr>
          <w:rFonts w:ascii="Open Sans" w:eastAsia="Times New Roman" w:hAnsi="Open Sans" w:cs="Open Sans"/>
          <w:b/>
          <w:bCs/>
          <w:smallCaps/>
          <w:color w:val="33006F"/>
          <w:sz w:val="28"/>
          <w:szCs w:val="28"/>
        </w:rPr>
        <w:lastRenderedPageBreak/>
        <w:t>Case Brief</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
        <w:gridCol w:w="7935"/>
        <w:gridCol w:w="892"/>
      </w:tblGrid>
      <w:tr w:rsidR="004F725E" w:rsidRPr="004F725E" w14:paraId="00FBA265" w14:textId="77777777" w:rsidTr="00614C8C">
        <w:tc>
          <w:tcPr>
            <w:tcW w:w="828" w:type="dxa"/>
          </w:tcPr>
          <w:p w14:paraId="57BC3E26" w14:textId="77777777" w:rsidR="004F725E" w:rsidRPr="004F725E" w:rsidRDefault="004F725E" w:rsidP="004F725E">
            <w:pPr>
              <w:spacing w:before="120" w:after="120" w:line="360" w:lineRule="auto"/>
              <w:jc w:val="both"/>
              <w:rPr>
                <w:rFonts w:ascii="Open Sans" w:eastAsia="Calibri" w:hAnsi="Open Sans" w:cs="Open Sans"/>
              </w:rPr>
            </w:pPr>
          </w:p>
        </w:tc>
        <w:tc>
          <w:tcPr>
            <w:tcW w:w="8010" w:type="dxa"/>
          </w:tcPr>
          <w:p w14:paraId="6BA911B7" w14:textId="04EADFE2" w:rsidR="004F725E" w:rsidRPr="004F725E" w:rsidRDefault="008A73D6" w:rsidP="004F725E">
            <w:pPr>
              <w:spacing w:before="120" w:after="120" w:line="360" w:lineRule="auto"/>
              <w:jc w:val="both"/>
              <w:rPr>
                <w:rFonts w:ascii="Open Sans" w:eastAsia="Calibri" w:hAnsi="Open Sans" w:cs="Open Sans"/>
                <w:i/>
              </w:rPr>
            </w:pPr>
            <w:r>
              <w:rPr>
                <w:rFonts w:ascii="Open Sans" w:eastAsia="Calibri" w:hAnsi="Open Sans" w:cs="Open Sans"/>
                <w:i/>
              </w:rPr>
              <w:t xml:space="preserve">How big of a deal are earnings announcements? </w:t>
            </w:r>
          </w:p>
        </w:tc>
        <w:tc>
          <w:tcPr>
            <w:tcW w:w="900" w:type="dxa"/>
          </w:tcPr>
          <w:p w14:paraId="5019987C" w14:textId="77777777" w:rsidR="004F725E" w:rsidRPr="004F725E" w:rsidRDefault="004F725E" w:rsidP="004F725E">
            <w:pPr>
              <w:spacing w:before="120" w:after="120" w:line="360" w:lineRule="auto"/>
              <w:jc w:val="both"/>
              <w:rPr>
                <w:rFonts w:ascii="Open Sans" w:eastAsia="Calibri" w:hAnsi="Open Sans" w:cs="Open Sans"/>
              </w:rPr>
            </w:pPr>
          </w:p>
        </w:tc>
      </w:tr>
    </w:tbl>
    <w:p w14:paraId="5091ABE5" w14:textId="60BF400B" w:rsidR="004F725E" w:rsidRPr="004F725E" w:rsidRDefault="004F725E" w:rsidP="004F725E">
      <w:pPr>
        <w:spacing w:before="120" w:after="120" w:line="360" w:lineRule="auto"/>
        <w:jc w:val="both"/>
        <w:rPr>
          <w:rFonts w:ascii="Open Sans" w:eastAsia="Calibri" w:hAnsi="Open Sans" w:cs="Open Sans"/>
        </w:rPr>
      </w:pPr>
      <w:r w:rsidRPr="004F725E">
        <w:rPr>
          <w:rFonts w:ascii="Open Sans" w:eastAsia="Calibri" w:hAnsi="Open Sans" w:cs="Open Sans"/>
        </w:rPr>
        <w:t>Your team</w:t>
      </w:r>
      <w:r w:rsidR="001F3688">
        <w:rPr>
          <w:rFonts w:ascii="Open Sans" w:eastAsia="Calibri" w:hAnsi="Open Sans" w:cs="Open Sans"/>
        </w:rPr>
        <w:t>’s goal is to analyze the period around an earnings announcement to better understand the importance of earnings to the capital markets. Your tam has been approached for this task because you are analytically trained and understand that accounting has a significant amount of flexibility.</w:t>
      </w:r>
    </w:p>
    <w:p w14:paraId="60AF1555"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1" w:name="_Toc52096147"/>
      <w:r w:rsidRPr="004F725E">
        <w:rPr>
          <w:rFonts w:ascii="Open Sans" w:eastAsia="Times New Roman" w:hAnsi="Open Sans" w:cs="Open Sans"/>
          <w:b/>
          <w:bCs/>
          <w:smallCaps/>
          <w:color w:val="33006F"/>
          <w:sz w:val="28"/>
          <w:szCs w:val="28"/>
        </w:rPr>
        <w:t>Background</w:t>
      </w:r>
      <w:bookmarkEnd w:id="1"/>
    </w:p>
    <w:p w14:paraId="4991151F" w14:textId="123F46FB" w:rsidR="008A73D6" w:rsidRPr="008A73D6" w:rsidRDefault="008A73D6" w:rsidP="008A73D6">
      <w:pPr>
        <w:spacing w:before="120" w:after="120" w:line="360" w:lineRule="auto"/>
        <w:rPr>
          <w:rFonts w:ascii="Open Sans" w:eastAsia="Calibri" w:hAnsi="Open Sans" w:cs="Open Sans"/>
        </w:rPr>
      </w:pPr>
      <w:r w:rsidRPr="008A73D6">
        <w:rPr>
          <w:rFonts w:ascii="Open Sans" w:eastAsia="Calibri" w:hAnsi="Open Sans" w:cs="Open Sans"/>
        </w:rPr>
        <w:t>Earnings announcements are one of the biggest corporate events of the year. The Securities and Exchange Commission (SEC) requires publicly traded firms to report financial statements on a quarterly basis (Forms 10-Q and 10-K).</w:t>
      </w:r>
      <w:r w:rsidRPr="008A73D6">
        <w:rPr>
          <w:rFonts w:ascii="Open Sans" w:eastAsia="Calibri" w:hAnsi="Open Sans" w:cs="Open Sans"/>
          <w:vertAlign w:val="superscript"/>
        </w:rPr>
        <w:footnoteReference w:id="1"/>
      </w:r>
      <w:r w:rsidRPr="008A73D6">
        <w:rPr>
          <w:rFonts w:ascii="Open Sans" w:eastAsia="Calibri" w:hAnsi="Open Sans" w:cs="Open Sans"/>
        </w:rPr>
        <w:t xml:space="preserve"> Often prior to filing the required financial statements firms provide a press-release, or announcement, of the earnings achieved over the prior quarter and / or year. This press-release, which is also required to be filed with the SEC (attached to Form 8-K), is typically referred to as the earnings announcement. Accounting research has provided a significant body of evidence that, on average, share prices increase when earnings increase, and firms with higher than expected earnings experience a price increase on the day of the earnings announcement. Investors typically pay a great deal of attention to earnings announcements and increase trading around this information event.</w:t>
      </w:r>
    </w:p>
    <w:p w14:paraId="7E4F06C1" w14:textId="349AA0A7" w:rsidR="001F3688" w:rsidRDefault="001F3688">
      <w:pPr>
        <w:rPr>
          <w:rFonts w:ascii="Open Sans" w:eastAsia="Calibri" w:hAnsi="Open Sans" w:cs="Open Sans"/>
        </w:rPr>
      </w:pPr>
      <w:r>
        <w:rPr>
          <w:rFonts w:ascii="Open Sans" w:eastAsia="Calibri" w:hAnsi="Open Sans" w:cs="Open Sans"/>
        </w:rPr>
        <w:br w:type="page"/>
      </w:r>
    </w:p>
    <w:p w14:paraId="2B11FE57" w14:textId="77777777" w:rsidR="008A73D6" w:rsidRDefault="008A73D6" w:rsidP="008A73D6">
      <w:pPr>
        <w:spacing w:before="120" w:after="120" w:line="360" w:lineRule="auto"/>
        <w:rPr>
          <w:rFonts w:ascii="Open Sans" w:eastAsia="Calibri" w:hAnsi="Open Sans" w:cs="Open San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616"/>
      </w:tblGrid>
      <w:tr w:rsidR="008A73D6" w:rsidRPr="008A73D6" w14:paraId="77C7ED4C" w14:textId="77777777" w:rsidTr="000E386D">
        <w:trPr>
          <w:jc w:val="center"/>
        </w:trPr>
        <w:tc>
          <w:tcPr>
            <w:tcW w:w="8064" w:type="dxa"/>
            <w:gridSpan w:val="2"/>
          </w:tcPr>
          <w:p w14:paraId="7DC359FE" w14:textId="77777777" w:rsidR="008A73D6" w:rsidRDefault="008A73D6" w:rsidP="00E47FD2">
            <w:pPr>
              <w:spacing w:before="120" w:after="120"/>
              <w:contextualSpacing/>
              <w:jc w:val="both"/>
              <w:rPr>
                <w:rFonts w:ascii="Open Sans" w:eastAsia="Calibri" w:hAnsi="Open Sans" w:cs="Open Sans"/>
                <w:b/>
              </w:rPr>
            </w:pPr>
            <w:r>
              <w:rPr>
                <w:rFonts w:ascii="Open Sans" w:eastAsia="Calibri" w:hAnsi="Open Sans" w:cs="Open Sans"/>
                <w:b/>
              </w:rPr>
              <w:t>Figure 1</w:t>
            </w:r>
          </w:p>
          <w:p w14:paraId="320EAB21" w14:textId="6F86458C" w:rsidR="008A73D6" w:rsidRPr="008A73D6" w:rsidRDefault="008A73D6" w:rsidP="00E47FD2">
            <w:pPr>
              <w:spacing w:before="120" w:after="120"/>
              <w:contextualSpacing/>
              <w:jc w:val="both"/>
              <w:rPr>
                <w:rFonts w:ascii="Open Sans" w:eastAsia="Calibri" w:hAnsi="Open Sans" w:cs="Open Sans"/>
                <w:b/>
              </w:rPr>
            </w:pPr>
            <w:r w:rsidRPr="008A73D6">
              <w:rPr>
                <w:rFonts w:ascii="Open Sans" w:eastAsia="Calibri" w:hAnsi="Open Sans" w:cs="Open Sans"/>
                <w:b/>
              </w:rPr>
              <w:t>Important dates at fiscal year-end</w:t>
            </w:r>
          </w:p>
        </w:tc>
      </w:tr>
      <w:tr w:rsidR="008A73D6" w:rsidRPr="008A73D6" w14:paraId="096A17CC" w14:textId="77777777" w:rsidTr="00156466">
        <w:trPr>
          <w:trHeight w:val="2844"/>
          <w:jc w:val="center"/>
        </w:trPr>
        <w:tc>
          <w:tcPr>
            <w:tcW w:w="8064" w:type="dxa"/>
            <w:gridSpan w:val="2"/>
            <w:vAlign w:val="center"/>
          </w:tcPr>
          <w:p w14:paraId="4BE7746B" w14:textId="7B7904C2" w:rsidR="008A73D6" w:rsidRPr="008A73D6" w:rsidRDefault="008A73D6" w:rsidP="00156466">
            <w:pPr>
              <w:spacing w:before="120" w:after="120" w:line="360" w:lineRule="auto"/>
              <w:jc w:val="center"/>
              <w:rPr>
                <w:rFonts w:ascii="Open Sans" w:eastAsia="Calibri" w:hAnsi="Open Sans" w:cs="Open Sans"/>
              </w:rPr>
            </w:pPr>
            <w:r w:rsidRPr="008A73D6">
              <w:rPr>
                <w:rFonts w:ascii="Open Sans" w:eastAsia="Calibri" w:hAnsi="Open Sans" w:cs="Open Sans"/>
                <w:noProof/>
              </w:rPr>
              <w:drawing>
                <wp:inline distT="0" distB="0" distL="0" distR="0" wp14:anchorId="6CB88ADF" wp14:editId="7EB48BB6">
                  <wp:extent cx="3639189" cy="159375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642654" cy="1595276"/>
                          </a:xfrm>
                          <a:prstGeom prst="rect">
                            <a:avLst/>
                          </a:prstGeom>
                        </pic:spPr>
                      </pic:pic>
                    </a:graphicData>
                  </a:graphic>
                </wp:inline>
              </w:drawing>
            </w:r>
          </w:p>
        </w:tc>
      </w:tr>
      <w:tr w:rsidR="008A73D6" w:rsidRPr="008A73D6" w14:paraId="5A76FB62" w14:textId="77777777" w:rsidTr="000E386D">
        <w:trPr>
          <w:trHeight w:val="85"/>
          <w:jc w:val="center"/>
        </w:trPr>
        <w:tc>
          <w:tcPr>
            <w:tcW w:w="2448" w:type="dxa"/>
            <w:tcBorders>
              <w:bottom w:val="single" w:sz="8" w:space="0" w:color="33006F"/>
            </w:tcBorders>
          </w:tcPr>
          <w:p w14:paraId="461FA84D" w14:textId="77777777" w:rsidR="008A73D6" w:rsidRPr="008A73D6" w:rsidRDefault="008A73D6" w:rsidP="008A73D6">
            <w:pPr>
              <w:spacing w:before="120" w:after="120"/>
              <w:jc w:val="both"/>
              <w:rPr>
                <w:rFonts w:ascii="Open Sans" w:eastAsia="Calibri" w:hAnsi="Open Sans" w:cs="Open Sans"/>
                <w:sz w:val="4"/>
                <w:szCs w:val="4"/>
              </w:rPr>
            </w:pPr>
          </w:p>
        </w:tc>
        <w:tc>
          <w:tcPr>
            <w:tcW w:w="5616" w:type="dxa"/>
          </w:tcPr>
          <w:p w14:paraId="47887ED8" w14:textId="77777777" w:rsidR="008A73D6" w:rsidRPr="008A73D6" w:rsidRDefault="008A73D6" w:rsidP="008A73D6">
            <w:pPr>
              <w:spacing w:before="120" w:after="120"/>
              <w:jc w:val="both"/>
              <w:rPr>
                <w:rFonts w:ascii="Open Sans" w:eastAsia="Calibri" w:hAnsi="Open Sans" w:cs="Open Sans"/>
                <w:sz w:val="4"/>
                <w:szCs w:val="4"/>
              </w:rPr>
            </w:pPr>
          </w:p>
        </w:tc>
      </w:tr>
      <w:tr w:rsidR="008A73D6" w:rsidRPr="008A73D6" w14:paraId="32396A2B" w14:textId="77777777" w:rsidTr="000E386D">
        <w:trPr>
          <w:trHeight w:val="612"/>
          <w:jc w:val="center"/>
        </w:trPr>
        <w:tc>
          <w:tcPr>
            <w:tcW w:w="8064" w:type="dxa"/>
            <w:gridSpan w:val="2"/>
          </w:tcPr>
          <w:p w14:paraId="2196D36B" w14:textId="30EB9F88" w:rsidR="008A73D6" w:rsidRPr="008A73D6" w:rsidRDefault="008A73D6" w:rsidP="000E386D">
            <w:pPr>
              <w:spacing w:before="120" w:after="120"/>
              <w:jc w:val="both"/>
              <w:rPr>
                <w:rFonts w:ascii="Open Sans" w:eastAsia="Calibri" w:hAnsi="Open Sans" w:cs="Open Sans"/>
              </w:rPr>
            </w:pPr>
            <w:r w:rsidRPr="008A73D6">
              <w:rPr>
                <w:rFonts w:ascii="Open Sans" w:eastAsia="Calibri" w:hAnsi="Open Sans" w:cs="Open Sans"/>
                <w:sz w:val="20"/>
                <w:szCs w:val="20"/>
              </w:rPr>
              <w:t>Notes:</w:t>
            </w:r>
            <w:r>
              <w:rPr>
                <w:rFonts w:ascii="Open Sans" w:eastAsia="Calibri" w:hAnsi="Open Sans" w:cs="Open Sans"/>
                <w:sz w:val="20"/>
                <w:szCs w:val="20"/>
              </w:rPr>
              <w:t xml:space="preserve"> </w:t>
            </w:r>
            <w:r w:rsidR="00156466">
              <w:rPr>
                <w:rFonts w:ascii="Open Sans" w:eastAsia="Calibri" w:hAnsi="Open Sans" w:cs="Open Sans"/>
                <w:sz w:val="20"/>
                <w:szCs w:val="20"/>
              </w:rPr>
              <w:t>An example timeline for an earnings announcement and the filing of the 10-K following the end of the quarter.</w:t>
            </w:r>
          </w:p>
        </w:tc>
      </w:tr>
    </w:tbl>
    <w:p w14:paraId="2E121B8E" w14:textId="77777777" w:rsidR="008A73D6" w:rsidRDefault="008A73D6" w:rsidP="008A73D6">
      <w:pPr>
        <w:spacing w:before="120" w:after="120" w:line="360" w:lineRule="auto"/>
        <w:rPr>
          <w:rFonts w:ascii="Open Sans" w:eastAsia="Calibri" w:hAnsi="Open Sans" w:cs="Open Sans"/>
        </w:rPr>
      </w:pPr>
    </w:p>
    <w:p w14:paraId="112DC57B" w14:textId="38C30E8D" w:rsidR="008A73D6" w:rsidRPr="008A73D6" w:rsidRDefault="008A73D6" w:rsidP="008A73D6">
      <w:pPr>
        <w:spacing w:before="120" w:after="120" w:line="360" w:lineRule="auto"/>
        <w:rPr>
          <w:rFonts w:ascii="Open Sans" w:eastAsia="Calibri" w:hAnsi="Open Sans" w:cs="Open Sans"/>
        </w:rPr>
      </w:pPr>
      <w:r w:rsidRPr="008A73D6">
        <w:rPr>
          <w:rFonts w:ascii="Open Sans" w:eastAsia="Calibri" w:hAnsi="Open Sans" w:cs="Open Sans"/>
        </w:rPr>
        <w:t>As illustrated, periodic filings are expected over a predictable timeline. It is probably not surprising, therefore that many firms choose to report earnings in a predictable manner by setting a day, and / or time to report earnings. On the day of the earnings announcement, firms tend to report earnings either before the market opens, or after the market closes.</w:t>
      </w:r>
      <w:r w:rsidRPr="008A73D6">
        <w:rPr>
          <w:rFonts w:ascii="Open Sans" w:eastAsia="Calibri" w:hAnsi="Open Sans" w:cs="Open Sans"/>
          <w:vertAlign w:val="superscript"/>
        </w:rPr>
        <w:footnoteReference w:id="2"/>
      </w:r>
      <w:r>
        <w:rPr>
          <w:rFonts w:ascii="Open Sans" w:eastAsia="Calibri" w:hAnsi="Open Sans" w:cs="Open Sans"/>
        </w:rPr>
        <w:t xml:space="preserve"> </w:t>
      </w:r>
      <w:r w:rsidRPr="008A73D6">
        <w:rPr>
          <w:rFonts w:ascii="Open Sans" w:eastAsia="Calibri" w:hAnsi="Open Sans" w:cs="Open Sans"/>
        </w:rPr>
        <w:t>The content of these press-releases varies by company, but will often include an unaudited set of financial statements, additional measures of performance not required by GAAP (collectively labeled non-GAAP, or pro-forma disclosures), qualitative discussion of the performance of the firm, and forward-looking information including management’s own earnings forecasts.</w:t>
      </w:r>
    </w:p>
    <w:p w14:paraId="248FA15C" w14:textId="3C4A65F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2" w:name="_Toc52096148"/>
      <w:r>
        <w:rPr>
          <w:rFonts w:ascii="Open Sans" w:eastAsia="Times New Roman" w:hAnsi="Open Sans" w:cs="Open Sans"/>
          <w:b/>
          <w:bCs/>
          <w:smallCaps/>
          <w:color w:val="33006F"/>
          <w:sz w:val="28"/>
          <w:szCs w:val="28"/>
        </w:rPr>
        <w:lastRenderedPageBreak/>
        <w:t xml:space="preserve">Accounting </w:t>
      </w:r>
      <w:r w:rsidRPr="004F725E">
        <w:rPr>
          <w:rFonts w:ascii="Open Sans" w:eastAsia="Times New Roman" w:hAnsi="Open Sans" w:cs="Open Sans"/>
          <w:b/>
          <w:bCs/>
          <w:smallCaps/>
          <w:color w:val="33006F"/>
          <w:sz w:val="28"/>
          <w:szCs w:val="28"/>
        </w:rPr>
        <w:t>Analytics</w:t>
      </w:r>
      <w:bookmarkEnd w:id="2"/>
    </w:p>
    <w:p w14:paraId="7AB0473C" w14:textId="77777777" w:rsidR="008A73D6" w:rsidRPr="008A73D6" w:rsidRDefault="008A73D6" w:rsidP="00E47FD2">
      <w:pPr>
        <w:keepNext/>
        <w:spacing w:before="120" w:after="120" w:line="360" w:lineRule="auto"/>
        <w:jc w:val="both"/>
        <w:rPr>
          <w:rFonts w:ascii="Open Sans" w:eastAsia="Calibri" w:hAnsi="Open Sans" w:cs="Open Sans"/>
          <w:b/>
          <w:i/>
          <w:color w:val="33006F"/>
        </w:rPr>
      </w:pPr>
      <w:bookmarkStart w:id="3" w:name="_Toc473037472"/>
      <w:r w:rsidRPr="008A73D6">
        <w:rPr>
          <w:rFonts w:ascii="Open Sans" w:eastAsia="Calibri" w:hAnsi="Open Sans" w:cs="Open Sans"/>
          <w:b/>
          <w:i/>
          <w:color w:val="33006F"/>
        </w:rPr>
        <w:t>What does the data tell us about earnings announcements?</w:t>
      </w:r>
      <w:bookmarkEnd w:id="3"/>
    </w:p>
    <w:p w14:paraId="43B99C54" w14:textId="64AF8CDB" w:rsidR="00E47FD2" w:rsidRDefault="00156466" w:rsidP="008A73D6">
      <w:pPr>
        <w:spacing w:before="120" w:after="120" w:line="360" w:lineRule="auto"/>
        <w:jc w:val="both"/>
        <w:rPr>
          <w:rFonts w:ascii="Open Sans" w:eastAsia="Calibri" w:hAnsi="Open Sans" w:cs="Open Sans"/>
        </w:rPr>
      </w:pPr>
      <w:r>
        <w:rPr>
          <w:rFonts w:ascii="Open Sans" w:eastAsia="Calibri" w:hAnsi="Open Sans" w:cs="Open Sans"/>
          <w:b/>
          <w:i/>
          <w:color w:val="33006F"/>
        </w:rPr>
        <w:t>S</w:t>
      </w:r>
      <w:r w:rsidR="008A73D6" w:rsidRPr="008A73D6">
        <w:rPr>
          <w:rFonts w:ascii="Open Sans" w:eastAsia="Calibri" w:hAnsi="Open Sans" w:cs="Open Sans"/>
          <w:b/>
          <w:i/>
          <w:color w:val="33006F"/>
        </w:rPr>
        <w:t xml:space="preserve">hould you pay attention to earnings? </w:t>
      </w:r>
      <w:r w:rsidR="008A73D6" w:rsidRPr="008A73D6">
        <w:rPr>
          <w:rFonts w:ascii="Open Sans" w:eastAsia="Calibri" w:hAnsi="Open Sans" w:cs="Open Sans"/>
        </w:rPr>
        <w:t>Analysis of the effect of earnings announcements on stock returns using a large sample of data first appeared in a paper by Philip Brown and Ray Ball in 1968. At the time, earnings were generally considered as of extremely low usefulness</w:t>
      </w:r>
      <w:r w:rsidR="00E47FD2">
        <w:rPr>
          <w:rFonts w:ascii="Open Sans" w:eastAsia="Calibri" w:hAnsi="Open Sans" w:cs="Open Sans"/>
        </w:rPr>
        <w:t>:</w:t>
      </w:r>
    </w:p>
    <w:p w14:paraId="50A39A77" w14:textId="767D078B" w:rsidR="00E47FD2" w:rsidRPr="00E47FD2" w:rsidRDefault="008A73D6" w:rsidP="00E47FD2">
      <w:pPr>
        <w:spacing w:before="120" w:after="120" w:line="240" w:lineRule="auto"/>
        <w:ind w:left="720" w:right="648"/>
        <w:jc w:val="both"/>
        <w:rPr>
          <w:rFonts w:ascii="Open Sans" w:eastAsia="Calibri" w:hAnsi="Open Sans" w:cs="Open Sans"/>
          <w:sz w:val="20"/>
          <w:szCs w:val="20"/>
        </w:rPr>
      </w:pPr>
      <w:r w:rsidRPr="008A73D6">
        <w:rPr>
          <w:rFonts w:ascii="Open Sans" w:eastAsia="Calibri" w:hAnsi="Open Sans" w:cs="Open Sans"/>
          <w:sz w:val="20"/>
          <w:szCs w:val="20"/>
        </w:rPr>
        <w:t xml:space="preserve">“It [earnings] is thus alleged to be a "meaningless" figure, not unlike the difference between twenty-seven tables and eight chairs” </w:t>
      </w:r>
      <w:r w:rsidRPr="008A73D6">
        <w:rPr>
          <w:rFonts w:ascii="Open Sans" w:eastAsia="Calibri" w:hAnsi="Open Sans" w:cs="Open Sans"/>
          <w:sz w:val="20"/>
          <w:szCs w:val="20"/>
        </w:rPr>
        <w:fldChar w:fldCharType="begin"/>
      </w:r>
      <w:r w:rsidR="00156466">
        <w:rPr>
          <w:rFonts w:ascii="Open Sans" w:eastAsia="Calibri" w:hAnsi="Open Sans" w:cs="Open Sans"/>
          <w:sz w:val="20"/>
          <w:szCs w:val="20"/>
        </w:rPr>
        <w:instrText xml:space="preserve"> ADDIN EN.CITE &lt;EndNote&gt;&lt;Cite&gt;&lt;Author&gt;Ball&lt;/Author&gt;&lt;Year&gt;1968&lt;/Year&gt;&lt;RecNum&gt;377&lt;/RecNum&gt;&lt;DisplayText&gt;(Ball and Brown 1968)&lt;/DisplayText&gt;&lt;record&gt;&lt;rec-number&gt;377&lt;/rec-number&gt;&lt;foreign-keys&gt;&lt;key app="EN" db-id="eftptpepwad5dyevw0opzrzoavweespsra2r" timestamp="0"&gt;377&lt;/key&gt;&lt;/foreign-keys&gt;&lt;ref-type name="Journal Article"&gt;17&lt;/ref-type&gt;&lt;contributors&gt;&lt;authors&gt;&lt;author&gt;Ball, Ray&lt;/author&gt;&lt;author&gt;Brown, Philip&lt;/author&gt;&lt;/authors&gt;&lt;/contributors&gt;&lt;titles&gt;&lt;title&gt;An Empirical Evaluation of Accounting Income Numbers&lt;/title&gt;&lt;secondary-title&gt;Journal of Accounting Research&lt;/secondary-title&gt;&lt;/titles&gt;&lt;periodical&gt;&lt;full-title&gt;Journal of Accounting Research&lt;/full-title&gt;&lt;/periodical&gt;&lt;pages&gt;159-178&lt;/pages&gt;&lt;volume&gt;6&lt;/volume&gt;&lt;number&gt;2&lt;/number&gt;&lt;dates&gt;&lt;year&gt;1968&lt;/year&gt;&lt;/dates&gt;&lt;publisher&gt;[Accounting Research Center, Booth School of Business, University of Chicago, Wiley]&lt;/publisher&gt;&lt;isbn&gt;00218456, 1475679X&lt;/isbn&gt;&lt;urls&gt;&lt;related-urls&gt;&lt;url&gt;http://www.jstor.org/stable/2490232&lt;/url&gt;&lt;/related-urls&gt;&lt;/urls&gt;&lt;custom1&gt;Full publication date: Autumn, 1968&lt;/custom1&gt;&lt;electronic-resource-num&gt;10.2307/2490232&lt;/electronic-resource-num&gt;&lt;/record&gt;&lt;/Cite&gt;&lt;/EndNote&gt;</w:instrText>
      </w:r>
      <w:r w:rsidRPr="008A73D6">
        <w:rPr>
          <w:rFonts w:ascii="Open Sans" w:eastAsia="Calibri" w:hAnsi="Open Sans" w:cs="Open Sans"/>
          <w:sz w:val="20"/>
          <w:szCs w:val="20"/>
        </w:rPr>
        <w:fldChar w:fldCharType="separate"/>
      </w:r>
      <w:r w:rsidR="00156466">
        <w:rPr>
          <w:rFonts w:ascii="Open Sans" w:eastAsia="Calibri" w:hAnsi="Open Sans" w:cs="Open Sans"/>
          <w:noProof/>
          <w:sz w:val="20"/>
          <w:szCs w:val="20"/>
        </w:rPr>
        <w:t>(Ball and Brown 1968)</w:t>
      </w:r>
      <w:r w:rsidRPr="008A73D6">
        <w:rPr>
          <w:rFonts w:ascii="Open Sans" w:eastAsia="Calibri" w:hAnsi="Open Sans" w:cs="Open Sans"/>
          <w:sz w:val="20"/>
          <w:szCs w:val="20"/>
        </w:rPr>
        <w:fldChar w:fldCharType="end"/>
      </w:r>
      <w:r w:rsidRPr="008A73D6">
        <w:rPr>
          <w:rFonts w:ascii="Open Sans" w:eastAsia="Calibri" w:hAnsi="Open Sans" w:cs="Open Sans"/>
          <w:sz w:val="20"/>
          <w:szCs w:val="20"/>
        </w:rPr>
        <w:t xml:space="preserve">. </w:t>
      </w:r>
    </w:p>
    <w:p w14:paraId="57A9BFA2" w14:textId="389C074B" w:rsidR="008A73D6" w:rsidRPr="008A73D6" w:rsidRDefault="00E47FD2" w:rsidP="008A73D6">
      <w:pPr>
        <w:spacing w:before="120" w:after="120" w:line="360" w:lineRule="auto"/>
        <w:jc w:val="both"/>
        <w:rPr>
          <w:rFonts w:ascii="Open Sans" w:eastAsia="Calibri" w:hAnsi="Open Sans" w:cs="Open Sans"/>
        </w:rPr>
      </w:pPr>
      <w:r>
        <w:rPr>
          <w:rFonts w:ascii="Open Sans" w:eastAsia="Calibri" w:hAnsi="Open Sans" w:cs="Open Sans"/>
        </w:rPr>
        <w:t>Since their early work, we now appreciate that e</w:t>
      </w:r>
      <w:r w:rsidR="008A73D6" w:rsidRPr="008A73D6">
        <w:rPr>
          <w:rFonts w:ascii="Open Sans" w:eastAsia="Calibri" w:hAnsi="Open Sans" w:cs="Open Sans"/>
        </w:rPr>
        <w:t>arnings</w:t>
      </w:r>
      <w:r>
        <w:rPr>
          <w:rFonts w:ascii="Open Sans" w:eastAsia="Calibri" w:hAnsi="Open Sans" w:cs="Open Sans"/>
        </w:rPr>
        <w:t xml:space="preserve"> announcements </w:t>
      </w:r>
      <w:r w:rsidR="008A73D6" w:rsidRPr="008A73D6">
        <w:rPr>
          <w:rFonts w:ascii="Open Sans" w:eastAsia="Calibri" w:hAnsi="Open Sans" w:cs="Open Sans"/>
        </w:rPr>
        <w:t xml:space="preserve">move the market. See Figure 1 for evidence of the market both predicting and reacting to earnings. Specifically, the strongest correlation between the earnings news and market returns in the 3 to 5 days </w:t>
      </w:r>
      <w:r w:rsidR="008A73D6" w:rsidRPr="008A73D6">
        <w:rPr>
          <w:rFonts w:ascii="Open Sans" w:eastAsia="Calibri" w:hAnsi="Open Sans" w:cs="Open Sans"/>
          <w:i/>
        </w:rPr>
        <w:t>before</w:t>
      </w:r>
      <w:r w:rsidR="008A73D6" w:rsidRPr="008A73D6">
        <w:rPr>
          <w:rFonts w:ascii="Open Sans" w:eastAsia="Calibri" w:hAnsi="Open Sans" w:cs="Open Sans"/>
        </w:rPr>
        <w:t xml:space="preserve"> the earnings announcement and that the correlation between the earnings news and subsequent returns is strongest in the 3 to 5 days following the earnings announcement.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616"/>
      </w:tblGrid>
      <w:tr w:rsidR="008A73D6" w:rsidRPr="008A73D6" w14:paraId="1CCFD30A" w14:textId="77777777" w:rsidTr="000E386D">
        <w:trPr>
          <w:jc w:val="center"/>
        </w:trPr>
        <w:tc>
          <w:tcPr>
            <w:tcW w:w="8064" w:type="dxa"/>
            <w:gridSpan w:val="2"/>
          </w:tcPr>
          <w:p w14:paraId="262986FD" w14:textId="034A099B" w:rsidR="008A73D6" w:rsidRPr="008A73D6" w:rsidRDefault="008A73D6" w:rsidP="00E47FD2">
            <w:pPr>
              <w:spacing w:before="120" w:after="120"/>
              <w:contextualSpacing/>
              <w:jc w:val="both"/>
              <w:rPr>
                <w:rFonts w:ascii="Open Sans" w:eastAsia="Calibri" w:hAnsi="Open Sans" w:cs="Open Sans"/>
                <w:b/>
              </w:rPr>
            </w:pPr>
            <w:r w:rsidRPr="008A73D6">
              <w:rPr>
                <w:rFonts w:ascii="Open Sans" w:eastAsia="Calibri" w:hAnsi="Open Sans" w:cs="Open Sans"/>
                <w:b/>
              </w:rPr>
              <w:t xml:space="preserve">Figure </w:t>
            </w:r>
            <w:r>
              <w:rPr>
                <w:rFonts w:ascii="Open Sans" w:eastAsia="Calibri" w:hAnsi="Open Sans" w:cs="Open Sans"/>
                <w:b/>
              </w:rPr>
              <w:t>2</w:t>
            </w:r>
          </w:p>
          <w:p w14:paraId="222C6949" w14:textId="77777777" w:rsidR="008A73D6" w:rsidRPr="008A73D6" w:rsidRDefault="008A73D6" w:rsidP="00E47FD2">
            <w:pPr>
              <w:spacing w:before="120" w:after="120"/>
              <w:contextualSpacing/>
              <w:jc w:val="both"/>
              <w:rPr>
                <w:rFonts w:ascii="Open Sans" w:eastAsia="Calibri" w:hAnsi="Open Sans" w:cs="Open Sans"/>
              </w:rPr>
            </w:pPr>
            <w:r w:rsidRPr="008A73D6">
              <w:rPr>
                <w:rFonts w:ascii="Open Sans" w:eastAsia="Calibri" w:hAnsi="Open Sans" w:cs="Open Sans"/>
                <w:b/>
              </w:rPr>
              <w:t>Market returns around quarterly earnings announcements</w:t>
            </w:r>
          </w:p>
        </w:tc>
      </w:tr>
      <w:tr w:rsidR="008A73D6" w:rsidRPr="008A73D6" w14:paraId="067A0D71" w14:textId="77777777" w:rsidTr="00E47FD2">
        <w:trPr>
          <w:trHeight w:val="2844"/>
          <w:jc w:val="center"/>
        </w:trPr>
        <w:tc>
          <w:tcPr>
            <w:tcW w:w="8064" w:type="dxa"/>
            <w:gridSpan w:val="2"/>
            <w:vAlign w:val="center"/>
          </w:tcPr>
          <w:p w14:paraId="6BDFDEFA" w14:textId="77777777" w:rsidR="008A73D6" w:rsidRPr="008A73D6" w:rsidRDefault="008A73D6" w:rsidP="00E47FD2">
            <w:pPr>
              <w:jc w:val="center"/>
              <w:rPr>
                <w:rFonts w:ascii="Open Sans" w:eastAsia="Calibri" w:hAnsi="Open Sans" w:cs="Open Sans"/>
              </w:rPr>
            </w:pPr>
            <w:r w:rsidRPr="008A73D6">
              <w:rPr>
                <w:rFonts w:ascii="Open Sans" w:eastAsia="Calibri" w:hAnsi="Open Sans" w:cs="Open Sans"/>
                <w:noProof/>
              </w:rPr>
              <w:drawing>
                <wp:inline distT="0" distB="0" distL="0" distR="0" wp14:anchorId="7F792883" wp14:editId="64CAA9E7">
                  <wp:extent cx="3571875" cy="25018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611217" cy="2529395"/>
                          </a:xfrm>
                          <a:prstGeom prst="rect">
                            <a:avLst/>
                          </a:prstGeom>
                        </pic:spPr>
                      </pic:pic>
                    </a:graphicData>
                  </a:graphic>
                </wp:inline>
              </w:drawing>
            </w:r>
          </w:p>
        </w:tc>
      </w:tr>
      <w:tr w:rsidR="008A73D6" w:rsidRPr="008A73D6" w14:paraId="5173BC6F" w14:textId="77777777" w:rsidTr="000E386D">
        <w:trPr>
          <w:trHeight w:val="85"/>
          <w:jc w:val="center"/>
        </w:trPr>
        <w:tc>
          <w:tcPr>
            <w:tcW w:w="2448" w:type="dxa"/>
            <w:tcBorders>
              <w:bottom w:val="single" w:sz="8" w:space="0" w:color="33006F"/>
            </w:tcBorders>
          </w:tcPr>
          <w:p w14:paraId="13625BD4" w14:textId="77777777" w:rsidR="008A73D6" w:rsidRPr="008A73D6" w:rsidRDefault="008A73D6" w:rsidP="008A73D6">
            <w:pPr>
              <w:spacing w:before="120" w:after="120"/>
              <w:jc w:val="both"/>
              <w:rPr>
                <w:rFonts w:ascii="Open Sans" w:eastAsia="Calibri" w:hAnsi="Open Sans" w:cs="Open Sans"/>
                <w:sz w:val="4"/>
                <w:szCs w:val="4"/>
              </w:rPr>
            </w:pPr>
          </w:p>
        </w:tc>
        <w:tc>
          <w:tcPr>
            <w:tcW w:w="5616" w:type="dxa"/>
          </w:tcPr>
          <w:p w14:paraId="3F699B33" w14:textId="77777777" w:rsidR="008A73D6" w:rsidRPr="008A73D6" w:rsidRDefault="008A73D6" w:rsidP="008A73D6">
            <w:pPr>
              <w:spacing w:before="120" w:after="120"/>
              <w:jc w:val="both"/>
              <w:rPr>
                <w:rFonts w:ascii="Open Sans" w:eastAsia="Calibri" w:hAnsi="Open Sans" w:cs="Open Sans"/>
                <w:sz w:val="4"/>
                <w:szCs w:val="4"/>
              </w:rPr>
            </w:pPr>
          </w:p>
        </w:tc>
      </w:tr>
      <w:tr w:rsidR="008A73D6" w:rsidRPr="008A73D6" w14:paraId="7D57B663" w14:textId="77777777" w:rsidTr="000E386D">
        <w:trPr>
          <w:trHeight w:val="612"/>
          <w:jc w:val="center"/>
        </w:trPr>
        <w:tc>
          <w:tcPr>
            <w:tcW w:w="8064" w:type="dxa"/>
            <w:gridSpan w:val="2"/>
          </w:tcPr>
          <w:p w14:paraId="6010BE0C" w14:textId="77AE9721" w:rsidR="008A73D6" w:rsidRPr="008A73D6" w:rsidRDefault="008A73D6" w:rsidP="008A73D6">
            <w:pPr>
              <w:spacing w:before="120" w:after="120"/>
              <w:jc w:val="both"/>
              <w:rPr>
                <w:rFonts w:ascii="Open Sans" w:eastAsia="Calibri" w:hAnsi="Open Sans" w:cs="Open Sans"/>
              </w:rPr>
            </w:pPr>
            <w:r w:rsidRPr="008A73D6">
              <w:rPr>
                <w:rFonts w:ascii="Open Sans" w:eastAsia="Calibri" w:hAnsi="Open Sans" w:cs="Open Sans"/>
                <w:sz w:val="20"/>
                <w:szCs w:val="20"/>
              </w:rPr>
              <w:t xml:space="preserve">Notes: The figure is taken from </w:t>
            </w:r>
            <w:r w:rsidRPr="008A73D6">
              <w:rPr>
                <w:rFonts w:ascii="Open Sans" w:eastAsia="Calibri" w:hAnsi="Open Sans" w:cs="Open Sans"/>
                <w:sz w:val="20"/>
                <w:szCs w:val="20"/>
              </w:rPr>
              <w:fldChar w:fldCharType="begin"/>
            </w:r>
            <w:r w:rsidR="00156466">
              <w:rPr>
                <w:rFonts w:ascii="Open Sans" w:eastAsia="Calibri" w:hAnsi="Open Sans" w:cs="Open Sans"/>
                <w:sz w:val="20"/>
                <w:szCs w:val="20"/>
              </w:rPr>
              <w:instrText xml:space="preserve"> ADDIN EN.CITE &lt;EndNote&gt;&lt;Cite AuthorYear="1"&gt;&lt;Author&gt;Foster&lt;/Author&gt;&lt;Year&gt;1984&lt;/Year&gt;&lt;RecNum&gt;375&lt;/RecNum&gt;&lt;DisplayText&gt;Foster et al. (1984)&lt;/DisplayText&gt;&lt;record&gt;&lt;rec-number&gt;375&lt;/rec-number&gt;&lt;foreign-keys&gt;&lt;key app="EN" db-id="eftptpepwad5dyevw0opzrzoavweespsra2r" timestamp="0"&gt;375&lt;/key&gt;&lt;/foreign-keys&gt;&lt;ref-type name="Journal Article"&gt;17&lt;/ref-type&gt;&lt;contributors&gt;&lt;authors&gt;&lt;author&gt;Foster, George&lt;/author&gt;&lt;author&gt;Olsen, Chris&lt;/author&gt;&lt;author&gt;Shevlin, Terry&lt;/author&gt;&lt;/authors&gt;&lt;/contributors&gt;&lt;titles&gt;&lt;title&gt;Earnings Releases, Anomalies, and the Behavior of Security Returns&lt;/title&gt;&lt;secondary-title&gt;The Accounting Review&lt;/secondary-title&gt;&lt;/titles&gt;&lt;pages&gt;574-603&lt;/pages&gt;&lt;volume&gt;59&lt;/volume&gt;&lt;number&gt;4&lt;/number&gt;&lt;dates&gt;&lt;year&gt;1984&lt;/year&gt;&lt;/dates&gt;&lt;publisher&gt;American Accounting Association&lt;/publisher&gt;&lt;isbn&gt;00014826&lt;/isbn&gt;&lt;urls&gt;&lt;related-urls&gt;&lt;url&gt;http://www.jstor.org/stable/247321&lt;/url&gt;&lt;/related-urls&gt;&lt;/urls&gt;&lt;custom1&gt;Full publication date: Oct., 1984&lt;/custom1&gt;&lt;/record&gt;&lt;/Cite&gt;&lt;/EndNote&gt;</w:instrText>
            </w:r>
            <w:r w:rsidRPr="008A73D6">
              <w:rPr>
                <w:rFonts w:ascii="Open Sans" w:eastAsia="Calibri" w:hAnsi="Open Sans" w:cs="Open Sans"/>
                <w:sz w:val="20"/>
                <w:szCs w:val="20"/>
              </w:rPr>
              <w:fldChar w:fldCharType="separate"/>
            </w:r>
            <w:r w:rsidR="00156466">
              <w:rPr>
                <w:rFonts w:ascii="Open Sans" w:eastAsia="Calibri" w:hAnsi="Open Sans" w:cs="Open Sans"/>
                <w:noProof/>
                <w:sz w:val="20"/>
                <w:szCs w:val="20"/>
              </w:rPr>
              <w:t>Foster et al. (1984)</w:t>
            </w:r>
            <w:r w:rsidRPr="008A73D6">
              <w:rPr>
                <w:rFonts w:ascii="Open Sans" w:eastAsia="Calibri" w:hAnsi="Open Sans" w:cs="Open Sans"/>
                <w:sz w:val="20"/>
                <w:szCs w:val="20"/>
              </w:rPr>
              <w:fldChar w:fldCharType="end"/>
            </w:r>
            <w:r w:rsidRPr="008A73D6">
              <w:rPr>
                <w:rFonts w:ascii="Open Sans" w:eastAsia="Calibri" w:hAnsi="Open Sans" w:cs="Open Sans"/>
                <w:sz w:val="20"/>
                <w:szCs w:val="20"/>
              </w:rPr>
              <w:t xml:space="preserve"> and plots the market returns in the 60 days prior to and following the announcement of quarterly earnings. Firms are assigned to groups based on their year-over-year change in quarterly earnings to control for seasonality effects.</w:t>
            </w:r>
          </w:p>
        </w:tc>
      </w:tr>
    </w:tbl>
    <w:p w14:paraId="28FCE09D" w14:textId="77777777" w:rsidR="008A73D6" w:rsidRPr="008A73D6" w:rsidRDefault="008A73D6" w:rsidP="008A73D6">
      <w:pPr>
        <w:spacing w:before="120" w:after="120" w:line="360" w:lineRule="auto"/>
        <w:jc w:val="both"/>
        <w:rPr>
          <w:rFonts w:ascii="Open Sans" w:eastAsia="Calibri" w:hAnsi="Open Sans" w:cs="Open Sans"/>
        </w:rPr>
      </w:pPr>
      <w:r w:rsidRPr="008A73D6">
        <w:rPr>
          <w:rFonts w:ascii="Open Sans" w:eastAsia="Calibri" w:hAnsi="Open Sans" w:cs="Open Sans"/>
        </w:rPr>
        <w:lastRenderedPageBreak/>
        <w:t xml:space="preserve">Additional evidence is provided in Figure 3 relating to the sensitivity of stock market returns to earnings news. In this case, the amount of news is measured relative to the most recent analysts’ forecasts of earnings, often referred to as the consensus analyst forecast, or “Street” expected earnings (where street is short for Wall Street). Note that the response is non-linear (it is steeper near zero earnings news and flatter for larger amounts of earnings news). The steepness of the market response to earnings news is significantly higher around zero, and is more extreme for firms that just miss their earnings target, and for growth firms (implying earnings news is incrementally important for firms with high levels of expected growth). This strong response of markets to small misses of the earnings target creates a strong incentive for managers to report earnings figures that do not miss the expected earnings.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5616"/>
      </w:tblGrid>
      <w:tr w:rsidR="008A73D6" w:rsidRPr="008A73D6" w14:paraId="050FA74E" w14:textId="77777777" w:rsidTr="000E386D">
        <w:trPr>
          <w:jc w:val="center"/>
        </w:trPr>
        <w:tc>
          <w:tcPr>
            <w:tcW w:w="8236" w:type="dxa"/>
            <w:gridSpan w:val="2"/>
          </w:tcPr>
          <w:p w14:paraId="0841A933" w14:textId="77777777" w:rsidR="008A73D6" w:rsidRPr="008A73D6" w:rsidRDefault="008A73D6" w:rsidP="00E47FD2">
            <w:pPr>
              <w:spacing w:before="120" w:after="120"/>
              <w:contextualSpacing/>
              <w:jc w:val="both"/>
              <w:rPr>
                <w:rFonts w:ascii="Open Sans" w:eastAsia="Calibri" w:hAnsi="Open Sans" w:cs="Open Sans"/>
                <w:b/>
              </w:rPr>
            </w:pPr>
            <w:r w:rsidRPr="008A73D6">
              <w:rPr>
                <w:rFonts w:ascii="Open Sans" w:eastAsia="Calibri" w:hAnsi="Open Sans" w:cs="Open Sans"/>
                <w:b/>
              </w:rPr>
              <w:t xml:space="preserve">Figure </w:t>
            </w:r>
            <w:r w:rsidRPr="008A73D6">
              <w:rPr>
                <w:rFonts w:ascii="Open Sans" w:eastAsia="Calibri" w:hAnsi="Open Sans" w:cs="Open Sans"/>
                <w:b/>
              </w:rPr>
              <w:fldChar w:fldCharType="begin"/>
            </w:r>
            <w:r w:rsidRPr="008A73D6">
              <w:rPr>
                <w:rFonts w:ascii="Open Sans" w:eastAsia="Calibri" w:hAnsi="Open Sans" w:cs="Open Sans"/>
                <w:b/>
              </w:rPr>
              <w:instrText xml:space="preserve"> SEQ Figures \* MERGEFORMAT </w:instrText>
            </w:r>
            <w:r w:rsidRPr="008A73D6">
              <w:rPr>
                <w:rFonts w:ascii="Open Sans" w:eastAsia="Calibri" w:hAnsi="Open Sans" w:cs="Open Sans"/>
                <w:b/>
              </w:rPr>
              <w:fldChar w:fldCharType="separate"/>
            </w:r>
            <w:r w:rsidRPr="008A73D6">
              <w:rPr>
                <w:rFonts w:ascii="Open Sans" w:eastAsia="Calibri" w:hAnsi="Open Sans" w:cs="Open Sans"/>
                <w:b/>
              </w:rPr>
              <w:t>3</w:t>
            </w:r>
            <w:r w:rsidRPr="008A73D6">
              <w:rPr>
                <w:rFonts w:ascii="Open Sans" w:eastAsia="Calibri" w:hAnsi="Open Sans" w:cs="Open Sans"/>
                <w:b/>
              </w:rPr>
              <w:fldChar w:fldCharType="end"/>
            </w:r>
          </w:p>
          <w:p w14:paraId="5A04CBEA" w14:textId="77777777" w:rsidR="008A73D6" w:rsidRPr="008A73D6" w:rsidRDefault="008A73D6" w:rsidP="00E47FD2">
            <w:pPr>
              <w:spacing w:before="120" w:after="120"/>
              <w:contextualSpacing/>
              <w:jc w:val="both"/>
              <w:rPr>
                <w:rFonts w:ascii="Open Sans" w:eastAsia="Calibri" w:hAnsi="Open Sans" w:cs="Open Sans"/>
                <w:b/>
              </w:rPr>
            </w:pPr>
            <w:r w:rsidRPr="008A73D6">
              <w:rPr>
                <w:rFonts w:ascii="Open Sans" w:eastAsia="Calibri" w:hAnsi="Open Sans" w:cs="Open Sans"/>
                <w:b/>
              </w:rPr>
              <w:t>The sensitivity of market returns to earnings news</w:t>
            </w:r>
          </w:p>
        </w:tc>
      </w:tr>
      <w:tr w:rsidR="008A73D6" w:rsidRPr="008A73D6" w14:paraId="30130CF9" w14:textId="77777777" w:rsidTr="00E47FD2">
        <w:trPr>
          <w:trHeight w:val="2844"/>
          <w:jc w:val="center"/>
        </w:trPr>
        <w:tc>
          <w:tcPr>
            <w:tcW w:w="8236" w:type="dxa"/>
            <w:gridSpan w:val="2"/>
            <w:vAlign w:val="center"/>
          </w:tcPr>
          <w:p w14:paraId="4491FFE7" w14:textId="77777777" w:rsidR="008A73D6" w:rsidRPr="008A73D6" w:rsidRDefault="008A73D6" w:rsidP="00E47FD2">
            <w:pPr>
              <w:spacing w:before="120" w:after="120" w:line="360" w:lineRule="auto"/>
              <w:jc w:val="center"/>
              <w:rPr>
                <w:rFonts w:ascii="Open Sans" w:eastAsia="Calibri" w:hAnsi="Open Sans" w:cs="Open Sans"/>
              </w:rPr>
            </w:pPr>
            <w:r w:rsidRPr="008A73D6">
              <w:rPr>
                <w:rFonts w:ascii="Open Sans" w:eastAsia="Calibri" w:hAnsi="Open Sans" w:cs="Open Sans"/>
                <w:noProof/>
              </w:rPr>
              <w:drawing>
                <wp:inline distT="0" distB="0" distL="0" distR="0" wp14:anchorId="2D8E8E30" wp14:editId="3C544BAE">
                  <wp:extent cx="4314825" cy="25510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327540" cy="2558613"/>
                          </a:xfrm>
                          <a:prstGeom prst="rect">
                            <a:avLst/>
                          </a:prstGeom>
                        </pic:spPr>
                      </pic:pic>
                    </a:graphicData>
                  </a:graphic>
                </wp:inline>
              </w:drawing>
            </w:r>
          </w:p>
        </w:tc>
      </w:tr>
      <w:tr w:rsidR="008A73D6" w:rsidRPr="008A73D6" w14:paraId="7A80AC14" w14:textId="77777777" w:rsidTr="000E386D">
        <w:trPr>
          <w:trHeight w:val="85"/>
          <w:jc w:val="center"/>
        </w:trPr>
        <w:tc>
          <w:tcPr>
            <w:tcW w:w="2620" w:type="dxa"/>
            <w:tcBorders>
              <w:bottom w:val="single" w:sz="8" w:space="0" w:color="33006F"/>
            </w:tcBorders>
          </w:tcPr>
          <w:p w14:paraId="65E56DF1" w14:textId="77777777" w:rsidR="008A73D6" w:rsidRPr="008A73D6" w:rsidRDefault="008A73D6" w:rsidP="008A73D6">
            <w:pPr>
              <w:spacing w:before="120" w:after="120" w:line="360" w:lineRule="auto"/>
              <w:jc w:val="both"/>
              <w:rPr>
                <w:rFonts w:ascii="Open Sans" w:eastAsia="Calibri" w:hAnsi="Open Sans" w:cs="Open Sans"/>
                <w:sz w:val="4"/>
                <w:szCs w:val="4"/>
              </w:rPr>
            </w:pPr>
          </w:p>
        </w:tc>
        <w:tc>
          <w:tcPr>
            <w:tcW w:w="5616" w:type="dxa"/>
          </w:tcPr>
          <w:p w14:paraId="2DB7AD50" w14:textId="77777777" w:rsidR="008A73D6" w:rsidRPr="008A73D6" w:rsidRDefault="008A73D6" w:rsidP="008A73D6">
            <w:pPr>
              <w:spacing w:before="120" w:after="120" w:line="360" w:lineRule="auto"/>
              <w:jc w:val="both"/>
              <w:rPr>
                <w:rFonts w:ascii="Open Sans" w:eastAsia="Calibri" w:hAnsi="Open Sans" w:cs="Open Sans"/>
                <w:sz w:val="4"/>
                <w:szCs w:val="4"/>
              </w:rPr>
            </w:pPr>
          </w:p>
        </w:tc>
      </w:tr>
      <w:tr w:rsidR="008A73D6" w:rsidRPr="008A73D6" w14:paraId="4F0E1BE5" w14:textId="77777777" w:rsidTr="000E386D">
        <w:trPr>
          <w:trHeight w:val="612"/>
          <w:jc w:val="center"/>
        </w:trPr>
        <w:tc>
          <w:tcPr>
            <w:tcW w:w="8236" w:type="dxa"/>
            <w:gridSpan w:val="2"/>
          </w:tcPr>
          <w:p w14:paraId="35566930" w14:textId="05BEDC90" w:rsidR="008A73D6" w:rsidRPr="008A73D6" w:rsidRDefault="008A73D6" w:rsidP="008A73D6">
            <w:pPr>
              <w:spacing w:before="120" w:after="120"/>
              <w:jc w:val="both"/>
              <w:rPr>
                <w:rFonts w:ascii="Open Sans" w:eastAsia="Calibri" w:hAnsi="Open Sans" w:cs="Open Sans"/>
                <w:sz w:val="20"/>
                <w:szCs w:val="20"/>
              </w:rPr>
            </w:pPr>
            <w:r w:rsidRPr="008A73D6">
              <w:rPr>
                <w:rFonts w:ascii="Open Sans" w:eastAsia="Calibri" w:hAnsi="Open Sans" w:cs="Open Sans"/>
                <w:sz w:val="20"/>
                <w:szCs w:val="20"/>
              </w:rPr>
              <w:t xml:space="preserve">Notes: The figure is taken from </w:t>
            </w:r>
            <w:r w:rsidRPr="008A73D6">
              <w:rPr>
                <w:rFonts w:ascii="Open Sans" w:eastAsia="Calibri" w:hAnsi="Open Sans" w:cs="Open Sans"/>
                <w:sz w:val="20"/>
                <w:szCs w:val="20"/>
              </w:rPr>
              <w:fldChar w:fldCharType="begin"/>
            </w:r>
            <w:r w:rsidR="00156466">
              <w:rPr>
                <w:rFonts w:ascii="Open Sans" w:eastAsia="Calibri" w:hAnsi="Open Sans" w:cs="Open Sans"/>
                <w:sz w:val="20"/>
                <w:szCs w:val="20"/>
              </w:rPr>
              <w:instrText xml:space="preserve"> ADDIN EN.CITE &lt;EndNote&gt;&lt;Cite AuthorYear="1"&gt;&lt;Author&gt;Skinner&lt;/Author&gt;&lt;Year&gt;2002&lt;/Year&gt;&lt;RecNum&gt;160&lt;/RecNum&gt;&lt;DisplayText&gt;Skinner and Sloan (2002)&lt;/DisplayText&gt;&lt;record&gt;&lt;rec-number&gt;160&lt;/rec-number&gt;&lt;foreign-keys&gt;&lt;key app="EN" db-id="eftptpepwad5dyevw0opzrzoavweespsra2r" timestamp="0"&gt;160&lt;/key&gt;&lt;/foreign-keys&gt;&lt;ref-type name="Journal Article"&gt;17&lt;/ref-type&gt;&lt;contributors&gt;&lt;authors&gt;&lt;author&gt;Skinner, Douglas J.&lt;/author&gt;&lt;author&gt;Sloan, Richard G.&lt;/author&gt;&lt;/authors&gt;&lt;/contributors&gt;&lt;titles&gt;&lt;title&gt;Earnings Surprises, Growth Expectations, and Stock Returns or Don&amp;apos;t Let an Earnings Torpedo Sink Your Portfolio&lt;/title&gt;&lt;secondary-title&gt;Review of Accounting Studies&lt;/secondary-title&gt;&lt;/titles&gt;&lt;pages&gt;289-312&lt;/pages&gt;&lt;volume&gt;7&lt;/volume&gt;&lt;number&gt;2&lt;/number&gt;&lt;dates&gt;&lt;year&gt;2002&lt;/year&gt;&lt;/dates&gt;&lt;isbn&gt;1573-7136&lt;/isbn&gt;&lt;label&gt;Skinner2002&lt;/label&gt;&lt;work-type&gt;journal article&lt;/work-type&gt;&lt;urls&gt;&lt;related-urls&gt;&lt;url&gt;http://dx.doi.org/10.1023/A:1020294523516&lt;/url&gt;&lt;/related-urls&gt;&lt;/urls&gt;&lt;electronic-resource-num&gt;10.1023/a:1020294523516&lt;/electronic-resource-num&gt;&lt;/record&gt;&lt;/Cite&gt;&lt;/EndNote&gt;</w:instrText>
            </w:r>
            <w:r w:rsidRPr="008A73D6">
              <w:rPr>
                <w:rFonts w:ascii="Open Sans" w:eastAsia="Calibri" w:hAnsi="Open Sans" w:cs="Open Sans"/>
                <w:sz w:val="20"/>
                <w:szCs w:val="20"/>
              </w:rPr>
              <w:fldChar w:fldCharType="separate"/>
            </w:r>
            <w:r w:rsidR="00156466">
              <w:rPr>
                <w:rFonts w:ascii="Open Sans" w:eastAsia="Calibri" w:hAnsi="Open Sans" w:cs="Open Sans"/>
                <w:noProof/>
                <w:sz w:val="20"/>
                <w:szCs w:val="20"/>
              </w:rPr>
              <w:t>Skinner and Sloan (2002)</w:t>
            </w:r>
            <w:r w:rsidRPr="008A73D6">
              <w:rPr>
                <w:rFonts w:ascii="Open Sans" w:eastAsia="Calibri" w:hAnsi="Open Sans" w:cs="Open Sans"/>
                <w:sz w:val="20"/>
                <w:szCs w:val="20"/>
              </w:rPr>
              <w:fldChar w:fldCharType="end"/>
            </w:r>
            <w:r w:rsidRPr="008A73D6">
              <w:rPr>
                <w:rFonts w:ascii="Open Sans" w:eastAsia="Calibri" w:hAnsi="Open Sans" w:cs="Open Sans"/>
                <w:sz w:val="20"/>
                <w:szCs w:val="20"/>
              </w:rPr>
              <w:t xml:space="preserve"> and plots the total market return for the 3-days around the earnings announcement relative to the amount of earnings news (labeled the forecast error). The response is non-linear and differs depending on whether the firm is characterized as a “growth stock” or a “value stock.” Growth stocks are those with high ratios of market value to accounting book value, and value stocks are those with low ratios of market value to accounting book value.</w:t>
            </w:r>
          </w:p>
        </w:tc>
      </w:tr>
    </w:tbl>
    <w:p w14:paraId="7CB20133" w14:textId="719F8862" w:rsidR="00AF73B2" w:rsidRDefault="00AF73B2" w:rsidP="00AF73B2">
      <w:pPr>
        <w:keepNext/>
        <w:spacing w:before="120" w:after="120" w:line="360" w:lineRule="auto"/>
        <w:jc w:val="both"/>
        <w:rPr>
          <w:rFonts w:ascii="Open Sans" w:eastAsia="Calibri" w:hAnsi="Open Sans" w:cs="Open Sans"/>
        </w:rPr>
      </w:pPr>
      <w:bookmarkStart w:id="4" w:name="_Toc473037473"/>
      <w:r>
        <w:rPr>
          <w:rFonts w:ascii="Open Sans" w:eastAsia="Calibri" w:hAnsi="Open Sans" w:cs="Open Sans"/>
          <w:b/>
          <w:i/>
          <w:color w:val="33006F"/>
        </w:rPr>
        <w:lastRenderedPageBreak/>
        <w:t xml:space="preserve">Managing earnings? </w:t>
      </w:r>
      <w:r>
        <w:rPr>
          <w:rFonts w:ascii="Open Sans" w:eastAsia="Calibri" w:hAnsi="Open Sans" w:cs="Open Sans"/>
        </w:rPr>
        <w:t xml:space="preserve">As highlighted in Figure 3, managers have strong incentives to meet or beat an earnings target. </w:t>
      </w:r>
      <w:r w:rsidR="001F3688">
        <w:rPr>
          <w:rFonts w:ascii="Open Sans" w:eastAsia="Calibri" w:hAnsi="Open Sans" w:cs="Open Sans"/>
        </w:rPr>
        <w:t>These incentives can make managers work harder, trying to make extra sales at year-end, or potentially manipulate earnings using the flexibility in GAAP. Either way, these incentives have influenced the distribution of earnings outcomes as can be seen in Figure 4, where there is a discontinuity around zero, evidence that managers avoid reporting small losses if they can somehow find a way to report a small profit</w:t>
      </w:r>
      <w:r>
        <w:rPr>
          <w:rFonts w:ascii="Open Sans" w:eastAsia="Calibri" w:hAnsi="Open Sans" w:cs="Open San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2"/>
        <w:gridCol w:w="6396"/>
      </w:tblGrid>
      <w:tr w:rsidR="00AF73B2" w:rsidRPr="008A73D6" w14:paraId="1723130F" w14:textId="77777777" w:rsidTr="000E386D">
        <w:trPr>
          <w:jc w:val="center"/>
        </w:trPr>
        <w:tc>
          <w:tcPr>
            <w:tcW w:w="8236" w:type="dxa"/>
            <w:gridSpan w:val="2"/>
          </w:tcPr>
          <w:p w14:paraId="0D97B693" w14:textId="428241DA" w:rsidR="00AF73B2" w:rsidRPr="008A73D6" w:rsidRDefault="00AF73B2" w:rsidP="000E386D">
            <w:pPr>
              <w:spacing w:before="120" w:after="120"/>
              <w:contextualSpacing/>
              <w:jc w:val="both"/>
              <w:rPr>
                <w:rFonts w:ascii="Open Sans" w:eastAsia="Calibri" w:hAnsi="Open Sans" w:cs="Open Sans"/>
                <w:b/>
              </w:rPr>
            </w:pPr>
            <w:r w:rsidRPr="008A73D6">
              <w:rPr>
                <w:rFonts w:ascii="Open Sans" w:eastAsia="Calibri" w:hAnsi="Open Sans" w:cs="Open Sans"/>
                <w:b/>
              </w:rPr>
              <w:t xml:space="preserve">Figure </w:t>
            </w:r>
            <w:r>
              <w:rPr>
                <w:rFonts w:ascii="Open Sans" w:eastAsia="Calibri" w:hAnsi="Open Sans" w:cs="Open Sans"/>
                <w:b/>
              </w:rPr>
              <w:t>4</w:t>
            </w:r>
          </w:p>
          <w:p w14:paraId="1043E133" w14:textId="03F5B23A" w:rsidR="00AF73B2" w:rsidRPr="008A73D6" w:rsidRDefault="00AF73B2" w:rsidP="000E386D">
            <w:pPr>
              <w:spacing w:before="120" w:after="120"/>
              <w:contextualSpacing/>
              <w:jc w:val="both"/>
              <w:rPr>
                <w:rFonts w:ascii="Open Sans" w:eastAsia="Calibri" w:hAnsi="Open Sans" w:cs="Open Sans"/>
                <w:b/>
              </w:rPr>
            </w:pPr>
            <w:r>
              <w:rPr>
                <w:rFonts w:ascii="Open Sans" w:eastAsia="Calibri" w:hAnsi="Open Sans" w:cs="Open Sans"/>
                <w:b/>
              </w:rPr>
              <w:t>A histogram of earnings outcomes</w:t>
            </w:r>
          </w:p>
        </w:tc>
      </w:tr>
      <w:tr w:rsidR="00AF73B2" w:rsidRPr="008A73D6" w14:paraId="647A0680" w14:textId="77777777" w:rsidTr="000E386D">
        <w:trPr>
          <w:trHeight w:val="2844"/>
          <w:jc w:val="center"/>
        </w:trPr>
        <w:tc>
          <w:tcPr>
            <w:tcW w:w="8236" w:type="dxa"/>
            <w:gridSpan w:val="2"/>
            <w:vAlign w:val="center"/>
          </w:tcPr>
          <w:p w14:paraId="379EDC66" w14:textId="09F951F6" w:rsidR="00AF73B2" w:rsidRPr="008A73D6" w:rsidRDefault="00AF73B2" w:rsidP="000E386D">
            <w:pPr>
              <w:spacing w:before="120" w:after="120" w:line="360" w:lineRule="auto"/>
              <w:jc w:val="center"/>
              <w:rPr>
                <w:rFonts w:ascii="Open Sans" w:eastAsia="Calibri" w:hAnsi="Open Sans" w:cs="Open Sans"/>
              </w:rPr>
            </w:pPr>
            <w:r w:rsidRPr="00AF73B2">
              <w:rPr>
                <w:rFonts w:ascii="Open Sans" w:eastAsia="Calibri" w:hAnsi="Open Sans" w:cs="Open Sans"/>
                <w:noProof/>
              </w:rPr>
              <w:drawing>
                <wp:inline distT="0" distB="0" distL="0" distR="0" wp14:anchorId="3CCA0423" wp14:editId="2D0D8E47">
                  <wp:extent cx="6019800" cy="268605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13" cstate="print"/>
                          <a:srcRect/>
                          <a:stretch>
                            <a:fillRect/>
                          </a:stretch>
                        </pic:blipFill>
                        <pic:spPr bwMode="auto">
                          <a:xfrm>
                            <a:off x="0" y="0"/>
                            <a:ext cx="6019800" cy="2686050"/>
                          </a:xfrm>
                          <a:prstGeom prst="rect">
                            <a:avLst/>
                          </a:prstGeom>
                          <a:noFill/>
                          <a:ln w="9525">
                            <a:noFill/>
                            <a:miter lim="800000"/>
                            <a:headEnd/>
                            <a:tailEnd/>
                          </a:ln>
                        </pic:spPr>
                      </pic:pic>
                    </a:graphicData>
                  </a:graphic>
                </wp:inline>
              </w:drawing>
            </w:r>
          </w:p>
        </w:tc>
      </w:tr>
      <w:tr w:rsidR="00AF73B2" w:rsidRPr="008A73D6" w14:paraId="398E575D" w14:textId="77777777" w:rsidTr="000E386D">
        <w:trPr>
          <w:trHeight w:val="85"/>
          <w:jc w:val="center"/>
        </w:trPr>
        <w:tc>
          <w:tcPr>
            <w:tcW w:w="2620" w:type="dxa"/>
            <w:tcBorders>
              <w:bottom w:val="single" w:sz="8" w:space="0" w:color="33006F"/>
            </w:tcBorders>
          </w:tcPr>
          <w:p w14:paraId="38584759" w14:textId="77777777" w:rsidR="00AF73B2" w:rsidRPr="008A73D6" w:rsidRDefault="00AF73B2" w:rsidP="000E386D">
            <w:pPr>
              <w:spacing w:before="120" w:after="120" w:line="360" w:lineRule="auto"/>
              <w:jc w:val="both"/>
              <w:rPr>
                <w:rFonts w:ascii="Open Sans" w:eastAsia="Calibri" w:hAnsi="Open Sans" w:cs="Open Sans"/>
                <w:sz w:val="4"/>
                <w:szCs w:val="4"/>
              </w:rPr>
            </w:pPr>
          </w:p>
        </w:tc>
        <w:tc>
          <w:tcPr>
            <w:tcW w:w="5616" w:type="dxa"/>
          </w:tcPr>
          <w:p w14:paraId="2DB5FBEC" w14:textId="77777777" w:rsidR="00AF73B2" w:rsidRPr="008A73D6" w:rsidRDefault="00AF73B2" w:rsidP="000E386D">
            <w:pPr>
              <w:spacing w:before="120" w:after="120" w:line="360" w:lineRule="auto"/>
              <w:jc w:val="both"/>
              <w:rPr>
                <w:rFonts w:ascii="Open Sans" w:eastAsia="Calibri" w:hAnsi="Open Sans" w:cs="Open Sans"/>
                <w:sz w:val="4"/>
                <w:szCs w:val="4"/>
              </w:rPr>
            </w:pPr>
          </w:p>
        </w:tc>
      </w:tr>
      <w:tr w:rsidR="00AF73B2" w:rsidRPr="008A73D6" w14:paraId="1D34A57D" w14:textId="77777777" w:rsidTr="000E386D">
        <w:trPr>
          <w:trHeight w:val="612"/>
          <w:jc w:val="center"/>
        </w:trPr>
        <w:tc>
          <w:tcPr>
            <w:tcW w:w="8236" w:type="dxa"/>
            <w:gridSpan w:val="2"/>
          </w:tcPr>
          <w:p w14:paraId="24BA6154" w14:textId="4E0EF4E7" w:rsidR="00AF73B2" w:rsidRPr="008A73D6" w:rsidRDefault="00AF73B2" w:rsidP="000E386D">
            <w:pPr>
              <w:spacing w:before="120" w:after="120"/>
              <w:jc w:val="both"/>
              <w:rPr>
                <w:rFonts w:ascii="Open Sans" w:eastAsia="Calibri" w:hAnsi="Open Sans" w:cs="Open Sans"/>
                <w:sz w:val="20"/>
                <w:szCs w:val="20"/>
              </w:rPr>
            </w:pPr>
            <w:r w:rsidRPr="008A73D6">
              <w:rPr>
                <w:rFonts w:ascii="Open Sans" w:eastAsia="Calibri" w:hAnsi="Open Sans" w:cs="Open Sans"/>
                <w:sz w:val="20"/>
                <w:szCs w:val="20"/>
              </w:rPr>
              <w:t>Notes: The figure is taken from</w:t>
            </w:r>
            <w:r>
              <w:rPr>
                <w:rFonts w:ascii="Open Sans" w:eastAsia="Calibri" w:hAnsi="Open Sans" w:cs="Open Sans"/>
                <w:sz w:val="20"/>
                <w:szCs w:val="20"/>
              </w:rPr>
              <w:t xml:space="preserve"> </w:t>
            </w:r>
            <w:r w:rsidR="00156466">
              <w:rPr>
                <w:rFonts w:ascii="Open Sans" w:eastAsia="Calibri" w:hAnsi="Open Sans" w:cs="Open Sans"/>
                <w:sz w:val="20"/>
                <w:szCs w:val="20"/>
              </w:rPr>
              <w:fldChar w:fldCharType="begin"/>
            </w:r>
            <w:r w:rsidR="00156466">
              <w:rPr>
                <w:rFonts w:ascii="Open Sans" w:eastAsia="Calibri" w:hAnsi="Open Sans" w:cs="Open Sans"/>
                <w:sz w:val="20"/>
                <w:szCs w:val="20"/>
              </w:rPr>
              <w:instrText xml:space="preserve"> ADDIN EN.CITE &lt;EndNote&gt;&lt;Cite AuthorYear="1"&gt;&lt;Author&gt;Burgstahler&lt;/Author&gt;&lt;Year&gt;1997&lt;/Year&gt;&lt;RecNum&gt;307&lt;/RecNum&gt;&lt;DisplayText&gt;Burgstahler and Dichev (1997)&lt;/DisplayText&gt;&lt;record&gt;&lt;rec-number&gt;307&lt;/rec-number&gt;&lt;foreign-keys&gt;&lt;key app="EN" db-id="eftptpepwad5dyevw0opzrzoavweespsra2r" timestamp="0"&gt;307&lt;/key&gt;&lt;/foreign-keys&gt;&lt;ref-type name="Journal Article"&gt;17&lt;/ref-type&gt;&lt;contributors&gt;&lt;authors&gt;&lt;author&gt;Burgstahler, David&lt;/author&gt;&lt;author&gt;Dichev, Ilia&lt;/author&gt;&lt;/authors&gt;&lt;/contributors&gt;&lt;titles&gt;&lt;title&gt;Earnings management to avoid earnings decreases and losses&lt;/title&gt;&lt;secondary-title&gt;Journal of Accounting and Economics&lt;/secondary-title&gt;&lt;/titles&gt;&lt;pages&gt;99-126&lt;/pages&gt;&lt;volume&gt;24&lt;/volume&gt;&lt;number&gt;1&lt;/number&gt;&lt;keywords&gt;&lt;keyword&gt;Earnings management&lt;/keyword&gt;&lt;keyword&gt;Earnings decreases&lt;/keyword&gt;&lt;keyword&gt;Losses&lt;/keyword&gt;&lt;/keywords&gt;&lt;dates&gt;&lt;year&gt;1997&lt;/year&gt;&lt;pub-dates&gt;&lt;date&gt;12//&lt;/date&gt;&lt;/pub-dates&gt;&lt;/dates&gt;&lt;isbn&gt;0165-4101&lt;/isbn&gt;&lt;urls&gt;&lt;related-urls&gt;&lt;url&gt;http://www.sciencedirect.com/science/article/pii/S0165410197000177&lt;/url&gt;&lt;/related-urls&gt;&lt;/urls&gt;&lt;electronic-resource-num&gt;http://dx.doi.org/10.1016/S0165-4101(97)00017-7&lt;/electronic-resource-num&gt;&lt;/record&gt;&lt;/Cite&gt;&lt;/EndNote&gt;</w:instrText>
            </w:r>
            <w:r w:rsidR="00156466">
              <w:rPr>
                <w:rFonts w:ascii="Open Sans" w:eastAsia="Calibri" w:hAnsi="Open Sans" w:cs="Open Sans"/>
                <w:sz w:val="20"/>
                <w:szCs w:val="20"/>
              </w:rPr>
              <w:fldChar w:fldCharType="separate"/>
            </w:r>
            <w:r w:rsidR="00156466">
              <w:rPr>
                <w:rFonts w:ascii="Open Sans" w:eastAsia="Calibri" w:hAnsi="Open Sans" w:cs="Open Sans"/>
                <w:noProof/>
                <w:sz w:val="20"/>
                <w:szCs w:val="20"/>
              </w:rPr>
              <w:t>Burgstahler and Dichev (1997)</w:t>
            </w:r>
            <w:r w:rsidR="00156466">
              <w:rPr>
                <w:rFonts w:ascii="Open Sans" w:eastAsia="Calibri" w:hAnsi="Open Sans" w:cs="Open Sans"/>
                <w:sz w:val="20"/>
                <w:szCs w:val="20"/>
              </w:rPr>
              <w:fldChar w:fldCharType="end"/>
            </w:r>
            <w:r w:rsidRPr="008A73D6">
              <w:rPr>
                <w:rFonts w:ascii="Open Sans" w:eastAsia="Calibri" w:hAnsi="Open Sans" w:cs="Open Sans"/>
                <w:sz w:val="20"/>
                <w:szCs w:val="20"/>
              </w:rPr>
              <w:t xml:space="preserve"> and plots the </w:t>
            </w:r>
            <w:r>
              <w:rPr>
                <w:rFonts w:ascii="Open Sans" w:eastAsia="Calibri" w:hAnsi="Open Sans" w:cs="Open Sans"/>
                <w:sz w:val="20"/>
                <w:szCs w:val="20"/>
              </w:rPr>
              <w:t xml:space="preserve">earnings announced by public companies divided by their market </w:t>
            </w:r>
            <w:r w:rsidR="001F3688">
              <w:rPr>
                <w:rFonts w:ascii="Open Sans" w:eastAsia="Calibri" w:hAnsi="Open Sans" w:cs="Open Sans"/>
                <w:sz w:val="20"/>
                <w:szCs w:val="20"/>
              </w:rPr>
              <w:t>capitalization</w:t>
            </w:r>
            <w:r>
              <w:rPr>
                <w:rFonts w:ascii="Open Sans" w:eastAsia="Calibri" w:hAnsi="Open Sans" w:cs="Open Sans"/>
                <w:sz w:val="20"/>
                <w:szCs w:val="20"/>
              </w:rPr>
              <w:t xml:space="preserve"> (to scale the earnings). </w:t>
            </w:r>
            <w:r w:rsidR="001F3688">
              <w:rPr>
                <w:rFonts w:ascii="Open Sans" w:eastAsia="Calibri" w:hAnsi="Open Sans" w:cs="Open Sans"/>
                <w:sz w:val="20"/>
                <w:szCs w:val="20"/>
              </w:rPr>
              <w:t>There is a noticeable discontinuity in the histogram around zero.</w:t>
            </w:r>
          </w:p>
        </w:tc>
      </w:tr>
    </w:tbl>
    <w:p w14:paraId="7FE5BA6F" w14:textId="0B5837B1" w:rsidR="00AF73B2" w:rsidRPr="004F725E" w:rsidRDefault="00AF73B2" w:rsidP="00AF73B2">
      <w:pPr>
        <w:keepNext/>
        <w:keepLines/>
        <w:spacing w:before="480" w:after="0" w:line="288" w:lineRule="auto"/>
        <w:outlineLvl w:val="0"/>
        <w:rPr>
          <w:rFonts w:ascii="Open Sans" w:eastAsia="Times New Roman" w:hAnsi="Open Sans" w:cs="Open Sans"/>
          <w:b/>
          <w:bCs/>
          <w:smallCaps/>
          <w:color w:val="33006F"/>
          <w:sz w:val="28"/>
          <w:szCs w:val="28"/>
        </w:rPr>
      </w:pPr>
      <w:bookmarkStart w:id="5" w:name="_Toc52096149"/>
      <w:r>
        <w:rPr>
          <w:rFonts w:ascii="Open Sans" w:eastAsia="Times New Roman" w:hAnsi="Open Sans" w:cs="Open Sans"/>
          <w:b/>
          <w:bCs/>
          <w:smallCaps/>
          <w:color w:val="33006F"/>
          <w:sz w:val="28"/>
          <w:szCs w:val="28"/>
        </w:rPr>
        <w:t>Additional Context</w:t>
      </w:r>
      <w:bookmarkEnd w:id="5"/>
    </w:p>
    <w:p w14:paraId="6B5108A4" w14:textId="77777777" w:rsidR="008A73D6" w:rsidRPr="008A73D6" w:rsidRDefault="008A73D6" w:rsidP="008A73D6">
      <w:pPr>
        <w:spacing w:before="120" w:after="120" w:line="360" w:lineRule="auto"/>
        <w:jc w:val="both"/>
        <w:rPr>
          <w:rFonts w:ascii="Open Sans" w:eastAsia="Calibri" w:hAnsi="Open Sans" w:cs="Open Sans"/>
          <w:b/>
          <w:i/>
          <w:color w:val="33006F"/>
        </w:rPr>
      </w:pPr>
      <w:r w:rsidRPr="008A73D6">
        <w:rPr>
          <w:rFonts w:ascii="Open Sans" w:eastAsia="Calibri" w:hAnsi="Open Sans" w:cs="Open Sans"/>
          <w:b/>
          <w:i/>
          <w:color w:val="33006F"/>
        </w:rPr>
        <w:t>Conference calls</w:t>
      </w:r>
      <w:bookmarkEnd w:id="4"/>
    </w:p>
    <w:p w14:paraId="1EC55D5D" w14:textId="444DF6A9" w:rsidR="008A73D6" w:rsidRPr="008A73D6" w:rsidRDefault="008A73D6" w:rsidP="008A73D6">
      <w:pPr>
        <w:spacing w:before="120" w:after="120" w:line="360" w:lineRule="auto"/>
        <w:jc w:val="both"/>
        <w:rPr>
          <w:rFonts w:ascii="Open Sans" w:eastAsia="Calibri" w:hAnsi="Open Sans" w:cs="Open Sans"/>
        </w:rPr>
      </w:pPr>
      <w:r w:rsidRPr="008A73D6">
        <w:rPr>
          <w:rFonts w:ascii="Open Sans" w:eastAsia="Calibri" w:hAnsi="Open Sans" w:cs="Open Sans"/>
        </w:rPr>
        <w:t xml:space="preserve">Shortly after announcing earnings, many firms will hold a conference call. Conference calls are not mandatory, but most public firms will hold a conference call; </w:t>
      </w:r>
      <w:r>
        <w:rPr>
          <w:rFonts w:ascii="Open Sans" w:eastAsia="Calibri" w:hAnsi="Open Sans" w:cs="Open Sans"/>
        </w:rPr>
        <w:t xml:space="preserve">with </w:t>
      </w:r>
      <w:r w:rsidRPr="008A73D6">
        <w:rPr>
          <w:rFonts w:ascii="Open Sans" w:eastAsia="Calibri" w:hAnsi="Open Sans" w:cs="Open Sans"/>
        </w:rPr>
        <w:t xml:space="preserve">many </w:t>
      </w:r>
      <w:r>
        <w:rPr>
          <w:rFonts w:ascii="Open Sans" w:eastAsia="Calibri" w:hAnsi="Open Sans" w:cs="Open Sans"/>
        </w:rPr>
        <w:t xml:space="preserve">now </w:t>
      </w:r>
      <w:r w:rsidRPr="008A73D6">
        <w:rPr>
          <w:rFonts w:ascii="Open Sans" w:eastAsia="Calibri" w:hAnsi="Open Sans" w:cs="Open Sans"/>
        </w:rPr>
        <w:t>webcast</w:t>
      </w:r>
      <w:r>
        <w:rPr>
          <w:rFonts w:ascii="Open Sans" w:eastAsia="Calibri" w:hAnsi="Open Sans" w:cs="Open Sans"/>
        </w:rPr>
        <w:t>ing</w:t>
      </w:r>
      <w:r w:rsidRPr="008A73D6">
        <w:rPr>
          <w:rFonts w:ascii="Open Sans" w:eastAsia="Calibri" w:hAnsi="Open Sans" w:cs="Open Sans"/>
        </w:rPr>
        <w:t xml:space="preserve"> the call (i.e., </w:t>
      </w:r>
      <w:r w:rsidRPr="008A73D6">
        <w:rPr>
          <w:rFonts w:ascii="Open Sans" w:eastAsia="Calibri" w:hAnsi="Open Sans" w:cs="Open Sans"/>
        </w:rPr>
        <w:lastRenderedPageBreak/>
        <w:t>broadcast the call over the internet).</w:t>
      </w:r>
      <w:r w:rsidRPr="008A73D6">
        <w:rPr>
          <w:rFonts w:ascii="Open Sans" w:eastAsia="Calibri" w:hAnsi="Open Sans" w:cs="Open Sans"/>
          <w:vertAlign w:val="superscript"/>
        </w:rPr>
        <w:footnoteReference w:id="3"/>
      </w:r>
      <w:r w:rsidRPr="008A73D6">
        <w:rPr>
          <w:rFonts w:ascii="Open Sans" w:eastAsia="Calibri" w:hAnsi="Open Sans" w:cs="Open Sans"/>
        </w:rPr>
        <w:t xml:space="preserve"> Conference calls are typically undertaken in two parts. First, managers discuss the performance of the firm over the past quarter, or in the case of the fourth quarter, the performance of the firm over the prior year. This section of the call is largely scripted and is heavily related to the original press release of the firm, the “earnings announcement.”</w:t>
      </w:r>
    </w:p>
    <w:p w14:paraId="149B6DEA" w14:textId="0712416B" w:rsidR="008A73D6" w:rsidRPr="008A73D6" w:rsidRDefault="008A73D6" w:rsidP="008A73D6">
      <w:pPr>
        <w:spacing w:before="120" w:after="120" w:line="360" w:lineRule="auto"/>
        <w:jc w:val="both"/>
        <w:rPr>
          <w:rFonts w:ascii="Open Sans" w:eastAsia="Calibri" w:hAnsi="Open Sans" w:cs="Open Sans"/>
        </w:rPr>
      </w:pPr>
      <w:r w:rsidRPr="008A73D6">
        <w:rPr>
          <w:rFonts w:ascii="Open Sans" w:eastAsia="Calibri" w:hAnsi="Open Sans" w:cs="Open Sans"/>
        </w:rPr>
        <w:t>The second section of the call is the Question and Answer (Q&amp;A) part of the call. In this section, analysts can ask questions of the management. Analysts’ questions generally fall into two categories, those which are forward-looking, and those which are aimed at better understanding, or clarifying, the performance of the firm over the past period. Often these clarification questions are aimed at better understanding the accounting techniques used by management. As conference calls are a standard feature of the disclosure of accounting information, managers typically have a good sense of which questions are likely to be asked and prepare responses to these questions. Often managers or investor relations will communicate with analysts beforehand to prepare responses to analysts’ questions. In general, this facilitates a more open sharing of information between managers and their analysts, and those investors listening into the call.</w:t>
      </w:r>
    </w:p>
    <w:p w14:paraId="29D4552B" w14:textId="57B81993" w:rsidR="008A73D6" w:rsidRPr="008A73D6" w:rsidRDefault="008A73D6" w:rsidP="008A73D6">
      <w:pPr>
        <w:spacing w:before="120" w:after="120" w:line="360" w:lineRule="auto"/>
        <w:jc w:val="both"/>
        <w:rPr>
          <w:rFonts w:ascii="Open Sans" w:eastAsia="Calibri" w:hAnsi="Open Sans" w:cs="Open Sans"/>
        </w:rPr>
      </w:pPr>
      <w:r w:rsidRPr="008A73D6">
        <w:rPr>
          <w:rFonts w:ascii="Open Sans" w:eastAsia="Calibri" w:hAnsi="Open Sans" w:cs="Open Sans"/>
        </w:rPr>
        <w:t xml:space="preserve">Note, however, that there is no rule or regulation that states that managers must answer questions. Sometimes managers do not completely answer questions as they </w:t>
      </w:r>
      <w:r w:rsidR="00E47FD2" w:rsidRPr="008A73D6">
        <w:rPr>
          <w:rFonts w:ascii="Open Sans" w:eastAsia="Calibri" w:hAnsi="Open Sans" w:cs="Open Sans"/>
        </w:rPr>
        <w:t>do not</w:t>
      </w:r>
      <w:r w:rsidRPr="008A73D6">
        <w:rPr>
          <w:rFonts w:ascii="Open Sans" w:eastAsia="Calibri" w:hAnsi="Open Sans" w:cs="Open Sans"/>
        </w:rPr>
        <w:t xml:space="preserve"> want to give away information on the competitive advantages of the firm. Other times, however, managers </w:t>
      </w:r>
      <w:r w:rsidR="00E47FD2" w:rsidRPr="008A73D6">
        <w:rPr>
          <w:rFonts w:ascii="Open Sans" w:eastAsia="Calibri" w:hAnsi="Open Sans" w:cs="Open Sans"/>
        </w:rPr>
        <w:t>do not</w:t>
      </w:r>
      <w:r w:rsidRPr="008A73D6">
        <w:rPr>
          <w:rFonts w:ascii="Open Sans" w:eastAsia="Calibri" w:hAnsi="Open Sans" w:cs="Open Sans"/>
        </w:rPr>
        <w:t xml:space="preserve"> have sufficient information to answer forward-looking questions due to the uncertainty related to future events.</w:t>
      </w:r>
    </w:p>
    <w:p w14:paraId="51D41E13" w14:textId="77777777" w:rsidR="008A73D6" w:rsidRPr="008A73D6" w:rsidRDefault="008A73D6" w:rsidP="00E47FD2">
      <w:pPr>
        <w:keepNext/>
        <w:spacing w:before="120" w:after="120" w:line="360" w:lineRule="auto"/>
        <w:jc w:val="both"/>
        <w:rPr>
          <w:rFonts w:ascii="Open Sans" w:eastAsia="Calibri" w:hAnsi="Open Sans" w:cs="Open Sans"/>
          <w:b/>
          <w:bCs/>
          <w:i/>
        </w:rPr>
      </w:pPr>
      <w:r w:rsidRPr="008A73D6">
        <w:rPr>
          <w:rFonts w:ascii="Open Sans" w:eastAsia="Calibri" w:hAnsi="Open Sans" w:cs="Open Sans"/>
          <w:b/>
          <w:i/>
          <w:color w:val="33006F"/>
        </w:rPr>
        <w:t>Analysts</w:t>
      </w:r>
    </w:p>
    <w:p w14:paraId="5192955E" w14:textId="255E81DC" w:rsidR="008A73D6" w:rsidRDefault="008A73D6" w:rsidP="008A73D6">
      <w:pPr>
        <w:spacing w:before="120" w:after="120" w:line="360" w:lineRule="auto"/>
        <w:jc w:val="both"/>
        <w:rPr>
          <w:rFonts w:ascii="Open Sans" w:eastAsia="Calibri" w:hAnsi="Open Sans" w:cs="Open Sans"/>
        </w:rPr>
      </w:pPr>
      <w:r w:rsidRPr="008A73D6">
        <w:rPr>
          <w:rFonts w:ascii="Open Sans" w:eastAsia="Calibri" w:hAnsi="Open Sans" w:cs="Open Sans"/>
        </w:rPr>
        <w:t xml:space="preserve">Equity analysts aim to use current period accounting data to forecast future financial metrics (such as earnings, and free cash flows). The resulting forecasts are often part of an analyst report for the company they are following, a report that usually includes a specific stock recommendation (e.g., </w:t>
      </w:r>
      <w:r w:rsidRPr="008A73D6">
        <w:rPr>
          <w:rFonts w:ascii="Open Sans" w:eastAsia="Calibri" w:hAnsi="Open Sans" w:cs="Open Sans"/>
        </w:rPr>
        <w:lastRenderedPageBreak/>
        <w:t>strong buy, buy, hold, sell, strong sell). Accounting provides a significant amount of aggregation of underlying business transactions. An important problem faced by the analyst when forecasting earnings is how to incorporate the expected differences in the likelihood that certain groups of transactions will recur, that is, happen again in the future. To address this problem, analysts typically forecast a firm’s sales, expenses</w:t>
      </w:r>
      <w:r>
        <w:rPr>
          <w:rFonts w:ascii="Open Sans" w:eastAsia="Calibri" w:hAnsi="Open Sans" w:cs="Open Sans"/>
        </w:rPr>
        <w:t>,</w:t>
      </w:r>
      <w:r w:rsidRPr="008A73D6">
        <w:rPr>
          <w:rFonts w:ascii="Open Sans" w:eastAsia="Calibri" w:hAnsi="Open Sans" w:cs="Open Sans"/>
        </w:rPr>
        <w:t xml:space="preserve"> and earnings.  To do so, analysts collect and use the prior disclosures made by the firm (such as prior 10-Q’s, 10-K’s, earnings press releases and conference calls) to understand the financial metrics that are important to the company. The most common performance metrics include earnings per share (EPS) and revenue. Note any industry specific metrics used by the firm such as same store sales (for brick and mortar retailers) or funds from operations (real estate investment trusts). Managers sometimes make analysts’ forecasting tasks easier by providing forward-looking guidance for the current quarter or year, such as forecasts of sales, margins</w:t>
      </w:r>
      <w:r w:rsidR="00AF73B2">
        <w:rPr>
          <w:rFonts w:ascii="Open Sans" w:eastAsia="Calibri" w:hAnsi="Open Sans" w:cs="Open Sans"/>
        </w:rPr>
        <w:t>,</w:t>
      </w:r>
      <w:r w:rsidRPr="008A73D6">
        <w:rPr>
          <w:rFonts w:ascii="Open Sans" w:eastAsia="Calibri" w:hAnsi="Open Sans" w:cs="Open Sans"/>
        </w:rPr>
        <w:t xml:space="preserve"> or earnings.</w:t>
      </w:r>
    </w:p>
    <w:p w14:paraId="03B3C019" w14:textId="58937F3A" w:rsidR="00E47FD2" w:rsidRPr="008A73D6" w:rsidRDefault="00E47FD2" w:rsidP="00E47FD2">
      <w:pPr>
        <w:keepNext/>
        <w:spacing w:before="120" w:after="120" w:line="360" w:lineRule="auto"/>
        <w:jc w:val="both"/>
        <w:rPr>
          <w:rFonts w:ascii="Open Sans" w:eastAsia="Calibri" w:hAnsi="Open Sans" w:cs="Open Sans"/>
          <w:b/>
          <w:bCs/>
          <w:i/>
        </w:rPr>
      </w:pPr>
      <w:r>
        <w:rPr>
          <w:rFonts w:ascii="Open Sans" w:eastAsia="Calibri" w:hAnsi="Open Sans" w:cs="Open Sans"/>
          <w:b/>
          <w:i/>
          <w:color w:val="33006F"/>
        </w:rPr>
        <w:t>Investors</w:t>
      </w:r>
    </w:p>
    <w:p w14:paraId="3DFF3C29" w14:textId="34BBDC9B" w:rsidR="00E47FD2" w:rsidRDefault="00E47FD2" w:rsidP="008A73D6">
      <w:pPr>
        <w:spacing w:before="120" w:after="120" w:line="360" w:lineRule="auto"/>
        <w:jc w:val="both"/>
        <w:rPr>
          <w:rFonts w:ascii="Open Sans" w:eastAsia="Calibri" w:hAnsi="Open Sans" w:cs="Open Sans"/>
        </w:rPr>
      </w:pPr>
      <w:r>
        <w:rPr>
          <w:rFonts w:ascii="Open Sans" w:eastAsia="Calibri" w:hAnsi="Open Sans" w:cs="Open Sans"/>
        </w:rPr>
        <w:t xml:space="preserve">Investors trade when they have </w:t>
      </w:r>
      <w:r w:rsidRPr="00E47FD2">
        <w:rPr>
          <w:rFonts w:ascii="Open Sans" w:eastAsia="Calibri" w:hAnsi="Open Sans" w:cs="Open Sans"/>
        </w:rPr>
        <w:t>different expectations, or opinions, about firm value</w:t>
      </w:r>
      <w:r>
        <w:rPr>
          <w:rFonts w:ascii="Open Sans" w:eastAsia="Calibri" w:hAnsi="Open Sans" w:cs="Open Sans"/>
        </w:rPr>
        <w:t xml:space="preserve">. This can be driven by investors holding </w:t>
      </w:r>
      <w:r w:rsidRPr="00E47FD2">
        <w:rPr>
          <w:rFonts w:ascii="Open Sans" w:eastAsia="Calibri" w:hAnsi="Open Sans" w:cs="Open Sans"/>
        </w:rPr>
        <w:t xml:space="preserve">different priors </w:t>
      </w:r>
      <w:r w:rsidR="00AF73B2">
        <w:rPr>
          <w:rFonts w:ascii="Open Sans" w:eastAsia="Calibri" w:hAnsi="Open Sans" w:cs="Open Sans"/>
        </w:rPr>
        <w:t xml:space="preserve">preceding new information (like an earnings announcement) </w:t>
      </w:r>
      <w:r w:rsidRPr="00E47FD2">
        <w:rPr>
          <w:rFonts w:ascii="Open Sans" w:eastAsia="Calibri" w:hAnsi="Open Sans" w:cs="Open Sans"/>
        </w:rPr>
        <w:t xml:space="preserve">or </w:t>
      </w:r>
      <w:r w:rsidR="00AF73B2">
        <w:rPr>
          <w:rFonts w:ascii="Open Sans" w:eastAsia="Calibri" w:hAnsi="Open Sans" w:cs="Open Sans"/>
        </w:rPr>
        <w:t xml:space="preserve">through having </w:t>
      </w:r>
      <w:r w:rsidRPr="00E47FD2">
        <w:rPr>
          <w:rFonts w:ascii="Open Sans" w:eastAsia="Calibri" w:hAnsi="Open Sans" w:cs="Open Sans"/>
        </w:rPr>
        <w:t>different interpretation</w:t>
      </w:r>
      <w:r w:rsidR="00AF73B2">
        <w:rPr>
          <w:rFonts w:ascii="Open Sans" w:eastAsia="Calibri" w:hAnsi="Open Sans" w:cs="Open Sans"/>
        </w:rPr>
        <w:t>s</w:t>
      </w:r>
      <w:r w:rsidRPr="00E47FD2">
        <w:rPr>
          <w:rFonts w:ascii="Open Sans" w:eastAsia="Calibri" w:hAnsi="Open Sans" w:cs="Open Sans"/>
        </w:rPr>
        <w:t xml:space="preserve"> of </w:t>
      </w:r>
      <w:r w:rsidR="00AF73B2">
        <w:rPr>
          <w:rFonts w:ascii="Open Sans" w:eastAsia="Calibri" w:hAnsi="Open Sans" w:cs="Open Sans"/>
        </w:rPr>
        <w:t xml:space="preserve">new </w:t>
      </w:r>
      <w:r w:rsidRPr="00E47FD2">
        <w:rPr>
          <w:rFonts w:ascii="Open Sans" w:eastAsia="Calibri" w:hAnsi="Open Sans" w:cs="Open Sans"/>
        </w:rPr>
        <w:t xml:space="preserve">information perceived to affect </w:t>
      </w:r>
      <w:r w:rsidR="00AF73B2">
        <w:rPr>
          <w:rFonts w:ascii="Open Sans" w:eastAsia="Calibri" w:hAnsi="Open Sans" w:cs="Open Sans"/>
        </w:rPr>
        <w:t>firm value. T</w:t>
      </w:r>
      <w:r w:rsidR="00AF73B2" w:rsidRPr="00AF73B2">
        <w:rPr>
          <w:rFonts w:ascii="Open Sans" w:eastAsia="Calibri" w:hAnsi="Open Sans" w:cs="Open Sans"/>
        </w:rPr>
        <w:t xml:space="preserve">rading volume </w:t>
      </w:r>
      <w:r w:rsidR="00AF73B2">
        <w:rPr>
          <w:rFonts w:ascii="Open Sans" w:eastAsia="Calibri" w:hAnsi="Open Sans" w:cs="Open Sans"/>
        </w:rPr>
        <w:t xml:space="preserve">tends to be abnormally higher around </w:t>
      </w:r>
      <w:r w:rsidR="00AF73B2" w:rsidRPr="00AF73B2">
        <w:rPr>
          <w:rFonts w:ascii="Open Sans" w:eastAsia="Calibri" w:hAnsi="Open Sans" w:cs="Open Sans"/>
        </w:rPr>
        <w:t xml:space="preserve">earnings announcements </w:t>
      </w:r>
      <w:r w:rsidR="00AF73B2">
        <w:rPr>
          <w:rFonts w:ascii="Open Sans" w:eastAsia="Calibri" w:hAnsi="Open Sans" w:cs="Open Sans"/>
        </w:rPr>
        <w:t xml:space="preserve">which </w:t>
      </w:r>
      <w:r w:rsidR="00AF73B2" w:rsidRPr="00AF73B2">
        <w:rPr>
          <w:rFonts w:ascii="Open Sans" w:eastAsia="Calibri" w:hAnsi="Open Sans" w:cs="Open Sans"/>
        </w:rPr>
        <w:t xml:space="preserve">provides direct evidence that information in earnings </w:t>
      </w:r>
      <w:r w:rsidR="00AF73B2">
        <w:rPr>
          <w:rFonts w:ascii="Open Sans" w:eastAsia="Calibri" w:hAnsi="Open Sans" w:cs="Open Sans"/>
        </w:rPr>
        <w:t xml:space="preserve">announcements </w:t>
      </w:r>
      <w:r w:rsidR="00AF73B2" w:rsidRPr="00AF73B2">
        <w:rPr>
          <w:rFonts w:ascii="Open Sans" w:eastAsia="Calibri" w:hAnsi="Open Sans" w:cs="Open Sans"/>
        </w:rPr>
        <w:t>change individual investors’ expectations about firm value leading them to trade</w:t>
      </w:r>
      <w:r w:rsidR="00AF73B2">
        <w:rPr>
          <w:rFonts w:ascii="Open Sans" w:eastAsia="Calibri" w:hAnsi="Open Sans" w:cs="Open Sans"/>
        </w:rPr>
        <w:t xml:space="preserve">. </w:t>
      </w:r>
    </w:p>
    <w:p w14:paraId="0625522F" w14:textId="06481002"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6" w:name="_Toc52096150"/>
      <w:r w:rsidRPr="004F725E">
        <w:rPr>
          <w:rFonts w:ascii="Open Sans" w:eastAsia="Times New Roman" w:hAnsi="Open Sans" w:cs="Open Sans"/>
          <w:b/>
          <w:bCs/>
          <w:smallCaps/>
          <w:color w:val="33006F"/>
          <w:sz w:val="28"/>
          <w:szCs w:val="28"/>
        </w:rPr>
        <w:t xml:space="preserve">Data and </w:t>
      </w:r>
      <w:r>
        <w:rPr>
          <w:rFonts w:ascii="Open Sans" w:eastAsia="Times New Roman" w:hAnsi="Open Sans" w:cs="Open Sans"/>
          <w:b/>
          <w:bCs/>
          <w:smallCaps/>
          <w:color w:val="33006F"/>
          <w:sz w:val="28"/>
          <w:szCs w:val="28"/>
        </w:rPr>
        <w:t xml:space="preserve">Additional </w:t>
      </w:r>
      <w:r w:rsidRPr="004F725E">
        <w:rPr>
          <w:rFonts w:ascii="Open Sans" w:eastAsia="Times New Roman" w:hAnsi="Open Sans" w:cs="Open Sans"/>
          <w:b/>
          <w:bCs/>
          <w:smallCaps/>
          <w:color w:val="33006F"/>
          <w:sz w:val="28"/>
          <w:szCs w:val="28"/>
        </w:rPr>
        <w:t>Resources</w:t>
      </w:r>
      <w:bookmarkEnd w:id="6"/>
    </w:p>
    <w:p w14:paraId="60CE760A" w14:textId="77777777" w:rsidR="004F725E" w:rsidRPr="004F725E" w:rsidRDefault="004F725E" w:rsidP="004F725E">
      <w:pPr>
        <w:spacing w:before="120" w:after="120" w:line="360" w:lineRule="auto"/>
        <w:jc w:val="both"/>
        <w:rPr>
          <w:rFonts w:ascii="Open Sans" w:eastAsia="Calibri" w:hAnsi="Open Sans" w:cs="Open Sans"/>
        </w:rPr>
      </w:pPr>
      <w:r w:rsidRPr="004F725E">
        <w:rPr>
          <w:rFonts w:ascii="Open Sans" w:eastAsia="Calibri" w:hAnsi="Open Sans" w:cs="Open Sans"/>
        </w:rPr>
        <w:t>The following data and resources are available in the case supplement:</w:t>
      </w:r>
    </w:p>
    <w:p w14:paraId="6B935AD6" w14:textId="033C1FBF" w:rsidR="004F725E" w:rsidRPr="004F725E" w:rsidRDefault="001F3688" w:rsidP="004F725E">
      <w:pPr>
        <w:numPr>
          <w:ilvl w:val="0"/>
          <w:numId w:val="1"/>
        </w:numPr>
        <w:spacing w:before="120" w:after="120" w:line="360" w:lineRule="auto"/>
        <w:jc w:val="both"/>
        <w:rPr>
          <w:rFonts w:ascii="Open Sans" w:eastAsia="Calibri" w:hAnsi="Open Sans" w:cs="Open Sans"/>
        </w:rPr>
      </w:pPr>
      <w:r>
        <w:rPr>
          <w:rFonts w:ascii="Open Sans" w:eastAsia="Calibri" w:hAnsi="Open Sans" w:cs="Open Sans"/>
        </w:rPr>
        <w:t>The Earnings dataset is provided in “earnings_announcements.csv”</w:t>
      </w:r>
    </w:p>
    <w:p w14:paraId="6CD87868"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7" w:name="_Toc52096151"/>
      <w:r w:rsidRPr="004F725E">
        <w:rPr>
          <w:rFonts w:ascii="Open Sans" w:eastAsia="Times New Roman" w:hAnsi="Open Sans" w:cs="Open Sans"/>
          <w:b/>
          <w:bCs/>
          <w:smallCaps/>
          <w:color w:val="33006F"/>
          <w:sz w:val="28"/>
          <w:szCs w:val="28"/>
        </w:rPr>
        <w:lastRenderedPageBreak/>
        <w:t>References</w:t>
      </w:r>
      <w:bookmarkEnd w:id="7"/>
    </w:p>
    <w:p w14:paraId="6B1401E2" w14:textId="77777777" w:rsidR="00156466" w:rsidRPr="00156466" w:rsidRDefault="004F725E" w:rsidP="00156466">
      <w:pPr>
        <w:pStyle w:val="EndNoteBibliography"/>
        <w:spacing w:after="0"/>
        <w:ind w:left="720" w:hanging="720"/>
      </w:pPr>
      <w:r w:rsidRPr="00E47FD2">
        <w:rPr>
          <w:rFonts w:ascii="Open Sans" w:eastAsia="Calibri" w:hAnsi="Open Sans" w:cs="Open Sans"/>
        </w:rPr>
        <w:fldChar w:fldCharType="begin"/>
      </w:r>
      <w:r w:rsidRPr="00E47FD2">
        <w:rPr>
          <w:rFonts w:ascii="Open Sans" w:eastAsia="Calibri" w:hAnsi="Open Sans" w:cs="Open Sans"/>
        </w:rPr>
        <w:instrText xml:space="preserve"> ADDIN EN.REFLIST </w:instrText>
      </w:r>
      <w:r w:rsidRPr="00E47FD2">
        <w:rPr>
          <w:rFonts w:ascii="Open Sans" w:eastAsia="Calibri" w:hAnsi="Open Sans" w:cs="Open Sans"/>
        </w:rPr>
        <w:fldChar w:fldCharType="separate"/>
      </w:r>
      <w:r w:rsidR="00156466" w:rsidRPr="00156466">
        <w:t xml:space="preserve">Ball, R., and P. Brown. 1968. An Empirical Evaluation of Accounting Income Numbers. </w:t>
      </w:r>
      <w:r w:rsidR="00156466" w:rsidRPr="00156466">
        <w:rPr>
          <w:i/>
        </w:rPr>
        <w:t>Journal of Accounting Research</w:t>
      </w:r>
      <w:r w:rsidR="00156466" w:rsidRPr="00156466">
        <w:t xml:space="preserve"> 6 (2):159-178.</w:t>
      </w:r>
    </w:p>
    <w:p w14:paraId="142DFC93" w14:textId="77777777" w:rsidR="00156466" w:rsidRPr="00156466" w:rsidRDefault="00156466" w:rsidP="00156466">
      <w:pPr>
        <w:pStyle w:val="EndNoteBibliography"/>
        <w:spacing w:after="0"/>
        <w:ind w:left="720" w:hanging="720"/>
      </w:pPr>
      <w:r w:rsidRPr="00156466">
        <w:t xml:space="preserve">Burgstahler, D., and I. Dichev. 1997. Earnings management to avoid earnings decreases and losses. </w:t>
      </w:r>
      <w:r w:rsidRPr="00156466">
        <w:rPr>
          <w:i/>
        </w:rPr>
        <w:t>Journal of Accounting and Economics</w:t>
      </w:r>
      <w:r w:rsidRPr="00156466">
        <w:t xml:space="preserve"> 24 (1):99-126.</w:t>
      </w:r>
    </w:p>
    <w:p w14:paraId="6DFF295E" w14:textId="77777777" w:rsidR="00156466" w:rsidRPr="00156466" w:rsidRDefault="00156466" w:rsidP="00156466">
      <w:pPr>
        <w:pStyle w:val="EndNoteBibliography"/>
        <w:spacing w:after="0"/>
        <w:ind w:left="720" w:hanging="720"/>
      </w:pPr>
      <w:r w:rsidRPr="00156466">
        <w:t xml:space="preserve">Foster, G., C. Olsen, and T. Shevlin. 1984. Earnings Releases, Anomalies, and the Behavior of Security Returns. </w:t>
      </w:r>
      <w:r w:rsidRPr="00156466">
        <w:rPr>
          <w:i/>
        </w:rPr>
        <w:t>The Accounting Review</w:t>
      </w:r>
      <w:r w:rsidRPr="00156466">
        <w:t xml:space="preserve"> 59 (4):574-603.</w:t>
      </w:r>
    </w:p>
    <w:p w14:paraId="582990F9" w14:textId="77777777" w:rsidR="00156466" w:rsidRPr="00156466" w:rsidRDefault="00156466" w:rsidP="00156466">
      <w:pPr>
        <w:pStyle w:val="EndNoteBibliography"/>
        <w:ind w:left="720" w:hanging="720"/>
      </w:pPr>
      <w:r w:rsidRPr="00156466">
        <w:t xml:space="preserve">Skinner, D. J., and R. G. Sloan. 2002. Earnings Surprises, Growth Expectations, and Stock Returns or Don't Let an Earnings Torpedo Sink Your Portfolio. </w:t>
      </w:r>
      <w:r w:rsidRPr="00156466">
        <w:rPr>
          <w:i/>
        </w:rPr>
        <w:t>Review of Accounting Studies</w:t>
      </w:r>
      <w:r w:rsidRPr="00156466">
        <w:t xml:space="preserve"> 7 (2):289-312.</w:t>
      </w:r>
    </w:p>
    <w:p w14:paraId="213D579B" w14:textId="4C4D9A69" w:rsidR="004F725E" w:rsidRPr="004F725E" w:rsidRDefault="004F725E" w:rsidP="004F725E">
      <w:pPr>
        <w:spacing w:after="0" w:line="240" w:lineRule="auto"/>
        <w:rPr>
          <w:rFonts w:ascii="Open Sans" w:eastAsia="Calibri" w:hAnsi="Open Sans" w:cs="Open Sans"/>
        </w:rPr>
      </w:pPr>
      <w:r w:rsidRPr="00E47FD2">
        <w:rPr>
          <w:rFonts w:ascii="Open Sans" w:eastAsia="Calibri" w:hAnsi="Open Sans" w:cs="Open Sans"/>
        </w:rPr>
        <w:fldChar w:fldCharType="end"/>
      </w:r>
    </w:p>
    <w:tbl>
      <w:tblPr>
        <w:tblStyle w:val="TableGrid"/>
        <w:tblpPr w:leftFromText="180" w:rightFromText="180" w:vertAnchor="text" w:horzAnchor="margin" w:tblpY="3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7592"/>
      </w:tblGrid>
      <w:tr w:rsidR="004F725E" w:rsidRPr="004F725E" w14:paraId="3ABDFB1E" w14:textId="77777777" w:rsidTr="00614C8C">
        <w:trPr>
          <w:trHeight w:val="85"/>
        </w:trPr>
        <w:tc>
          <w:tcPr>
            <w:tcW w:w="2087" w:type="dxa"/>
            <w:tcBorders>
              <w:bottom w:val="single" w:sz="4" w:space="0" w:color="auto"/>
            </w:tcBorders>
          </w:tcPr>
          <w:p w14:paraId="495690B0" w14:textId="77777777" w:rsidR="004F725E" w:rsidRPr="004F725E" w:rsidRDefault="004F725E" w:rsidP="004F725E">
            <w:pPr>
              <w:spacing w:line="288" w:lineRule="auto"/>
              <w:rPr>
                <w:rFonts w:ascii="Open Sans" w:eastAsia="Calibri" w:hAnsi="Open Sans" w:cs="Open Sans"/>
                <w:sz w:val="8"/>
              </w:rPr>
            </w:pPr>
          </w:p>
        </w:tc>
        <w:tc>
          <w:tcPr>
            <w:tcW w:w="7741" w:type="dxa"/>
          </w:tcPr>
          <w:p w14:paraId="18F99B0D" w14:textId="77777777" w:rsidR="004F725E" w:rsidRPr="004F725E" w:rsidRDefault="004F725E" w:rsidP="004F725E">
            <w:pPr>
              <w:spacing w:line="288" w:lineRule="auto"/>
              <w:rPr>
                <w:rFonts w:ascii="Open Sans" w:eastAsia="Calibri" w:hAnsi="Open Sans" w:cs="Open Sans"/>
                <w:sz w:val="8"/>
              </w:rPr>
            </w:pPr>
          </w:p>
        </w:tc>
      </w:tr>
      <w:tr w:rsidR="004F725E" w:rsidRPr="004F725E" w14:paraId="2AC86648" w14:textId="77777777" w:rsidTr="00614C8C">
        <w:trPr>
          <w:trHeight w:val="612"/>
        </w:trPr>
        <w:tc>
          <w:tcPr>
            <w:tcW w:w="9828" w:type="dxa"/>
            <w:gridSpan w:val="2"/>
          </w:tcPr>
          <w:p w14:paraId="25578CFC" w14:textId="02C231BB" w:rsidR="004F725E" w:rsidRPr="004F725E" w:rsidRDefault="004F725E" w:rsidP="004F725E">
            <w:pPr>
              <w:jc w:val="both"/>
              <w:rPr>
                <w:rFonts w:ascii="Open Sans" w:eastAsia="Calibri" w:hAnsi="Open Sans" w:cs="Open Sans"/>
              </w:rPr>
            </w:pPr>
            <w:r w:rsidRPr="004F725E">
              <w:rPr>
                <w:rFonts w:ascii="Open Sans" w:eastAsia="Calibri" w:hAnsi="Open Sans" w:cs="Open Sans"/>
                <w:b/>
                <w:color w:val="33006F"/>
                <w:sz w:val="20"/>
              </w:rPr>
              <w:t xml:space="preserve">Acknowledgements: </w:t>
            </w:r>
            <w:r w:rsidRPr="004F725E">
              <w:rPr>
                <w:rFonts w:ascii="Open Sans" w:eastAsia="Calibri" w:hAnsi="Open Sans" w:cs="Open Sans"/>
                <w:sz w:val="20"/>
              </w:rPr>
              <w:t>This case written by Asher Curtis the Autumn of 2017.</w:t>
            </w:r>
            <w:r w:rsidR="00F574FD">
              <w:rPr>
                <w:rFonts w:ascii="Open Sans" w:eastAsia="Calibri" w:hAnsi="Open Sans" w:cs="Open Sans"/>
                <w:sz w:val="20"/>
              </w:rPr>
              <w:t xml:space="preserve"> Revised September 2020.</w:t>
            </w:r>
          </w:p>
        </w:tc>
      </w:tr>
    </w:tbl>
    <w:p w14:paraId="65089D9D" w14:textId="77777777" w:rsidR="004F725E" w:rsidRPr="004F725E" w:rsidRDefault="004F725E" w:rsidP="004F725E">
      <w:pPr>
        <w:spacing w:after="0" w:line="240" w:lineRule="auto"/>
        <w:rPr>
          <w:rFonts w:ascii="Open Sans" w:eastAsia="Calibri" w:hAnsi="Open Sans" w:cs="Open Sans"/>
        </w:rPr>
      </w:pPr>
    </w:p>
    <w:p w14:paraId="07F685F9" w14:textId="1A2D2D7F" w:rsidR="00B07AD7" w:rsidRPr="004F725E" w:rsidRDefault="00C91E0D">
      <w:pPr>
        <w:rPr>
          <w:rFonts w:ascii="Open Sans" w:hAnsi="Open Sans" w:cs="Open Sans"/>
        </w:rPr>
      </w:pPr>
    </w:p>
    <w:sectPr w:rsidR="00B07AD7" w:rsidRPr="004F725E" w:rsidSect="00512B97">
      <w:headerReference w:type="default" r:id="rId14"/>
      <w:footerReference w:type="default" r:id="rId15"/>
      <w:headerReference w:type="first" r:id="rId16"/>
      <w:footerReference w:type="first" r:id="rId17"/>
      <w:pgSz w:w="12240" w:h="15840" w:code="1"/>
      <w:pgMar w:top="1440" w:right="1440" w:bottom="1440" w:left="1152" w:header="90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BCB64D" w14:textId="77777777" w:rsidR="00C91E0D" w:rsidRDefault="00C91E0D" w:rsidP="004F725E">
      <w:pPr>
        <w:spacing w:after="0" w:line="240" w:lineRule="auto"/>
      </w:pPr>
      <w:r>
        <w:separator/>
      </w:r>
    </w:p>
  </w:endnote>
  <w:endnote w:type="continuationSeparator" w:id="0">
    <w:p w14:paraId="0346EAAE" w14:textId="77777777" w:rsidR="00C91E0D" w:rsidRDefault="00C91E0D" w:rsidP="004F7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0558761"/>
      <w:docPartObj>
        <w:docPartGallery w:val="Page Numbers (Bottom of Page)"/>
        <w:docPartUnique/>
      </w:docPartObj>
    </w:sdtPr>
    <w:sdtEndPr>
      <w:rPr>
        <w:color w:val="33006F"/>
        <w:spacing w:val="60"/>
      </w:rPr>
    </w:sdtEndPr>
    <w:sdtContent>
      <w:p w14:paraId="01BA7024" w14:textId="77777777" w:rsidR="000D0491" w:rsidRDefault="002E5C09" w:rsidP="004F725E">
        <w:pPr>
          <w:pStyle w:val="Footer"/>
          <w:pBdr>
            <w:top w:val="single" w:sz="4" w:space="1" w:color="D9D9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686CBD3D" w14:textId="77777777" w:rsidR="000D0491" w:rsidRDefault="00C91E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0D0491" w:rsidRPr="005951C3" w14:paraId="220E6B16" w14:textId="77777777" w:rsidTr="00E423D7">
      <w:tc>
        <w:tcPr>
          <w:tcW w:w="8298" w:type="dxa"/>
        </w:tcPr>
        <w:p w14:paraId="0A2199AE" w14:textId="77777777" w:rsidR="000D0491" w:rsidRPr="005951C3" w:rsidRDefault="002E5C09"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by Asher Curtis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14:paraId="4611559E" w14:textId="77777777" w:rsidR="000D0491" w:rsidRPr="005951C3" w:rsidRDefault="002E5C09"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0EE32FED" wp14:editId="3CB24C13">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1E2EF8EC" w14:textId="77777777" w:rsidR="000D0491" w:rsidRDefault="00C91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3439AE" w14:textId="77777777" w:rsidR="00C91E0D" w:rsidRDefault="00C91E0D" w:rsidP="004F725E">
      <w:pPr>
        <w:spacing w:after="0" w:line="240" w:lineRule="auto"/>
      </w:pPr>
      <w:r>
        <w:separator/>
      </w:r>
    </w:p>
  </w:footnote>
  <w:footnote w:type="continuationSeparator" w:id="0">
    <w:p w14:paraId="086301D5" w14:textId="77777777" w:rsidR="00C91E0D" w:rsidRDefault="00C91E0D" w:rsidP="004F725E">
      <w:pPr>
        <w:spacing w:after="0" w:line="240" w:lineRule="auto"/>
      </w:pPr>
      <w:r>
        <w:continuationSeparator/>
      </w:r>
    </w:p>
  </w:footnote>
  <w:footnote w:id="1">
    <w:p w14:paraId="32B4A37C" w14:textId="282EED82" w:rsidR="008A73D6" w:rsidRDefault="008A73D6" w:rsidP="008A73D6">
      <w:pPr>
        <w:pStyle w:val="FootnoteText"/>
        <w:jc w:val="both"/>
      </w:pPr>
      <w:r>
        <w:rPr>
          <w:rStyle w:val="FootnoteReference"/>
        </w:rPr>
        <w:footnoteRef/>
      </w:r>
      <w:r>
        <w:t xml:space="preserve"> </w:t>
      </w:r>
      <w:r w:rsidRPr="00412541">
        <w:t>Deadlines differ by firm size. Large accelerated filers (those with market caps of $700 million or more) must file their 10-K within 60 days and their 10-Qs within 40 days of their fiscal period end.  Accelerated filers (those with market caps of at least $75 million) must file their 10-K (10-Qs) within 75 days (40 days) of their fiscal period end.  Finally, non-accelerated filers (those with market caps less than $75 million) must file their 10-K (10-Qs) within 90 days (45 days) of their fiscal period end.</w:t>
      </w:r>
    </w:p>
  </w:footnote>
  <w:footnote w:id="2">
    <w:p w14:paraId="63599D27" w14:textId="77777777" w:rsidR="008A73D6" w:rsidRDefault="008A73D6" w:rsidP="008A73D6">
      <w:pPr>
        <w:pStyle w:val="FootnoteText"/>
        <w:jc w:val="both"/>
      </w:pPr>
      <w:r>
        <w:rPr>
          <w:rStyle w:val="FootnoteReference"/>
        </w:rPr>
        <w:footnoteRef/>
      </w:r>
      <w:r>
        <w:t xml:space="preserve"> Some investors trade after hours, note, however, that the afterhours market is less liquid than the regular trading hours.</w:t>
      </w:r>
    </w:p>
  </w:footnote>
  <w:footnote w:id="3">
    <w:p w14:paraId="5F69221D" w14:textId="77777777" w:rsidR="008A73D6" w:rsidRDefault="008A73D6" w:rsidP="008A73D6">
      <w:pPr>
        <w:pStyle w:val="FootnoteText"/>
        <w:jc w:val="both"/>
      </w:pPr>
      <w:r>
        <w:rPr>
          <w:rStyle w:val="FootnoteReference"/>
        </w:rPr>
        <w:footnoteRef/>
      </w:r>
      <w:r>
        <w:t xml:space="preserve"> Since Regulation Fair Disclosure (Reg-FD) conference calls must be made open to the public, prior to Reg-FD some companies had closed, or private conference calls with selected analysts and investors.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3787D" w14:textId="77777777" w:rsidR="000D0491" w:rsidRDefault="00C91E0D" w:rsidP="006F33FC">
    <w:pPr>
      <w:pStyle w:val="FBLogo"/>
      <w:spacing w:after="120"/>
    </w:pPr>
  </w:p>
  <w:p w14:paraId="32820ED4" w14:textId="77777777" w:rsidR="000D0491" w:rsidRPr="001F60E1" w:rsidRDefault="002E5C09" w:rsidP="001F60E1">
    <w:pPr>
      <w:jc w:val="right"/>
      <w:rPr>
        <w:color w:val="33006F"/>
      </w:rPr>
    </w:pPr>
    <w:r w:rsidRPr="001F60E1">
      <w:rPr>
        <w:color w:val="33006F"/>
      </w:rPr>
      <w:t>Foster School of Business Case</w:t>
    </w:r>
  </w:p>
  <w:p w14:paraId="427FB66E" w14:textId="7A0D2791" w:rsidR="000D0491" w:rsidRDefault="008A73D6" w:rsidP="001F60E1">
    <w:pPr>
      <w:jc w:val="right"/>
      <w:rPr>
        <w:color w:val="33006F"/>
      </w:rPr>
    </w:pPr>
    <w:r>
      <w:rPr>
        <w:color w:val="33006F"/>
      </w:rPr>
      <w:t>Earnings Announcements</w:t>
    </w:r>
  </w:p>
  <w:p w14:paraId="38866484" w14:textId="77777777" w:rsidR="000D0491" w:rsidRPr="001F60E1" w:rsidRDefault="00C91E0D"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6156"/>
    </w:tblGrid>
    <w:tr w:rsidR="000D0491" w14:paraId="0C109FD9" w14:textId="77777777" w:rsidTr="00E423D7">
      <w:trPr>
        <w:trHeight w:val="1174"/>
      </w:trPr>
      <w:tc>
        <w:tcPr>
          <w:tcW w:w="4032" w:type="dxa"/>
        </w:tcPr>
        <w:p w14:paraId="7FB87BE0" w14:textId="77777777" w:rsidR="000D0491" w:rsidRDefault="002E5C09" w:rsidP="00793977">
          <w:pPr>
            <w:pStyle w:val="FBLogo"/>
            <w:spacing w:after="240"/>
            <w:jc w:val="left"/>
          </w:pPr>
          <w:r>
            <w:rPr>
              <w:noProof/>
            </w:rPr>
            <w:drawing>
              <wp:anchor distT="0" distB="0" distL="114300" distR="114300" simplePos="0" relativeHeight="251659264" behindDoc="0" locked="0" layoutInCell="1" allowOverlap="1" wp14:anchorId="057FD480" wp14:editId="1407EB86">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56" w:type="dxa"/>
        </w:tcPr>
        <w:p w14:paraId="6375400D" w14:textId="77777777" w:rsidR="000D0491" w:rsidRDefault="00C91E0D" w:rsidP="00793977">
          <w:pPr>
            <w:pStyle w:val="FBLogo"/>
            <w:spacing w:after="240"/>
            <w:ind w:firstLine="18"/>
            <w:jc w:val="left"/>
          </w:pPr>
        </w:p>
        <w:p w14:paraId="24272058" w14:textId="77777777" w:rsidR="000D0491" w:rsidRPr="00793977" w:rsidRDefault="00C91E0D" w:rsidP="00793977">
          <w:pPr>
            <w:jc w:val="right"/>
          </w:pPr>
        </w:p>
      </w:tc>
    </w:tr>
  </w:tbl>
  <w:p w14:paraId="74D0ED12" w14:textId="77777777" w:rsidR="000D0491" w:rsidRDefault="00C91E0D"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counting Review&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ftptpepwad5dyevw0opzrzoavweespsra2r&quot;&gt;My EndNote Library Copy&lt;record-ids&gt;&lt;item&gt;160&lt;/item&gt;&lt;item&gt;307&lt;/item&gt;&lt;item&gt;375&lt;/item&gt;&lt;item&gt;377&lt;/item&gt;&lt;/record-ids&gt;&lt;/item&gt;&lt;/Libraries&gt;"/>
  </w:docVars>
  <w:rsids>
    <w:rsidRoot w:val="004F725E"/>
    <w:rsid w:val="000B09DF"/>
    <w:rsid w:val="00156466"/>
    <w:rsid w:val="001F3688"/>
    <w:rsid w:val="00247D4B"/>
    <w:rsid w:val="002E5C09"/>
    <w:rsid w:val="00420637"/>
    <w:rsid w:val="00433664"/>
    <w:rsid w:val="004F725E"/>
    <w:rsid w:val="0051761D"/>
    <w:rsid w:val="005954BD"/>
    <w:rsid w:val="005C3429"/>
    <w:rsid w:val="007D4301"/>
    <w:rsid w:val="0085144B"/>
    <w:rsid w:val="008A73D6"/>
    <w:rsid w:val="00AF73B2"/>
    <w:rsid w:val="00B23FED"/>
    <w:rsid w:val="00BF05DC"/>
    <w:rsid w:val="00C91E0D"/>
    <w:rsid w:val="00D4439E"/>
    <w:rsid w:val="00E47FD2"/>
    <w:rsid w:val="00F574FD"/>
    <w:rsid w:val="00FA3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7010C4"/>
  <w15:chartTrackingRefBased/>
  <w15:docId w15:val="{629F6F6F-AE80-4CA4-BF41-5AFFFB7F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4F725E"/>
    <w:pPr>
      <w:spacing w:after="1613" w:line="288" w:lineRule="auto"/>
      <w:ind w:right="-720"/>
      <w:contextualSpacing/>
      <w:jc w:val="right"/>
    </w:pPr>
  </w:style>
  <w:style w:type="paragraph" w:styleId="Footer">
    <w:name w:val="footer"/>
    <w:basedOn w:val="Normal"/>
    <w:link w:val="FooterChar"/>
    <w:uiPriority w:val="99"/>
    <w:unhideWhenUsed/>
    <w:rsid w:val="004F7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25E"/>
  </w:style>
  <w:style w:type="table" w:styleId="TableGrid">
    <w:name w:val="Table Grid"/>
    <w:basedOn w:val="TableNormal"/>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7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25E"/>
  </w:style>
  <w:style w:type="paragraph" w:styleId="TOC1">
    <w:name w:val="toc 1"/>
    <w:basedOn w:val="Normal"/>
    <w:next w:val="Normal"/>
    <w:autoRedefine/>
    <w:uiPriority w:val="39"/>
    <w:unhideWhenUsed/>
    <w:rsid w:val="000B09DF"/>
    <w:pPr>
      <w:spacing w:after="100"/>
    </w:pPr>
  </w:style>
  <w:style w:type="character" w:styleId="Hyperlink">
    <w:name w:val="Hyperlink"/>
    <w:basedOn w:val="DefaultParagraphFont"/>
    <w:uiPriority w:val="99"/>
    <w:unhideWhenUsed/>
    <w:rsid w:val="000B09DF"/>
    <w:rPr>
      <w:color w:val="0563C1" w:themeColor="hyperlink"/>
      <w:u w:val="single"/>
    </w:rPr>
  </w:style>
  <w:style w:type="paragraph" w:styleId="BalloonText">
    <w:name w:val="Balloon Text"/>
    <w:basedOn w:val="Normal"/>
    <w:link w:val="BalloonTextChar"/>
    <w:uiPriority w:val="99"/>
    <w:semiHidden/>
    <w:unhideWhenUsed/>
    <w:rsid w:val="008A73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73D6"/>
    <w:rPr>
      <w:rFonts w:ascii="Segoe UI" w:hAnsi="Segoe UI" w:cs="Segoe UI"/>
      <w:sz w:val="18"/>
      <w:szCs w:val="18"/>
    </w:rPr>
  </w:style>
  <w:style w:type="character" w:styleId="FootnoteReference">
    <w:name w:val="footnote reference"/>
    <w:basedOn w:val="DefaultParagraphFont"/>
    <w:uiPriority w:val="99"/>
    <w:semiHidden/>
    <w:unhideWhenUsed/>
    <w:rsid w:val="008A73D6"/>
    <w:rPr>
      <w:vertAlign w:val="superscript"/>
    </w:rPr>
  </w:style>
  <w:style w:type="paragraph" w:styleId="FootnoteText">
    <w:name w:val="footnote text"/>
    <w:basedOn w:val="Normal"/>
    <w:link w:val="FootnoteTextChar"/>
    <w:uiPriority w:val="99"/>
    <w:unhideWhenUsed/>
    <w:rsid w:val="008A73D6"/>
    <w:pPr>
      <w:spacing w:after="0" w:line="240" w:lineRule="auto"/>
    </w:pPr>
    <w:rPr>
      <w:sz w:val="20"/>
      <w:szCs w:val="20"/>
    </w:rPr>
  </w:style>
  <w:style w:type="character" w:customStyle="1" w:styleId="FootnoteTextChar">
    <w:name w:val="Footnote Text Char"/>
    <w:basedOn w:val="DefaultParagraphFont"/>
    <w:link w:val="FootnoteText"/>
    <w:uiPriority w:val="99"/>
    <w:rsid w:val="008A73D6"/>
    <w:rPr>
      <w:sz w:val="20"/>
      <w:szCs w:val="20"/>
    </w:rPr>
  </w:style>
  <w:style w:type="paragraph" w:customStyle="1" w:styleId="EndNoteBibliographyTitle">
    <w:name w:val="EndNote Bibliography Title"/>
    <w:basedOn w:val="Normal"/>
    <w:link w:val="EndNoteBibliographyTitleChar"/>
    <w:rsid w:val="00E47FD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47FD2"/>
    <w:rPr>
      <w:rFonts w:ascii="Calibri" w:hAnsi="Calibri" w:cs="Calibri"/>
      <w:noProof/>
    </w:rPr>
  </w:style>
  <w:style w:type="paragraph" w:customStyle="1" w:styleId="EndNoteBibliography">
    <w:name w:val="EndNote Bibliography"/>
    <w:basedOn w:val="Normal"/>
    <w:link w:val="EndNoteBibliographyChar"/>
    <w:rsid w:val="00E47FD2"/>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E47FD2"/>
    <w:rPr>
      <w:rFonts w:ascii="Calibri"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04735CF7814E419237D188CCA99D12" ma:contentTypeVersion="13" ma:contentTypeDescription="Create a new document." ma:contentTypeScope="" ma:versionID="2d7b19871882bc8398f25739d12e0e0d">
  <xsd:schema xmlns:xsd="http://www.w3.org/2001/XMLSchema" xmlns:xs="http://www.w3.org/2001/XMLSchema" xmlns:p="http://schemas.microsoft.com/office/2006/metadata/properties" xmlns:ns3="5c288162-3a0f-49b6-8fe2-59156172891e" xmlns:ns4="f8a977ae-6c68-4349-a9b4-32a805694cd6" targetNamespace="http://schemas.microsoft.com/office/2006/metadata/properties" ma:root="true" ma:fieldsID="926ecdaf9993fb70d2558f4d610f965c" ns3:_="" ns4:_="">
    <xsd:import namespace="5c288162-3a0f-49b6-8fe2-59156172891e"/>
    <xsd:import namespace="f8a977ae-6c68-4349-a9b4-32a805694cd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88162-3a0f-49b6-8fe2-5915617289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a977ae-6c68-4349-a9b4-32a805694c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7E4C41-9AF4-4AD3-A36C-6CA19192BF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D169CB-17C8-447E-9BE0-FDF01678B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88162-3a0f-49b6-8fe2-59156172891e"/>
    <ds:schemaRef ds:uri="f8a977ae-6c68-4349-a9b4-32a805694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2DD196-389E-4154-87F0-FF83E90707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2607</Words>
  <Characters>13116</Characters>
  <Application>Microsoft Office Word</Application>
  <DocSecurity>0</DocSecurity>
  <Lines>215</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Curtis</dc:creator>
  <cp:keywords/>
  <dc:description/>
  <cp:lastModifiedBy>Asher Curtis</cp:lastModifiedBy>
  <cp:revision>6</cp:revision>
  <dcterms:created xsi:type="dcterms:W3CDTF">2020-09-27T17:13:00Z</dcterms:created>
  <dcterms:modified xsi:type="dcterms:W3CDTF">2020-09-27T17:56:00Z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0x0101007704735CF7814E419237D188CCA99D12</vt:lpwstr>
  </property>
</Properties>
</file>