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7D907" w14:textId="1DC192C1" w:rsidR="004F725E" w:rsidRPr="004F725E" w:rsidRDefault="00980B8E" w:rsidP="004F725E">
      <w:pPr>
        <w:spacing w:before="240" w:after="240" w:line="240" w:lineRule="auto"/>
        <w:jc w:val="center"/>
        <w:rPr>
          <w:rFonts w:ascii="Open Sans" w:eastAsia="Calibri" w:hAnsi="Open Sans" w:cs="Open Sans"/>
          <w:b/>
          <w:color w:val="33006F"/>
          <w:sz w:val="40"/>
          <w:szCs w:val="32"/>
        </w:rPr>
      </w:pPr>
      <w:r w:rsidRPr="00980B8E">
        <w:rPr>
          <w:rFonts w:ascii="Open Sans" w:eastAsia="Calibri" w:hAnsi="Open Sans" w:cs="Open Sans"/>
          <w:b/>
          <w:color w:val="33006F"/>
          <w:sz w:val="40"/>
          <w:szCs w:val="32"/>
        </w:rPr>
        <w:t xml:space="preserve">Assessing Operational Risk in </w:t>
      </w:r>
      <w:r>
        <w:rPr>
          <w:rFonts w:ascii="Open Sans" w:eastAsia="Calibri" w:hAnsi="Open Sans" w:cs="Open Sans"/>
          <w:b/>
          <w:color w:val="33006F"/>
          <w:sz w:val="40"/>
          <w:szCs w:val="32"/>
        </w:rPr>
        <w:t xml:space="preserve">the </w:t>
      </w:r>
      <w:r w:rsidRPr="00980B8E">
        <w:rPr>
          <w:rFonts w:ascii="Open Sans" w:eastAsia="Calibri" w:hAnsi="Open Sans" w:cs="Open Sans"/>
          <w:b/>
          <w:color w:val="33006F"/>
          <w:sz w:val="40"/>
          <w:szCs w:val="32"/>
        </w:rPr>
        <w:t xml:space="preserve">COVID-19 </w:t>
      </w:r>
      <w:r>
        <w:rPr>
          <w:rFonts w:ascii="Open Sans" w:eastAsia="Calibri" w:hAnsi="Open Sans" w:cs="Open Sans"/>
          <w:b/>
          <w:color w:val="33006F"/>
          <w:sz w:val="40"/>
          <w:szCs w:val="32"/>
        </w:rPr>
        <w:t>W</w:t>
      </w:r>
      <w:r w:rsidRPr="00980B8E">
        <w:rPr>
          <w:rFonts w:ascii="Open Sans" w:eastAsia="Calibri" w:hAnsi="Open Sans" w:cs="Open Sans"/>
          <w:b/>
          <w:color w:val="33006F"/>
          <w:sz w:val="40"/>
          <w:szCs w:val="32"/>
        </w:rPr>
        <w:t>orld</w:t>
      </w:r>
    </w:p>
    <w:p w14:paraId="234D9F10" w14:textId="77777777" w:rsidR="004F725E" w:rsidRPr="004F725E" w:rsidRDefault="004F725E" w:rsidP="004F725E">
      <w:pPr>
        <w:spacing w:before="240" w:after="240" w:line="240" w:lineRule="auto"/>
        <w:jc w:val="center"/>
        <w:rPr>
          <w:rFonts w:ascii="Open Sans" w:eastAsia="Calibri" w:hAnsi="Open Sans" w:cs="Open Sans"/>
          <w:b/>
          <w:color w:val="33006F"/>
          <w:sz w:val="40"/>
          <w:szCs w:val="3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938"/>
      </w:tblGrid>
      <w:tr w:rsidR="004F725E" w:rsidRPr="004F725E" w14:paraId="6C2E07F1" w14:textId="77777777" w:rsidTr="004F725E">
        <w:tc>
          <w:tcPr>
            <w:tcW w:w="2250" w:type="dxa"/>
          </w:tcPr>
          <w:p w14:paraId="73DBE128" w14:textId="56929BA7"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Mindset Keywords:</w:t>
            </w:r>
          </w:p>
        </w:tc>
        <w:tc>
          <w:tcPr>
            <w:tcW w:w="7938" w:type="dxa"/>
          </w:tcPr>
          <w:p w14:paraId="5559AC26" w14:textId="792104C3" w:rsidR="004F725E" w:rsidRPr="004F725E" w:rsidRDefault="003667F7" w:rsidP="004F725E">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Interpreting forecasts, model inputs, data veracity</w:t>
            </w:r>
            <w:r w:rsidR="004F725E" w:rsidRPr="004F725E">
              <w:rPr>
                <w:rFonts w:ascii="Open Sans" w:eastAsia="Calibri" w:hAnsi="Open Sans" w:cs="Open Sans"/>
                <w:b/>
                <w:color w:val="000000"/>
                <w:sz w:val="24"/>
                <w:szCs w:val="24"/>
              </w:rPr>
              <w:t>.</w:t>
            </w:r>
          </w:p>
        </w:tc>
      </w:tr>
      <w:tr w:rsidR="004F725E" w:rsidRPr="004F725E" w14:paraId="7F424A5F" w14:textId="77777777" w:rsidTr="004F725E">
        <w:tc>
          <w:tcPr>
            <w:tcW w:w="2250" w:type="dxa"/>
          </w:tcPr>
          <w:p w14:paraId="3CF39619" w14:textId="00D71D38"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Skillsets Keywords</w:t>
            </w:r>
            <w:r w:rsidRPr="004F725E">
              <w:rPr>
                <w:rFonts w:ascii="Open Sans" w:eastAsia="Calibri" w:hAnsi="Open Sans" w:cs="Open Sans"/>
                <w:b/>
                <w:color w:val="33006F"/>
                <w:sz w:val="24"/>
                <w:szCs w:val="24"/>
              </w:rPr>
              <w:t>:</w:t>
            </w:r>
          </w:p>
        </w:tc>
        <w:tc>
          <w:tcPr>
            <w:tcW w:w="7938" w:type="dxa"/>
          </w:tcPr>
          <w:p w14:paraId="67D20623" w14:textId="1F1E500E" w:rsidR="004F725E" w:rsidRPr="004F725E" w:rsidRDefault="003667F7" w:rsidP="004F725E">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Standard deviation</w:t>
            </w:r>
            <w:r w:rsidR="002A585D">
              <w:rPr>
                <w:rFonts w:ascii="Open Sans" w:eastAsia="Calibri" w:hAnsi="Open Sans" w:cs="Open Sans"/>
                <w:b/>
                <w:color w:val="000000"/>
                <w:sz w:val="24"/>
                <w:szCs w:val="24"/>
              </w:rPr>
              <w:t>, Alteryx</w:t>
            </w:r>
            <w:r w:rsidR="004F725E" w:rsidRPr="004F725E">
              <w:rPr>
                <w:rFonts w:ascii="Open Sans" w:eastAsia="Calibri" w:hAnsi="Open Sans" w:cs="Open Sans"/>
                <w:b/>
                <w:color w:val="000000"/>
                <w:sz w:val="24"/>
                <w:szCs w:val="24"/>
              </w:rPr>
              <w:t>.</w:t>
            </w:r>
          </w:p>
        </w:tc>
      </w:tr>
    </w:tbl>
    <w:sdt>
      <w:sdtPr>
        <w:rPr>
          <w:rFonts w:ascii="Open Sans" w:eastAsia="Times New Roman" w:hAnsi="Open Sans" w:cs="Open Sans"/>
          <w:color w:val="33006F"/>
          <w:lang w:eastAsia="ja-JP"/>
        </w:rPr>
        <w:id w:val="-360892776"/>
        <w:docPartObj>
          <w:docPartGallery w:val="Table of Contents"/>
          <w:docPartUnique/>
        </w:docPartObj>
      </w:sdtPr>
      <w:sdtEndPr>
        <w:rPr>
          <w:noProof/>
        </w:rPr>
      </w:sdtEndPr>
      <w:sdtContent>
        <w:p w14:paraId="2D2C20AA" w14:textId="77777777" w:rsidR="004F725E" w:rsidRPr="004F725E" w:rsidRDefault="004F725E" w:rsidP="004F725E">
          <w:pPr>
            <w:keepNext/>
            <w:keepLines/>
            <w:spacing w:before="480" w:after="0" w:line="276" w:lineRule="auto"/>
            <w:rPr>
              <w:rFonts w:ascii="Open Sans" w:eastAsia="Times New Roman" w:hAnsi="Open Sans" w:cs="Open Sans"/>
              <w:b/>
              <w:bCs/>
              <w:color w:val="33006F"/>
              <w:sz w:val="28"/>
              <w:szCs w:val="28"/>
              <w:lang w:eastAsia="ja-JP"/>
            </w:rPr>
          </w:pPr>
          <w:r w:rsidRPr="004F725E">
            <w:rPr>
              <w:rFonts w:ascii="Open Sans" w:eastAsia="Times New Roman" w:hAnsi="Open Sans" w:cs="Open Sans"/>
              <w:b/>
              <w:bCs/>
              <w:color w:val="33006F"/>
              <w:sz w:val="28"/>
              <w:szCs w:val="28"/>
              <w:lang w:eastAsia="ja-JP"/>
            </w:rPr>
            <w:t>Contents</w:t>
          </w:r>
        </w:p>
        <w:p w14:paraId="370CF8BC" w14:textId="1B971FA4" w:rsidR="00202B65" w:rsidRDefault="004F725E">
          <w:pPr>
            <w:pStyle w:val="TOC1"/>
            <w:tabs>
              <w:tab w:val="right" w:leader="dot" w:pos="9638"/>
            </w:tabs>
            <w:rPr>
              <w:rFonts w:eastAsiaTheme="minorEastAsia"/>
              <w:noProof/>
            </w:rPr>
          </w:pPr>
          <w:r w:rsidRPr="004F725E">
            <w:rPr>
              <w:rFonts w:ascii="Open Sans" w:eastAsia="Times New Roman" w:hAnsi="Open Sans" w:cs="Open Sans"/>
              <w:color w:val="33006F"/>
              <w:lang w:eastAsia="ja-JP"/>
            </w:rPr>
            <w:fldChar w:fldCharType="begin"/>
          </w:r>
          <w:r w:rsidRPr="004F725E">
            <w:rPr>
              <w:rFonts w:ascii="Open Sans" w:eastAsia="Times New Roman" w:hAnsi="Open Sans" w:cs="Open Sans"/>
              <w:color w:val="33006F"/>
              <w:lang w:eastAsia="ja-JP"/>
            </w:rPr>
            <w:instrText xml:space="preserve"> TOC \o "1-3" \h \z \u </w:instrText>
          </w:r>
          <w:r w:rsidRPr="004F725E">
            <w:rPr>
              <w:rFonts w:ascii="Open Sans" w:eastAsia="Times New Roman" w:hAnsi="Open Sans" w:cs="Open Sans"/>
              <w:color w:val="33006F"/>
              <w:lang w:eastAsia="ja-JP"/>
            </w:rPr>
            <w:fldChar w:fldCharType="separate"/>
          </w:r>
          <w:hyperlink w:anchor="_Toc52021918" w:history="1">
            <w:r w:rsidR="00202B65" w:rsidRPr="00CB0601">
              <w:rPr>
                <w:rStyle w:val="Hyperlink"/>
                <w:rFonts w:ascii="Open Sans" w:eastAsia="Times New Roman" w:hAnsi="Open Sans" w:cs="Open Sans"/>
                <w:b/>
                <w:bCs/>
                <w:smallCaps/>
                <w:noProof/>
              </w:rPr>
              <w:t>Case Brief</w:t>
            </w:r>
            <w:r w:rsidR="00202B65">
              <w:rPr>
                <w:noProof/>
                <w:webHidden/>
              </w:rPr>
              <w:tab/>
            </w:r>
            <w:r w:rsidR="00202B65">
              <w:rPr>
                <w:noProof/>
                <w:webHidden/>
              </w:rPr>
              <w:fldChar w:fldCharType="begin"/>
            </w:r>
            <w:r w:rsidR="00202B65">
              <w:rPr>
                <w:noProof/>
                <w:webHidden/>
              </w:rPr>
              <w:instrText xml:space="preserve"> PAGEREF _Toc52021918 \h </w:instrText>
            </w:r>
            <w:r w:rsidR="00202B65">
              <w:rPr>
                <w:noProof/>
                <w:webHidden/>
              </w:rPr>
            </w:r>
            <w:r w:rsidR="00202B65">
              <w:rPr>
                <w:noProof/>
                <w:webHidden/>
              </w:rPr>
              <w:fldChar w:fldCharType="separate"/>
            </w:r>
            <w:r w:rsidR="00202B65">
              <w:rPr>
                <w:noProof/>
                <w:webHidden/>
              </w:rPr>
              <w:t>2</w:t>
            </w:r>
            <w:r w:rsidR="00202B65">
              <w:rPr>
                <w:noProof/>
                <w:webHidden/>
              </w:rPr>
              <w:fldChar w:fldCharType="end"/>
            </w:r>
          </w:hyperlink>
        </w:p>
        <w:p w14:paraId="07AF0BEF" w14:textId="5DD13D6C" w:rsidR="00202B65" w:rsidRDefault="00202B65">
          <w:pPr>
            <w:pStyle w:val="TOC1"/>
            <w:tabs>
              <w:tab w:val="right" w:leader="dot" w:pos="9638"/>
            </w:tabs>
            <w:rPr>
              <w:rFonts w:eastAsiaTheme="minorEastAsia"/>
              <w:noProof/>
            </w:rPr>
          </w:pPr>
          <w:hyperlink w:anchor="_Toc52021919" w:history="1">
            <w:r w:rsidRPr="00CB0601">
              <w:rPr>
                <w:rStyle w:val="Hyperlink"/>
                <w:rFonts w:ascii="Open Sans" w:eastAsia="Times New Roman" w:hAnsi="Open Sans" w:cs="Open Sans"/>
                <w:b/>
                <w:bCs/>
                <w:smallCaps/>
                <w:noProof/>
              </w:rPr>
              <w:t>Background</w:t>
            </w:r>
            <w:r>
              <w:rPr>
                <w:noProof/>
                <w:webHidden/>
              </w:rPr>
              <w:tab/>
            </w:r>
            <w:r>
              <w:rPr>
                <w:noProof/>
                <w:webHidden/>
              </w:rPr>
              <w:fldChar w:fldCharType="begin"/>
            </w:r>
            <w:r>
              <w:rPr>
                <w:noProof/>
                <w:webHidden/>
              </w:rPr>
              <w:instrText xml:space="preserve"> PAGEREF _Toc52021919 \h </w:instrText>
            </w:r>
            <w:r>
              <w:rPr>
                <w:noProof/>
                <w:webHidden/>
              </w:rPr>
            </w:r>
            <w:r>
              <w:rPr>
                <w:noProof/>
                <w:webHidden/>
              </w:rPr>
              <w:fldChar w:fldCharType="separate"/>
            </w:r>
            <w:r>
              <w:rPr>
                <w:noProof/>
                <w:webHidden/>
              </w:rPr>
              <w:t>3</w:t>
            </w:r>
            <w:r>
              <w:rPr>
                <w:noProof/>
                <w:webHidden/>
              </w:rPr>
              <w:fldChar w:fldCharType="end"/>
            </w:r>
          </w:hyperlink>
        </w:p>
        <w:p w14:paraId="616975D0" w14:textId="18D21861" w:rsidR="00202B65" w:rsidRDefault="00202B65">
          <w:pPr>
            <w:pStyle w:val="TOC1"/>
            <w:tabs>
              <w:tab w:val="right" w:leader="dot" w:pos="9638"/>
            </w:tabs>
            <w:rPr>
              <w:rFonts w:eastAsiaTheme="minorEastAsia"/>
              <w:noProof/>
            </w:rPr>
          </w:pPr>
          <w:hyperlink w:anchor="_Toc52021920" w:history="1">
            <w:r w:rsidRPr="00CB0601">
              <w:rPr>
                <w:rStyle w:val="Hyperlink"/>
                <w:rFonts w:ascii="Open Sans" w:eastAsia="Times New Roman" w:hAnsi="Open Sans" w:cs="Open Sans"/>
                <w:b/>
                <w:bCs/>
                <w:smallCaps/>
                <w:noProof/>
              </w:rPr>
              <w:t>Using Analytics</w:t>
            </w:r>
            <w:r>
              <w:rPr>
                <w:noProof/>
                <w:webHidden/>
              </w:rPr>
              <w:tab/>
            </w:r>
            <w:r>
              <w:rPr>
                <w:noProof/>
                <w:webHidden/>
              </w:rPr>
              <w:fldChar w:fldCharType="begin"/>
            </w:r>
            <w:r>
              <w:rPr>
                <w:noProof/>
                <w:webHidden/>
              </w:rPr>
              <w:instrText xml:space="preserve"> PAGEREF _Toc52021920 \h </w:instrText>
            </w:r>
            <w:r>
              <w:rPr>
                <w:noProof/>
                <w:webHidden/>
              </w:rPr>
            </w:r>
            <w:r>
              <w:rPr>
                <w:noProof/>
                <w:webHidden/>
              </w:rPr>
              <w:fldChar w:fldCharType="separate"/>
            </w:r>
            <w:r>
              <w:rPr>
                <w:noProof/>
                <w:webHidden/>
              </w:rPr>
              <w:t>4</w:t>
            </w:r>
            <w:r>
              <w:rPr>
                <w:noProof/>
                <w:webHidden/>
              </w:rPr>
              <w:fldChar w:fldCharType="end"/>
            </w:r>
          </w:hyperlink>
        </w:p>
        <w:p w14:paraId="25D989ED" w14:textId="58611662" w:rsidR="00202B65" w:rsidRDefault="00202B65">
          <w:pPr>
            <w:pStyle w:val="TOC1"/>
            <w:tabs>
              <w:tab w:val="right" w:leader="dot" w:pos="9638"/>
            </w:tabs>
            <w:rPr>
              <w:rFonts w:eastAsiaTheme="minorEastAsia"/>
              <w:noProof/>
            </w:rPr>
          </w:pPr>
          <w:hyperlink w:anchor="_Toc52021921" w:history="1">
            <w:r w:rsidRPr="00CB0601">
              <w:rPr>
                <w:rStyle w:val="Hyperlink"/>
                <w:rFonts w:ascii="Open Sans" w:eastAsia="Times New Roman" w:hAnsi="Open Sans" w:cs="Open Sans"/>
                <w:b/>
                <w:bCs/>
                <w:smallCaps/>
                <w:noProof/>
              </w:rPr>
              <w:t>Data and Additional Resources</w:t>
            </w:r>
            <w:r>
              <w:rPr>
                <w:noProof/>
                <w:webHidden/>
              </w:rPr>
              <w:tab/>
            </w:r>
            <w:r>
              <w:rPr>
                <w:noProof/>
                <w:webHidden/>
              </w:rPr>
              <w:fldChar w:fldCharType="begin"/>
            </w:r>
            <w:r>
              <w:rPr>
                <w:noProof/>
                <w:webHidden/>
              </w:rPr>
              <w:instrText xml:space="preserve"> PAGEREF _Toc52021921 \h </w:instrText>
            </w:r>
            <w:r>
              <w:rPr>
                <w:noProof/>
                <w:webHidden/>
              </w:rPr>
            </w:r>
            <w:r>
              <w:rPr>
                <w:noProof/>
                <w:webHidden/>
              </w:rPr>
              <w:fldChar w:fldCharType="separate"/>
            </w:r>
            <w:r>
              <w:rPr>
                <w:noProof/>
                <w:webHidden/>
              </w:rPr>
              <w:t>5</w:t>
            </w:r>
            <w:r>
              <w:rPr>
                <w:noProof/>
                <w:webHidden/>
              </w:rPr>
              <w:fldChar w:fldCharType="end"/>
            </w:r>
          </w:hyperlink>
        </w:p>
        <w:p w14:paraId="2BD28142" w14:textId="258D0903" w:rsidR="004F725E" w:rsidRPr="004F725E" w:rsidRDefault="004F725E" w:rsidP="004F725E">
          <w:pPr>
            <w:tabs>
              <w:tab w:val="right" w:leader="dot" w:pos="7838"/>
            </w:tabs>
            <w:spacing w:after="100" w:line="276" w:lineRule="auto"/>
            <w:rPr>
              <w:rFonts w:ascii="Open Sans" w:eastAsia="Times New Roman" w:hAnsi="Open Sans" w:cs="Open Sans"/>
              <w:color w:val="33006F"/>
              <w:lang w:eastAsia="ja-JP"/>
            </w:rPr>
          </w:pPr>
          <w:r w:rsidRPr="004F725E">
            <w:rPr>
              <w:rFonts w:ascii="Open Sans" w:eastAsia="Times New Roman" w:hAnsi="Open Sans" w:cs="Open Sans"/>
              <w:b/>
              <w:bCs/>
              <w:noProof/>
              <w:color w:val="33006F"/>
              <w:lang w:eastAsia="ja-JP"/>
            </w:rPr>
            <w:fldChar w:fldCharType="end"/>
          </w:r>
        </w:p>
      </w:sdtContent>
    </w:sdt>
    <w:p w14:paraId="45B58623" w14:textId="77777777" w:rsidR="004F725E" w:rsidRPr="004F725E" w:rsidRDefault="004F725E" w:rsidP="004F725E">
      <w:pPr>
        <w:spacing w:after="0" w:line="240" w:lineRule="auto"/>
        <w:rPr>
          <w:rFonts w:ascii="Open Sans" w:eastAsia="Calibri" w:hAnsi="Open Sans" w:cs="Open Sans"/>
        </w:rPr>
      </w:pPr>
      <w:r w:rsidRPr="004F725E">
        <w:rPr>
          <w:rFonts w:ascii="Open Sans" w:eastAsia="Calibri" w:hAnsi="Open Sans" w:cs="Open Sans"/>
        </w:rPr>
        <w:br w:type="page"/>
      </w:r>
    </w:p>
    <w:p w14:paraId="5FE7B94A"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0" w:name="_Toc52021918"/>
      <w:r w:rsidRPr="004F725E">
        <w:rPr>
          <w:rFonts w:ascii="Open Sans" w:eastAsia="Times New Roman" w:hAnsi="Open Sans" w:cs="Open Sans"/>
          <w:b/>
          <w:bCs/>
          <w:smallCaps/>
          <w:color w:val="33006F"/>
          <w:sz w:val="28"/>
          <w:szCs w:val="28"/>
        </w:rPr>
        <w:lastRenderedPageBreak/>
        <w:t>Case Brief</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
        <w:gridCol w:w="7934"/>
        <w:gridCol w:w="893"/>
      </w:tblGrid>
      <w:tr w:rsidR="004F725E" w:rsidRPr="004F725E" w14:paraId="00FBA265" w14:textId="77777777" w:rsidTr="00614C8C">
        <w:tc>
          <w:tcPr>
            <w:tcW w:w="828" w:type="dxa"/>
          </w:tcPr>
          <w:p w14:paraId="57BC3E26" w14:textId="77777777" w:rsidR="004F725E" w:rsidRPr="004F725E" w:rsidRDefault="004F725E" w:rsidP="004F725E">
            <w:pPr>
              <w:spacing w:before="120" w:after="120" w:line="360" w:lineRule="auto"/>
              <w:jc w:val="both"/>
              <w:rPr>
                <w:rFonts w:ascii="Open Sans" w:eastAsia="Calibri" w:hAnsi="Open Sans" w:cs="Open Sans"/>
              </w:rPr>
            </w:pPr>
          </w:p>
        </w:tc>
        <w:tc>
          <w:tcPr>
            <w:tcW w:w="8010" w:type="dxa"/>
          </w:tcPr>
          <w:p w14:paraId="6BA911B7" w14:textId="04769765" w:rsidR="004F725E" w:rsidRPr="004F725E" w:rsidRDefault="00B24E4F" w:rsidP="004F725E">
            <w:pPr>
              <w:spacing w:before="120" w:after="120" w:line="360" w:lineRule="auto"/>
              <w:jc w:val="both"/>
              <w:rPr>
                <w:rFonts w:ascii="Open Sans" w:eastAsia="Calibri" w:hAnsi="Open Sans" w:cs="Open Sans"/>
                <w:i/>
              </w:rPr>
            </w:pPr>
            <w:r>
              <w:rPr>
                <w:rFonts w:ascii="Open Sans" w:eastAsia="Calibri" w:hAnsi="Open Sans" w:cs="Open Sans"/>
                <w:i/>
              </w:rPr>
              <w:t>When is it safe to re-open?</w:t>
            </w:r>
          </w:p>
        </w:tc>
        <w:tc>
          <w:tcPr>
            <w:tcW w:w="900" w:type="dxa"/>
          </w:tcPr>
          <w:p w14:paraId="5019987C" w14:textId="77777777" w:rsidR="004F725E" w:rsidRPr="004F725E" w:rsidRDefault="004F725E" w:rsidP="004F725E">
            <w:pPr>
              <w:spacing w:before="120" w:after="120" w:line="360" w:lineRule="auto"/>
              <w:jc w:val="both"/>
              <w:rPr>
                <w:rFonts w:ascii="Open Sans" w:eastAsia="Calibri" w:hAnsi="Open Sans" w:cs="Open Sans"/>
              </w:rPr>
            </w:pPr>
          </w:p>
        </w:tc>
      </w:tr>
    </w:tbl>
    <w:p w14:paraId="3BF73EA7" w14:textId="7A440684" w:rsidR="00237EF3" w:rsidRPr="00237EF3" w:rsidRDefault="00237EF3" w:rsidP="00237EF3">
      <w:pPr>
        <w:spacing w:before="120" w:after="120" w:line="360" w:lineRule="auto"/>
        <w:jc w:val="both"/>
        <w:rPr>
          <w:rFonts w:ascii="Open Sans" w:eastAsia="Calibri" w:hAnsi="Open Sans" w:cs="Open Sans"/>
        </w:rPr>
      </w:pPr>
      <w:r w:rsidRPr="00237EF3">
        <w:rPr>
          <w:rFonts w:ascii="Open Sans" w:eastAsia="Calibri" w:hAnsi="Open Sans" w:cs="Open Sans"/>
        </w:rPr>
        <w:t xml:space="preserve">Your team has been tasked with forecasting specific date ranges for the possible re-opening stores across the country at normal operations. Your client is the popular Seattle Headquartered multi-national Café styled restaurant </w:t>
      </w:r>
      <w:proofErr w:type="spellStart"/>
      <w:r w:rsidRPr="00237EF3">
        <w:rPr>
          <w:rFonts w:ascii="Open Sans" w:eastAsia="Calibri" w:hAnsi="Open Sans" w:cs="Open Sans"/>
        </w:rPr>
        <w:t>MoonBux</w:t>
      </w:r>
      <w:proofErr w:type="spellEnd"/>
      <w:r w:rsidRPr="00237EF3">
        <w:rPr>
          <w:rFonts w:ascii="Open Sans" w:eastAsia="Calibri" w:hAnsi="Open Sans" w:cs="Open Sans"/>
        </w:rPr>
        <w:t>.</w:t>
      </w:r>
    </w:p>
    <w:p w14:paraId="779AF44D" w14:textId="395AC4F5" w:rsidR="00237EF3" w:rsidRPr="00237EF3" w:rsidRDefault="007F783A" w:rsidP="00237EF3">
      <w:pPr>
        <w:spacing w:before="120" w:after="120" w:line="360" w:lineRule="auto"/>
        <w:jc w:val="both"/>
        <w:rPr>
          <w:rFonts w:ascii="Open Sans" w:eastAsia="Calibri" w:hAnsi="Open Sans" w:cs="Open Sans"/>
        </w:rPr>
      </w:pPr>
      <w:proofErr w:type="spellStart"/>
      <w:r>
        <w:rPr>
          <w:rFonts w:ascii="Open Sans" w:eastAsia="Calibri" w:hAnsi="Open Sans" w:cs="Open Sans"/>
        </w:rPr>
        <w:t>MoonBux</w:t>
      </w:r>
      <w:proofErr w:type="spellEnd"/>
      <w:r w:rsidR="00237EF3" w:rsidRPr="00237EF3">
        <w:rPr>
          <w:rFonts w:ascii="Open Sans" w:eastAsia="Calibri" w:hAnsi="Open Sans" w:cs="Open Sans"/>
        </w:rPr>
        <w:t xml:space="preserve"> stores across the United States have been closed for sit-down business since March 25</w:t>
      </w:r>
      <w:r w:rsidR="00237EF3" w:rsidRPr="00E5781C">
        <w:rPr>
          <w:rFonts w:ascii="Open Sans" w:eastAsia="Calibri" w:hAnsi="Open Sans" w:cs="Open Sans"/>
          <w:vertAlign w:val="superscript"/>
        </w:rPr>
        <w:t>th</w:t>
      </w:r>
      <w:r w:rsidR="00E5781C">
        <w:rPr>
          <w:rFonts w:ascii="Open Sans" w:eastAsia="Calibri" w:hAnsi="Open Sans" w:cs="Open Sans"/>
        </w:rPr>
        <w:t>,</w:t>
      </w:r>
      <w:r w:rsidR="00237EF3" w:rsidRPr="00237EF3">
        <w:rPr>
          <w:rFonts w:ascii="Open Sans" w:eastAsia="Calibri" w:hAnsi="Open Sans" w:cs="Open Sans"/>
        </w:rPr>
        <w:t xml:space="preserve"> 2020. </w:t>
      </w:r>
      <w:r w:rsidR="00C23948">
        <w:rPr>
          <w:rFonts w:ascii="Open Sans" w:eastAsia="Calibri" w:hAnsi="Open Sans" w:cs="Open Sans"/>
        </w:rPr>
        <w:t>Since June, s</w:t>
      </w:r>
      <w:r w:rsidR="00237EF3" w:rsidRPr="00237EF3">
        <w:rPr>
          <w:rFonts w:ascii="Open Sans" w:eastAsia="Calibri" w:hAnsi="Open Sans" w:cs="Open Sans"/>
        </w:rPr>
        <w:t>ome locations allow for drive-thru or take-out orders especially those serving hospitals and first responders</w:t>
      </w:r>
      <w:r w:rsidR="00C23948">
        <w:rPr>
          <w:rFonts w:ascii="Open Sans" w:eastAsia="Calibri" w:hAnsi="Open Sans" w:cs="Open Sans"/>
        </w:rPr>
        <w:t xml:space="preserve">, but approximately 70% of their stores do not allow for indoor seating. </w:t>
      </w:r>
      <w:r w:rsidR="00746543">
        <w:rPr>
          <w:rFonts w:ascii="Open Sans" w:eastAsia="Calibri" w:hAnsi="Open Sans" w:cs="Open Sans"/>
        </w:rPr>
        <w:t xml:space="preserve">Some locations, such as those on college campuses and at airports </w:t>
      </w:r>
      <w:r w:rsidR="00650A28">
        <w:rPr>
          <w:rFonts w:ascii="Open Sans" w:eastAsia="Calibri" w:hAnsi="Open Sans" w:cs="Open Sans"/>
        </w:rPr>
        <w:t>remain</w:t>
      </w:r>
      <w:r w:rsidR="00746543">
        <w:rPr>
          <w:rFonts w:ascii="Open Sans" w:eastAsia="Calibri" w:hAnsi="Open Sans" w:cs="Open Sans"/>
        </w:rPr>
        <w:t xml:space="preserve"> completely closed.</w:t>
      </w:r>
    </w:p>
    <w:p w14:paraId="6F75C67A" w14:textId="4F1ED337" w:rsidR="00237EF3" w:rsidRPr="00237EF3" w:rsidRDefault="00237EF3" w:rsidP="00237EF3">
      <w:pPr>
        <w:spacing w:before="120" w:after="120" w:line="360" w:lineRule="auto"/>
        <w:jc w:val="both"/>
        <w:rPr>
          <w:rFonts w:ascii="Open Sans" w:eastAsia="Calibri" w:hAnsi="Open Sans" w:cs="Open Sans"/>
        </w:rPr>
      </w:pPr>
      <w:r w:rsidRPr="00237EF3">
        <w:rPr>
          <w:rFonts w:ascii="Open Sans" w:eastAsia="Calibri" w:hAnsi="Open Sans" w:cs="Open Sans"/>
        </w:rPr>
        <w:t>The company is asking for advisory services that will help them mak</w:t>
      </w:r>
      <w:r w:rsidR="003F6B78">
        <w:rPr>
          <w:rFonts w:ascii="Open Sans" w:eastAsia="Calibri" w:hAnsi="Open Sans" w:cs="Open Sans"/>
        </w:rPr>
        <w:t>e</w:t>
      </w:r>
      <w:r w:rsidRPr="00237EF3">
        <w:rPr>
          <w:rFonts w:ascii="Open Sans" w:eastAsia="Calibri" w:hAnsi="Open Sans" w:cs="Open Sans"/>
        </w:rPr>
        <w:t xml:space="preserve"> operational decisions including, but not limited to, the potential need to </w:t>
      </w:r>
      <w:r w:rsidR="00383D11">
        <w:rPr>
          <w:rFonts w:ascii="Open Sans" w:eastAsia="Calibri" w:hAnsi="Open Sans" w:cs="Open Sans"/>
        </w:rPr>
        <w:t xml:space="preserve">close certain locations completely, decisions about employees such as </w:t>
      </w:r>
      <w:r w:rsidRPr="00237EF3">
        <w:rPr>
          <w:rFonts w:ascii="Open Sans" w:eastAsia="Calibri" w:hAnsi="Open Sans" w:cs="Open Sans"/>
        </w:rPr>
        <w:t>extend</w:t>
      </w:r>
      <w:r w:rsidR="00383D11">
        <w:rPr>
          <w:rFonts w:ascii="Open Sans" w:eastAsia="Calibri" w:hAnsi="Open Sans" w:cs="Open Sans"/>
        </w:rPr>
        <w:t>ing</w:t>
      </w:r>
      <w:r w:rsidRPr="00237EF3">
        <w:rPr>
          <w:rFonts w:ascii="Open Sans" w:eastAsia="Calibri" w:hAnsi="Open Sans" w:cs="Open Sans"/>
        </w:rPr>
        <w:t xml:space="preserve"> employee benefits versus less desirable alternatives (such as </w:t>
      </w:r>
      <w:r w:rsidR="00CE5A2D">
        <w:rPr>
          <w:rFonts w:ascii="Open Sans" w:eastAsia="Calibri" w:hAnsi="Open Sans" w:cs="Open Sans"/>
        </w:rPr>
        <w:t xml:space="preserve">lay-offs and </w:t>
      </w:r>
      <w:r w:rsidRPr="00237EF3">
        <w:rPr>
          <w:rFonts w:ascii="Open Sans" w:eastAsia="Calibri" w:hAnsi="Open Sans" w:cs="Open Sans"/>
        </w:rPr>
        <w:t>furloughs)</w:t>
      </w:r>
      <w:r w:rsidR="003F0BB4">
        <w:rPr>
          <w:rFonts w:ascii="Open Sans" w:eastAsia="Calibri" w:hAnsi="Open Sans" w:cs="Open Sans"/>
        </w:rPr>
        <w:t>,</w:t>
      </w:r>
      <w:r w:rsidRPr="00237EF3">
        <w:rPr>
          <w:rFonts w:ascii="Open Sans" w:eastAsia="Calibri" w:hAnsi="Open Sans" w:cs="Open Sans"/>
        </w:rPr>
        <w:t xml:space="preserve"> and </w:t>
      </w:r>
      <w:r w:rsidR="00DD3CFA">
        <w:rPr>
          <w:rFonts w:ascii="Open Sans" w:eastAsia="Calibri" w:hAnsi="Open Sans" w:cs="Open Sans"/>
        </w:rPr>
        <w:t xml:space="preserve">in </w:t>
      </w:r>
      <w:r w:rsidR="00CE5A2D">
        <w:rPr>
          <w:rFonts w:ascii="Open Sans" w:eastAsia="Calibri" w:hAnsi="Open Sans" w:cs="Open Sans"/>
        </w:rPr>
        <w:t xml:space="preserve">determining </w:t>
      </w:r>
      <w:r w:rsidR="003F0BB4">
        <w:rPr>
          <w:rFonts w:ascii="Open Sans" w:eastAsia="Calibri" w:hAnsi="Open Sans" w:cs="Open Sans"/>
        </w:rPr>
        <w:t xml:space="preserve">any anticipated </w:t>
      </w:r>
      <w:r w:rsidR="00CE5A2D">
        <w:rPr>
          <w:rFonts w:ascii="Open Sans" w:eastAsia="Calibri" w:hAnsi="Open Sans" w:cs="Open Sans"/>
        </w:rPr>
        <w:t xml:space="preserve">issues </w:t>
      </w:r>
      <w:r w:rsidR="00D31732">
        <w:rPr>
          <w:rFonts w:ascii="Open Sans" w:eastAsia="Calibri" w:hAnsi="Open Sans" w:cs="Open Sans"/>
        </w:rPr>
        <w:t xml:space="preserve">surrounding </w:t>
      </w:r>
      <w:r w:rsidRPr="00237EF3">
        <w:rPr>
          <w:rFonts w:ascii="Open Sans" w:eastAsia="Calibri" w:hAnsi="Open Sans" w:cs="Open Sans"/>
        </w:rPr>
        <w:t xml:space="preserve">supply chain </w:t>
      </w:r>
      <w:r w:rsidR="003F0BB4">
        <w:rPr>
          <w:rFonts w:ascii="Open Sans" w:eastAsia="Calibri" w:hAnsi="Open Sans" w:cs="Open Sans"/>
        </w:rPr>
        <w:t xml:space="preserve">management when </w:t>
      </w:r>
      <w:r w:rsidRPr="00237EF3">
        <w:rPr>
          <w:rFonts w:ascii="Open Sans" w:eastAsia="Calibri" w:hAnsi="Open Sans" w:cs="Open Sans"/>
        </w:rPr>
        <w:t>resuming normal operations.</w:t>
      </w:r>
    </w:p>
    <w:p w14:paraId="5091ABE5" w14:textId="67C78E7D" w:rsidR="004F725E" w:rsidRPr="004F725E" w:rsidRDefault="00237EF3" w:rsidP="00237EF3">
      <w:pPr>
        <w:spacing w:before="120" w:after="120" w:line="360" w:lineRule="auto"/>
        <w:jc w:val="both"/>
        <w:rPr>
          <w:rFonts w:ascii="Open Sans" w:eastAsia="Calibri" w:hAnsi="Open Sans" w:cs="Open Sans"/>
        </w:rPr>
      </w:pPr>
      <w:r w:rsidRPr="00237EF3">
        <w:rPr>
          <w:rFonts w:ascii="Open Sans" w:eastAsia="Calibri" w:hAnsi="Open Sans" w:cs="Open Sans"/>
        </w:rPr>
        <w:t xml:space="preserve">Specifically, </w:t>
      </w:r>
      <w:proofErr w:type="spellStart"/>
      <w:r w:rsidRPr="00237EF3">
        <w:rPr>
          <w:rFonts w:ascii="Open Sans" w:eastAsia="Calibri" w:hAnsi="Open Sans" w:cs="Open Sans"/>
        </w:rPr>
        <w:t>MoonBux</w:t>
      </w:r>
      <w:proofErr w:type="spellEnd"/>
      <w:r w:rsidRPr="00237EF3">
        <w:rPr>
          <w:rFonts w:ascii="Open Sans" w:eastAsia="Calibri" w:hAnsi="Open Sans" w:cs="Open Sans"/>
        </w:rPr>
        <w:t xml:space="preserve"> is asking your team to provide a</w:t>
      </w:r>
      <w:r w:rsidR="005C3219">
        <w:rPr>
          <w:rFonts w:ascii="Open Sans" w:eastAsia="Calibri" w:hAnsi="Open Sans" w:cs="Open Sans"/>
        </w:rPr>
        <w:t xml:space="preserve">n assessment of the timing and risks associated with </w:t>
      </w:r>
      <w:r w:rsidRPr="00237EF3">
        <w:rPr>
          <w:rFonts w:ascii="Open Sans" w:eastAsia="Calibri" w:hAnsi="Open Sans" w:cs="Open Sans"/>
        </w:rPr>
        <w:t>resum</w:t>
      </w:r>
      <w:r w:rsidR="005C3219">
        <w:rPr>
          <w:rFonts w:ascii="Open Sans" w:eastAsia="Calibri" w:hAnsi="Open Sans" w:cs="Open Sans"/>
        </w:rPr>
        <w:t>ing</w:t>
      </w:r>
      <w:r w:rsidRPr="00237EF3">
        <w:rPr>
          <w:rFonts w:ascii="Open Sans" w:eastAsia="Calibri" w:hAnsi="Open Sans" w:cs="Open Sans"/>
        </w:rPr>
        <w:t xml:space="preserve"> normal </w:t>
      </w:r>
      <w:r w:rsidR="00715DB7">
        <w:rPr>
          <w:rFonts w:ascii="Open Sans" w:eastAsia="Calibri" w:hAnsi="Open Sans" w:cs="Open Sans"/>
        </w:rPr>
        <w:t xml:space="preserve">indoor seating </w:t>
      </w:r>
      <w:r w:rsidRPr="00237EF3">
        <w:rPr>
          <w:rFonts w:ascii="Open Sans" w:eastAsia="Calibri" w:hAnsi="Open Sans" w:cs="Open Sans"/>
        </w:rPr>
        <w:t xml:space="preserve">operations in </w:t>
      </w:r>
      <w:r w:rsidR="00970E91">
        <w:rPr>
          <w:rFonts w:ascii="Open Sans" w:eastAsia="Calibri" w:hAnsi="Open Sans" w:cs="Open Sans"/>
        </w:rPr>
        <w:t>some of their</w:t>
      </w:r>
      <w:r w:rsidRPr="00237EF3">
        <w:rPr>
          <w:rFonts w:ascii="Open Sans" w:eastAsia="Calibri" w:hAnsi="Open Sans" w:cs="Open Sans"/>
        </w:rPr>
        <w:t xml:space="preserve"> largest domestic markets</w:t>
      </w:r>
      <w:r w:rsidR="00970E91">
        <w:rPr>
          <w:rFonts w:ascii="Open Sans" w:eastAsia="Calibri" w:hAnsi="Open Sans" w:cs="Open Sans"/>
        </w:rPr>
        <w:t>.</w:t>
      </w:r>
      <w:r w:rsidR="00495AFB">
        <w:rPr>
          <w:rFonts w:ascii="Open Sans" w:eastAsia="Calibri" w:hAnsi="Open Sans" w:cs="Open Sans"/>
        </w:rPr>
        <w:t xml:space="preserve"> They are no</w:t>
      </w:r>
      <w:r w:rsidR="002062D6">
        <w:rPr>
          <w:rFonts w:ascii="Open Sans" w:eastAsia="Calibri" w:hAnsi="Open Sans" w:cs="Open Sans"/>
        </w:rPr>
        <w:t xml:space="preserve">t optimistic about the possibility of resuming normal operations by the end of the calendar year </w:t>
      </w:r>
      <w:r w:rsidR="0083199B">
        <w:rPr>
          <w:rFonts w:ascii="Open Sans" w:eastAsia="Calibri" w:hAnsi="Open Sans" w:cs="Open Sans"/>
        </w:rPr>
        <w:t xml:space="preserve">and would like </w:t>
      </w:r>
      <w:r w:rsidR="00384710">
        <w:rPr>
          <w:rFonts w:ascii="Open Sans" w:eastAsia="Calibri" w:hAnsi="Open Sans" w:cs="Open Sans"/>
        </w:rPr>
        <w:t xml:space="preserve">you to focus on December 2020 </w:t>
      </w:r>
      <w:r w:rsidR="00C82DB6">
        <w:rPr>
          <w:rFonts w:ascii="Open Sans" w:eastAsia="Calibri" w:hAnsi="Open Sans" w:cs="Open Sans"/>
        </w:rPr>
        <w:t>in your assessments and discussion</w:t>
      </w:r>
      <w:r w:rsidR="006508E3">
        <w:rPr>
          <w:rFonts w:ascii="Open Sans" w:eastAsia="Calibri" w:hAnsi="Open Sans" w:cs="Open Sans"/>
        </w:rPr>
        <w:t xml:space="preserve"> of re-opening</w:t>
      </w:r>
      <w:r w:rsidR="0083199B">
        <w:rPr>
          <w:rFonts w:ascii="Open Sans" w:eastAsia="Calibri" w:hAnsi="Open Sans" w:cs="Open Sans"/>
        </w:rPr>
        <w:t xml:space="preserve">. </w:t>
      </w:r>
      <w:r w:rsidRPr="00237EF3">
        <w:rPr>
          <w:rFonts w:ascii="Open Sans" w:eastAsia="Calibri" w:hAnsi="Open Sans" w:cs="Open Sans"/>
        </w:rPr>
        <w:t>They have approached your team as you are well known for your reputation both for verifying data and for presenting data analytics-based solutions to business problems.</w:t>
      </w:r>
      <w:r w:rsidR="001A6ACB">
        <w:rPr>
          <w:rFonts w:ascii="Open Sans" w:eastAsia="Calibri" w:hAnsi="Open Sans" w:cs="Open Sans"/>
        </w:rPr>
        <w:t xml:space="preserve"> This is a real-time case using current data</w:t>
      </w:r>
      <w:r w:rsidR="00FB5643">
        <w:rPr>
          <w:rFonts w:ascii="Open Sans" w:eastAsia="Calibri" w:hAnsi="Open Sans" w:cs="Open Sans"/>
        </w:rPr>
        <w:t>.</w:t>
      </w:r>
      <w:r w:rsidR="00E647D1">
        <w:rPr>
          <w:rFonts w:ascii="Open Sans" w:eastAsia="Calibri" w:hAnsi="Open Sans" w:cs="Open Sans"/>
        </w:rPr>
        <w:t xml:space="preserve"> </w:t>
      </w:r>
      <w:r w:rsidR="003855C5">
        <w:rPr>
          <w:rFonts w:ascii="Open Sans" w:eastAsia="Calibri" w:hAnsi="Open Sans" w:cs="Open Sans"/>
        </w:rPr>
        <w:t>As we are doing this case early</w:t>
      </w:r>
      <w:r w:rsidR="006F5CA9">
        <w:rPr>
          <w:rFonts w:ascii="Open Sans" w:eastAsia="Calibri" w:hAnsi="Open Sans" w:cs="Open Sans"/>
        </w:rPr>
        <w:t xml:space="preserve"> in the quarter</w:t>
      </w:r>
      <w:r w:rsidR="003855C5">
        <w:rPr>
          <w:rFonts w:ascii="Open Sans" w:eastAsia="Calibri" w:hAnsi="Open Sans" w:cs="Open Sans"/>
        </w:rPr>
        <w:t>, t</w:t>
      </w:r>
      <w:r w:rsidR="00E647D1">
        <w:rPr>
          <w:rFonts w:ascii="Open Sans" w:eastAsia="Calibri" w:hAnsi="Open Sans" w:cs="Open Sans"/>
        </w:rPr>
        <w:t>he case asks you to analyze a pre-existing dashboard</w:t>
      </w:r>
      <w:r w:rsidR="003855C5">
        <w:rPr>
          <w:rFonts w:ascii="Open Sans" w:eastAsia="Calibri" w:hAnsi="Open Sans" w:cs="Open Sans"/>
        </w:rPr>
        <w:t xml:space="preserve"> (rather than </w:t>
      </w:r>
      <w:r w:rsidR="009D5499">
        <w:rPr>
          <w:rFonts w:ascii="Open Sans" w:eastAsia="Calibri" w:hAnsi="Open Sans" w:cs="Open Sans"/>
        </w:rPr>
        <w:t>build the dashboard)</w:t>
      </w:r>
      <w:r w:rsidR="00E647D1">
        <w:rPr>
          <w:rFonts w:ascii="Open Sans" w:eastAsia="Calibri" w:hAnsi="Open Sans" w:cs="Open Sans"/>
        </w:rPr>
        <w:t xml:space="preserve">, </w:t>
      </w:r>
      <w:r w:rsidR="001E588D">
        <w:rPr>
          <w:rFonts w:ascii="Open Sans" w:eastAsia="Calibri" w:hAnsi="Open Sans" w:cs="Open Sans"/>
        </w:rPr>
        <w:t xml:space="preserve">provide an outlook, and </w:t>
      </w:r>
      <w:r w:rsidR="00E647D1">
        <w:rPr>
          <w:rFonts w:ascii="Open Sans" w:eastAsia="Calibri" w:hAnsi="Open Sans" w:cs="Open Sans"/>
        </w:rPr>
        <w:t>discu</w:t>
      </w:r>
      <w:r w:rsidR="001E588D">
        <w:rPr>
          <w:rFonts w:ascii="Open Sans" w:eastAsia="Calibri" w:hAnsi="Open Sans" w:cs="Open Sans"/>
        </w:rPr>
        <w:t>s</w:t>
      </w:r>
      <w:r w:rsidR="00E647D1">
        <w:rPr>
          <w:rFonts w:ascii="Open Sans" w:eastAsia="Calibri" w:hAnsi="Open Sans" w:cs="Open Sans"/>
        </w:rPr>
        <w:t>s</w:t>
      </w:r>
      <w:r w:rsidR="001E588D">
        <w:rPr>
          <w:rFonts w:ascii="Open Sans" w:eastAsia="Calibri" w:hAnsi="Open Sans" w:cs="Open Sans"/>
        </w:rPr>
        <w:t xml:space="preserve"> concerns with data veracity for different sources of data.</w:t>
      </w:r>
      <w:r w:rsidR="00880BDC">
        <w:rPr>
          <w:rFonts w:ascii="Open Sans" w:eastAsia="Calibri" w:hAnsi="Open Sans" w:cs="Open Sans"/>
        </w:rPr>
        <w:t xml:space="preserve"> The exercises discussed in the requirements section will be completed in teams, and each team will be assigned a state to analyze. The next section provides background, which is followed by </w:t>
      </w:r>
      <w:r w:rsidR="002A7A41">
        <w:rPr>
          <w:rFonts w:ascii="Open Sans" w:eastAsia="Calibri" w:hAnsi="Open Sans" w:cs="Open Sans"/>
        </w:rPr>
        <w:t>a section on using analytics.</w:t>
      </w:r>
    </w:p>
    <w:p w14:paraId="60AF1555"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1" w:name="_Toc52021919"/>
      <w:r w:rsidRPr="004F725E">
        <w:rPr>
          <w:rFonts w:ascii="Open Sans" w:eastAsia="Times New Roman" w:hAnsi="Open Sans" w:cs="Open Sans"/>
          <w:b/>
          <w:bCs/>
          <w:smallCaps/>
          <w:color w:val="33006F"/>
          <w:sz w:val="28"/>
          <w:szCs w:val="28"/>
        </w:rPr>
        <w:lastRenderedPageBreak/>
        <w:t>Background</w:t>
      </w:r>
      <w:bookmarkEnd w:id="1"/>
    </w:p>
    <w:p w14:paraId="37D2352C" w14:textId="22946365" w:rsidR="004F725E" w:rsidRPr="004F725E" w:rsidRDefault="006E4792" w:rsidP="004F725E">
      <w:pPr>
        <w:spacing w:before="120" w:after="120" w:line="360" w:lineRule="auto"/>
        <w:jc w:val="both"/>
        <w:rPr>
          <w:rFonts w:ascii="Open Sans" w:eastAsia="Calibri" w:hAnsi="Open Sans" w:cs="Open Sans"/>
        </w:rPr>
      </w:pPr>
      <w:r>
        <w:rPr>
          <w:rFonts w:ascii="Open Sans" w:eastAsia="Calibri" w:hAnsi="Open Sans" w:cs="Open Sans"/>
          <w:b/>
          <w:i/>
          <w:color w:val="33006F"/>
        </w:rPr>
        <w:t>Accounting Advisory Services</w:t>
      </w:r>
      <w:r>
        <w:rPr>
          <w:rFonts w:ascii="Open Sans" w:eastAsia="Calibri" w:hAnsi="Open Sans" w:cs="Open Sans"/>
        </w:rPr>
        <w:t xml:space="preserve"> are an important </w:t>
      </w:r>
      <w:r w:rsidR="007E740D">
        <w:rPr>
          <w:rFonts w:ascii="Open Sans" w:eastAsia="Calibri" w:hAnsi="Open Sans" w:cs="Open Sans"/>
        </w:rPr>
        <w:t xml:space="preserve">part of most accounting firms. Clients will typically seek out various advisory services from accounting firms </w:t>
      </w:r>
      <w:r w:rsidR="002554D7">
        <w:rPr>
          <w:rFonts w:ascii="Open Sans" w:eastAsia="Calibri" w:hAnsi="Open Sans" w:cs="Open Sans"/>
        </w:rPr>
        <w:t>in areas that they do not have the expertise</w:t>
      </w:r>
      <w:r w:rsidR="00070F0A">
        <w:rPr>
          <w:rFonts w:ascii="Open Sans" w:eastAsia="Calibri" w:hAnsi="Open Sans" w:cs="Open Sans"/>
        </w:rPr>
        <w:t xml:space="preserve"> or inclination </w:t>
      </w:r>
      <w:r w:rsidR="002554D7">
        <w:rPr>
          <w:rFonts w:ascii="Open Sans" w:eastAsia="Calibri" w:hAnsi="Open Sans" w:cs="Open Sans"/>
        </w:rPr>
        <w:t xml:space="preserve">to perform on their own. </w:t>
      </w:r>
      <w:r w:rsidR="00377D30">
        <w:rPr>
          <w:rFonts w:ascii="Open Sans" w:eastAsia="Calibri" w:hAnsi="Open Sans" w:cs="Open Sans"/>
        </w:rPr>
        <w:t xml:space="preserve">In addition, often firms can provide advisory services at a lower cost than the client would be able to achieve. </w:t>
      </w:r>
      <w:r w:rsidR="00280F71">
        <w:rPr>
          <w:rFonts w:ascii="Open Sans" w:eastAsia="Calibri" w:hAnsi="Open Sans" w:cs="Open Sans"/>
        </w:rPr>
        <w:t xml:space="preserve">Advisory services can be defined as value-adding strategies and insights </w:t>
      </w:r>
      <w:r w:rsidR="00550D13">
        <w:rPr>
          <w:rFonts w:ascii="Open Sans" w:eastAsia="Calibri" w:hAnsi="Open Sans" w:cs="Open Sans"/>
        </w:rPr>
        <w:t xml:space="preserve">for the client. They can </w:t>
      </w:r>
      <w:r w:rsidR="00394109">
        <w:rPr>
          <w:rFonts w:ascii="Open Sans" w:eastAsia="Calibri" w:hAnsi="Open Sans" w:cs="Open Sans"/>
        </w:rPr>
        <w:t>provide</w:t>
      </w:r>
      <w:r w:rsidR="00550D13">
        <w:rPr>
          <w:rFonts w:ascii="Open Sans" w:eastAsia="Calibri" w:hAnsi="Open Sans" w:cs="Open Sans"/>
        </w:rPr>
        <w:t xml:space="preserve"> </w:t>
      </w:r>
      <w:r w:rsidR="002C5142">
        <w:rPr>
          <w:rFonts w:ascii="Open Sans" w:eastAsia="Calibri" w:hAnsi="Open Sans" w:cs="Open Sans"/>
        </w:rPr>
        <w:t>services</w:t>
      </w:r>
      <w:r w:rsidR="00550D13">
        <w:rPr>
          <w:rFonts w:ascii="Open Sans" w:eastAsia="Calibri" w:hAnsi="Open Sans" w:cs="Open Sans"/>
        </w:rPr>
        <w:t xml:space="preserve"> </w:t>
      </w:r>
      <w:r w:rsidR="002C5142">
        <w:rPr>
          <w:rFonts w:ascii="Open Sans" w:eastAsia="Calibri" w:hAnsi="Open Sans" w:cs="Open Sans"/>
        </w:rPr>
        <w:t>broad</w:t>
      </w:r>
      <w:r w:rsidR="00394109">
        <w:rPr>
          <w:rFonts w:ascii="Open Sans" w:eastAsia="Calibri" w:hAnsi="Open Sans" w:cs="Open Sans"/>
        </w:rPr>
        <w:t xml:space="preserve">ly from </w:t>
      </w:r>
      <w:r w:rsidR="00527E0F">
        <w:rPr>
          <w:rFonts w:ascii="Open Sans" w:eastAsia="Calibri" w:hAnsi="Open Sans" w:cs="Open Sans"/>
        </w:rPr>
        <w:t xml:space="preserve">forecasting </w:t>
      </w:r>
      <w:r w:rsidR="00550D13">
        <w:rPr>
          <w:rFonts w:ascii="Open Sans" w:eastAsia="Calibri" w:hAnsi="Open Sans" w:cs="Open Sans"/>
        </w:rPr>
        <w:t>revenue or cash-flow</w:t>
      </w:r>
      <w:r w:rsidR="00527E0F">
        <w:rPr>
          <w:rFonts w:ascii="Open Sans" w:eastAsia="Calibri" w:hAnsi="Open Sans" w:cs="Open Sans"/>
        </w:rPr>
        <w:t xml:space="preserve">s to aid the client’s budgeting needs, </w:t>
      </w:r>
      <w:r w:rsidR="00394109">
        <w:rPr>
          <w:rFonts w:ascii="Open Sans" w:eastAsia="Calibri" w:hAnsi="Open Sans" w:cs="Open Sans"/>
        </w:rPr>
        <w:t xml:space="preserve">to </w:t>
      </w:r>
      <w:r w:rsidR="00527E0F">
        <w:rPr>
          <w:rFonts w:ascii="Open Sans" w:eastAsia="Calibri" w:hAnsi="Open Sans" w:cs="Open Sans"/>
        </w:rPr>
        <w:t>technology implementations such as</w:t>
      </w:r>
      <w:r w:rsidR="00550D13">
        <w:rPr>
          <w:rFonts w:ascii="Open Sans" w:eastAsia="Calibri" w:hAnsi="Open Sans" w:cs="Open Sans"/>
        </w:rPr>
        <w:t xml:space="preserve"> </w:t>
      </w:r>
      <w:r w:rsidR="005722C1">
        <w:rPr>
          <w:rFonts w:ascii="Open Sans" w:eastAsia="Calibri" w:hAnsi="Open Sans" w:cs="Open Sans"/>
        </w:rPr>
        <w:t xml:space="preserve">enterprise risk management system </w:t>
      </w:r>
      <w:r w:rsidR="00FF146F">
        <w:rPr>
          <w:rFonts w:ascii="Open Sans" w:eastAsia="Calibri" w:hAnsi="Open Sans" w:cs="Open Sans"/>
        </w:rPr>
        <w:t>implementations or blockchain implementations</w:t>
      </w:r>
      <w:r w:rsidR="00DC7E74">
        <w:rPr>
          <w:rFonts w:ascii="Open Sans" w:eastAsia="Calibri" w:hAnsi="Open Sans" w:cs="Open Sans"/>
        </w:rPr>
        <w:t xml:space="preserve">. </w:t>
      </w:r>
      <w:r w:rsidR="002F5CDC">
        <w:rPr>
          <w:rFonts w:ascii="Open Sans" w:eastAsia="Calibri" w:hAnsi="Open Sans" w:cs="Open Sans"/>
        </w:rPr>
        <w:t xml:space="preserve">Other </w:t>
      </w:r>
      <w:r w:rsidR="00AF5B70">
        <w:rPr>
          <w:rFonts w:ascii="Open Sans" w:eastAsia="Calibri" w:hAnsi="Open Sans" w:cs="Open Sans"/>
        </w:rPr>
        <w:t xml:space="preserve">common </w:t>
      </w:r>
      <w:r w:rsidR="002F5CDC">
        <w:rPr>
          <w:rFonts w:ascii="Open Sans" w:eastAsia="Calibri" w:hAnsi="Open Sans" w:cs="Open Sans"/>
        </w:rPr>
        <w:t>example</w:t>
      </w:r>
      <w:r w:rsidR="00AF5B70">
        <w:rPr>
          <w:rFonts w:ascii="Open Sans" w:eastAsia="Calibri" w:hAnsi="Open Sans" w:cs="Open Sans"/>
        </w:rPr>
        <w:t xml:space="preserve">s of advisory services </w:t>
      </w:r>
      <w:r w:rsidR="00102DBB">
        <w:rPr>
          <w:rFonts w:ascii="Open Sans" w:eastAsia="Calibri" w:hAnsi="Open Sans" w:cs="Open Sans"/>
        </w:rPr>
        <w:t xml:space="preserve">relate to </w:t>
      </w:r>
      <w:r w:rsidR="00630589">
        <w:rPr>
          <w:rFonts w:ascii="Open Sans" w:eastAsia="Calibri" w:hAnsi="Open Sans" w:cs="Open Sans"/>
        </w:rPr>
        <w:t xml:space="preserve">regulatory </w:t>
      </w:r>
      <w:r w:rsidR="00102DBB">
        <w:rPr>
          <w:rFonts w:ascii="Open Sans" w:eastAsia="Calibri" w:hAnsi="Open Sans" w:cs="Open Sans"/>
        </w:rPr>
        <w:t>compliance advisory (i.e., meeting new regulatory standards)</w:t>
      </w:r>
      <w:r w:rsidR="002F5CDC">
        <w:rPr>
          <w:rFonts w:ascii="Open Sans" w:eastAsia="Calibri" w:hAnsi="Open Sans" w:cs="Open Sans"/>
        </w:rPr>
        <w:t xml:space="preserve"> </w:t>
      </w:r>
      <w:r w:rsidR="00630589">
        <w:rPr>
          <w:rFonts w:ascii="Open Sans" w:eastAsia="Calibri" w:hAnsi="Open Sans" w:cs="Open Sans"/>
        </w:rPr>
        <w:t>risk assurance services</w:t>
      </w:r>
      <w:r w:rsidR="00685361">
        <w:rPr>
          <w:rFonts w:ascii="Open Sans" w:eastAsia="Calibri" w:hAnsi="Open Sans" w:cs="Open Sans"/>
        </w:rPr>
        <w:t xml:space="preserve"> (including cybersecurity and data protection), and </w:t>
      </w:r>
      <w:r w:rsidR="00A24459">
        <w:rPr>
          <w:rFonts w:ascii="Open Sans" w:eastAsia="Calibri" w:hAnsi="Open Sans" w:cs="Open Sans"/>
        </w:rPr>
        <w:t>operational advice to improve the client’s performance and profitability.</w:t>
      </w:r>
      <w:r w:rsidR="00592476">
        <w:rPr>
          <w:rStyle w:val="FootnoteReference"/>
          <w:rFonts w:ascii="Open Sans" w:eastAsia="Calibri" w:hAnsi="Open Sans" w:cs="Open Sans"/>
        </w:rPr>
        <w:footnoteReference w:id="1"/>
      </w:r>
      <w:r w:rsidR="00392CF5">
        <w:rPr>
          <w:rFonts w:ascii="Open Sans" w:eastAsia="Calibri" w:hAnsi="Open Sans" w:cs="Open Sans"/>
        </w:rPr>
        <w:t xml:space="preserve"> </w:t>
      </w:r>
    </w:p>
    <w:p w14:paraId="655FC787" w14:textId="29C0D59B" w:rsidR="004F725E" w:rsidRPr="004F725E" w:rsidRDefault="00392CF5" w:rsidP="004F725E">
      <w:pPr>
        <w:spacing w:before="120" w:after="120" w:line="360" w:lineRule="auto"/>
        <w:jc w:val="both"/>
        <w:rPr>
          <w:rFonts w:ascii="Open Sans" w:eastAsia="Calibri" w:hAnsi="Open Sans" w:cs="Open Sans"/>
        </w:rPr>
      </w:pPr>
      <w:r>
        <w:rPr>
          <w:rFonts w:ascii="Open Sans" w:eastAsia="Calibri" w:hAnsi="Open Sans" w:cs="Open Sans"/>
          <w:b/>
          <w:i/>
          <w:color w:val="33006F"/>
        </w:rPr>
        <w:t>Data Veracity</w:t>
      </w:r>
      <w:r w:rsidR="004F725E" w:rsidRPr="004F725E">
        <w:rPr>
          <w:rFonts w:ascii="Open Sans" w:eastAsia="Calibri" w:hAnsi="Open Sans" w:cs="Open Sans"/>
        </w:rPr>
        <w:t xml:space="preserve"> </w:t>
      </w:r>
      <w:r w:rsidR="005479AA">
        <w:rPr>
          <w:rFonts w:ascii="Open Sans" w:eastAsia="Calibri" w:hAnsi="Open Sans" w:cs="Open Sans"/>
        </w:rPr>
        <w:t>can be defined as the degree to which the data is accurate</w:t>
      </w:r>
      <w:r w:rsidR="00190AD0">
        <w:rPr>
          <w:rFonts w:ascii="Open Sans" w:eastAsia="Calibri" w:hAnsi="Open Sans" w:cs="Open Sans"/>
        </w:rPr>
        <w:t xml:space="preserve">, precise, and trusted. Whereas </w:t>
      </w:r>
      <w:r w:rsidR="0041230F">
        <w:rPr>
          <w:rFonts w:ascii="Open Sans" w:eastAsia="Calibri" w:hAnsi="Open Sans" w:cs="Open Sans"/>
        </w:rPr>
        <w:t xml:space="preserve">making decisions based on data analysis </w:t>
      </w:r>
      <w:r w:rsidR="001651DB">
        <w:rPr>
          <w:rFonts w:ascii="Open Sans" w:eastAsia="Calibri" w:hAnsi="Open Sans" w:cs="Open Sans"/>
        </w:rPr>
        <w:t xml:space="preserve">appears much better than </w:t>
      </w:r>
      <w:r w:rsidR="0041230F">
        <w:rPr>
          <w:rFonts w:ascii="Open Sans" w:eastAsia="Calibri" w:hAnsi="Open Sans" w:cs="Open Sans"/>
        </w:rPr>
        <w:t xml:space="preserve">making </w:t>
      </w:r>
      <w:r w:rsidR="001651DB">
        <w:rPr>
          <w:rFonts w:ascii="Open Sans" w:eastAsia="Calibri" w:hAnsi="Open Sans" w:cs="Open Sans"/>
        </w:rPr>
        <w:t xml:space="preserve">gut-based </w:t>
      </w:r>
      <w:r w:rsidR="0041230F">
        <w:rPr>
          <w:rFonts w:ascii="Open Sans" w:eastAsia="Calibri" w:hAnsi="Open Sans" w:cs="Open Sans"/>
        </w:rPr>
        <w:t>decisions</w:t>
      </w:r>
      <w:r w:rsidR="001651DB">
        <w:rPr>
          <w:rFonts w:ascii="Open Sans" w:eastAsia="Calibri" w:hAnsi="Open Sans" w:cs="Open Sans"/>
        </w:rPr>
        <w:t xml:space="preserve">, </w:t>
      </w:r>
      <w:r w:rsidR="00F72A1C">
        <w:rPr>
          <w:rFonts w:ascii="Open Sans" w:eastAsia="Calibri" w:hAnsi="Open Sans" w:cs="Open Sans"/>
        </w:rPr>
        <w:t xml:space="preserve">low quality data will lower the usefulness of insight being drawn from data. </w:t>
      </w:r>
      <w:r w:rsidR="0077252E">
        <w:rPr>
          <w:rFonts w:ascii="Open Sans" w:eastAsia="Calibri" w:hAnsi="Open Sans" w:cs="Open Sans"/>
        </w:rPr>
        <w:t>Low quality</w:t>
      </w:r>
      <w:r w:rsidR="009252DD">
        <w:rPr>
          <w:rFonts w:ascii="Open Sans" w:eastAsia="Calibri" w:hAnsi="Open Sans" w:cs="Open Sans"/>
        </w:rPr>
        <w:t xml:space="preserve"> data</w:t>
      </w:r>
      <w:r w:rsidR="0077252E">
        <w:rPr>
          <w:rFonts w:ascii="Open Sans" w:eastAsia="Calibri" w:hAnsi="Open Sans" w:cs="Open Sans"/>
        </w:rPr>
        <w:t xml:space="preserve">, including manipulated data, </w:t>
      </w:r>
      <w:r w:rsidR="009252DD">
        <w:rPr>
          <w:rFonts w:ascii="Open Sans" w:eastAsia="Calibri" w:hAnsi="Open Sans" w:cs="Open Sans"/>
        </w:rPr>
        <w:t xml:space="preserve">can even result in incorrect </w:t>
      </w:r>
      <w:r w:rsidR="006B0B4D">
        <w:rPr>
          <w:rFonts w:ascii="Open Sans" w:eastAsia="Calibri" w:hAnsi="Open Sans" w:cs="Open Sans"/>
        </w:rPr>
        <w:t xml:space="preserve">insights and recommendations. Hence </w:t>
      </w:r>
      <w:r w:rsidR="006C4A01">
        <w:rPr>
          <w:rFonts w:ascii="Open Sans" w:eastAsia="Calibri" w:hAnsi="Open Sans" w:cs="Open Sans"/>
        </w:rPr>
        <w:t xml:space="preserve">understanding </w:t>
      </w:r>
      <w:r w:rsidR="006B0B4D">
        <w:rPr>
          <w:rFonts w:ascii="Open Sans" w:eastAsia="Calibri" w:hAnsi="Open Sans" w:cs="Open Sans"/>
        </w:rPr>
        <w:t>data veracity is an important part of the analytics mindset</w:t>
      </w:r>
      <w:r w:rsidR="006C4A01">
        <w:rPr>
          <w:rFonts w:ascii="Open Sans" w:eastAsia="Calibri" w:hAnsi="Open Sans" w:cs="Open Sans"/>
        </w:rPr>
        <w:t xml:space="preserve"> and assessing data veracity is an important part of the analytics skillset. </w:t>
      </w:r>
      <w:r w:rsidR="00AF1995">
        <w:rPr>
          <w:rFonts w:ascii="Open Sans" w:eastAsia="Calibri" w:hAnsi="Open Sans" w:cs="Open Sans"/>
        </w:rPr>
        <w:t>In an article by individuals at Accenture, some examples of where</w:t>
      </w:r>
      <w:r w:rsidR="00A61C6A">
        <w:rPr>
          <w:rFonts w:ascii="Open Sans" w:eastAsia="Calibri" w:hAnsi="Open Sans" w:cs="Open Sans"/>
        </w:rPr>
        <w:t xml:space="preserve"> problems with data veracity can lead to </w:t>
      </w:r>
      <w:r w:rsidR="003A1C7E">
        <w:rPr>
          <w:rFonts w:ascii="Open Sans" w:eastAsia="Calibri" w:hAnsi="Open Sans" w:cs="Open Sans"/>
        </w:rPr>
        <w:t xml:space="preserve">problems in advisory services include </w:t>
      </w:r>
      <w:r w:rsidR="00342A26">
        <w:rPr>
          <w:rFonts w:ascii="Open Sans" w:eastAsia="Calibri" w:hAnsi="Open Sans" w:cs="Open Sans"/>
        </w:rPr>
        <w:t xml:space="preserve">the use of inaccurate customer contact data (i.e., addresses, emails, phone numbers) </w:t>
      </w:r>
      <w:r w:rsidR="009C511D">
        <w:rPr>
          <w:rFonts w:ascii="Open Sans" w:eastAsia="Calibri" w:hAnsi="Open Sans" w:cs="Open Sans"/>
        </w:rPr>
        <w:t>that lead to sending out promotions and offers to the wrong group of customers</w:t>
      </w:r>
      <w:r w:rsidR="00F26D59">
        <w:rPr>
          <w:rFonts w:ascii="Open Sans" w:eastAsia="Calibri" w:hAnsi="Open Sans" w:cs="Open Sans"/>
        </w:rPr>
        <w:t xml:space="preserve">, and duplicate data </w:t>
      </w:r>
      <w:r w:rsidR="003E17EA">
        <w:rPr>
          <w:rFonts w:ascii="Open Sans" w:eastAsia="Calibri" w:hAnsi="Open Sans" w:cs="Open Sans"/>
        </w:rPr>
        <w:t xml:space="preserve">sources </w:t>
      </w:r>
      <w:r w:rsidR="00F26D59">
        <w:rPr>
          <w:rFonts w:ascii="Open Sans" w:eastAsia="Calibri" w:hAnsi="Open Sans" w:cs="Open Sans"/>
        </w:rPr>
        <w:t>leading to different measures of risk</w:t>
      </w:r>
      <w:r w:rsidR="003E17EA">
        <w:rPr>
          <w:rFonts w:ascii="Open Sans" w:eastAsia="Calibri" w:hAnsi="Open Sans" w:cs="Open Sans"/>
        </w:rPr>
        <w:t xml:space="preserve"> which can delay operational decisions.</w:t>
      </w:r>
      <w:r w:rsidR="00C722B5">
        <w:rPr>
          <w:rStyle w:val="FootnoteReference"/>
          <w:rFonts w:ascii="Open Sans" w:eastAsia="Calibri" w:hAnsi="Open Sans" w:cs="Open Sans"/>
        </w:rPr>
        <w:footnoteReference w:id="2"/>
      </w:r>
    </w:p>
    <w:p w14:paraId="248FA15C" w14:textId="5F1658BC" w:rsidR="004F725E" w:rsidRPr="004F725E" w:rsidRDefault="00C9208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2" w:name="_Toc52021920"/>
      <w:r>
        <w:rPr>
          <w:rFonts w:ascii="Open Sans" w:eastAsia="Times New Roman" w:hAnsi="Open Sans" w:cs="Open Sans"/>
          <w:b/>
          <w:bCs/>
          <w:smallCaps/>
          <w:color w:val="33006F"/>
          <w:sz w:val="28"/>
          <w:szCs w:val="28"/>
        </w:rPr>
        <w:lastRenderedPageBreak/>
        <w:t>Using</w:t>
      </w:r>
      <w:r w:rsidR="004F725E">
        <w:rPr>
          <w:rFonts w:ascii="Open Sans" w:eastAsia="Times New Roman" w:hAnsi="Open Sans" w:cs="Open Sans"/>
          <w:b/>
          <w:bCs/>
          <w:smallCaps/>
          <w:color w:val="33006F"/>
          <w:sz w:val="28"/>
          <w:szCs w:val="28"/>
        </w:rPr>
        <w:t xml:space="preserve"> </w:t>
      </w:r>
      <w:r w:rsidR="004F725E" w:rsidRPr="004F725E">
        <w:rPr>
          <w:rFonts w:ascii="Open Sans" w:eastAsia="Times New Roman" w:hAnsi="Open Sans" w:cs="Open Sans"/>
          <w:b/>
          <w:bCs/>
          <w:smallCaps/>
          <w:color w:val="33006F"/>
          <w:sz w:val="28"/>
          <w:szCs w:val="28"/>
        </w:rPr>
        <w:t>Analytics</w:t>
      </w:r>
      <w:bookmarkEnd w:id="2"/>
    </w:p>
    <w:p w14:paraId="37D4D487" w14:textId="1BF6BF22" w:rsidR="00042716" w:rsidRDefault="006728E8" w:rsidP="004F725E">
      <w:pPr>
        <w:spacing w:before="120" w:after="120" w:line="360" w:lineRule="auto"/>
        <w:jc w:val="both"/>
        <w:rPr>
          <w:rFonts w:ascii="Open Sans" w:eastAsia="Calibri" w:hAnsi="Open Sans" w:cs="Open Sans"/>
        </w:rPr>
      </w:pPr>
      <w:r>
        <w:rPr>
          <w:rFonts w:ascii="Open Sans" w:eastAsia="Calibri" w:hAnsi="Open Sans" w:cs="Open Sans"/>
        </w:rPr>
        <w:t xml:space="preserve">To solve this case, you </w:t>
      </w:r>
      <w:r w:rsidR="00610E39">
        <w:rPr>
          <w:rFonts w:ascii="Open Sans" w:eastAsia="Calibri" w:hAnsi="Open Sans" w:cs="Open Sans"/>
        </w:rPr>
        <w:t xml:space="preserve">investigate </w:t>
      </w:r>
      <w:r w:rsidR="00160023">
        <w:rPr>
          <w:rFonts w:ascii="Open Sans" w:eastAsia="Calibri" w:hAnsi="Open Sans" w:cs="Open Sans"/>
        </w:rPr>
        <w:t xml:space="preserve">sophisticated </w:t>
      </w:r>
      <w:r>
        <w:rPr>
          <w:rFonts w:ascii="Open Sans" w:eastAsia="Calibri" w:hAnsi="Open Sans" w:cs="Open Sans"/>
        </w:rPr>
        <w:t xml:space="preserve">pre-existing analytics performed by the </w:t>
      </w:r>
      <w:r w:rsidR="00BD645C" w:rsidRPr="00BD645C">
        <w:rPr>
          <w:rFonts w:ascii="Open Sans" w:eastAsia="Calibri" w:hAnsi="Open Sans" w:cs="Open Sans"/>
        </w:rPr>
        <w:t>Institute for Health Metrics and Evaluation (IHME)</w:t>
      </w:r>
      <w:r w:rsidR="005E6160">
        <w:rPr>
          <w:rFonts w:ascii="Open Sans" w:eastAsia="Calibri" w:hAnsi="Open Sans" w:cs="Open Sans"/>
        </w:rPr>
        <w:t xml:space="preserve"> and the aggregated forecast data provided on the Center</w:t>
      </w:r>
      <w:r w:rsidR="000A1624">
        <w:rPr>
          <w:rFonts w:ascii="Open Sans" w:eastAsia="Calibri" w:hAnsi="Open Sans" w:cs="Open Sans"/>
        </w:rPr>
        <w:t>s</w:t>
      </w:r>
      <w:r w:rsidR="005E6160">
        <w:rPr>
          <w:rFonts w:ascii="Open Sans" w:eastAsia="Calibri" w:hAnsi="Open Sans" w:cs="Open Sans"/>
        </w:rPr>
        <w:t xml:space="preserve"> for Di</w:t>
      </w:r>
      <w:r w:rsidR="000A1624">
        <w:rPr>
          <w:rFonts w:ascii="Open Sans" w:eastAsia="Calibri" w:hAnsi="Open Sans" w:cs="Open Sans"/>
        </w:rPr>
        <w:t>sease Control and Prevention (CDC)</w:t>
      </w:r>
      <w:r w:rsidR="00BD645C">
        <w:rPr>
          <w:rFonts w:ascii="Open Sans" w:eastAsia="Calibri" w:hAnsi="Open Sans" w:cs="Open Sans"/>
        </w:rPr>
        <w:t>.</w:t>
      </w:r>
    </w:p>
    <w:p w14:paraId="23296571" w14:textId="7AEA1715" w:rsidR="004F725E" w:rsidRDefault="00BD645C" w:rsidP="004F725E">
      <w:pPr>
        <w:spacing w:before="120" w:after="120" w:line="360" w:lineRule="auto"/>
        <w:jc w:val="both"/>
        <w:rPr>
          <w:rFonts w:ascii="Open Sans" w:eastAsia="Calibri" w:hAnsi="Open Sans" w:cs="Open Sans"/>
        </w:rPr>
      </w:pPr>
      <w:r>
        <w:rPr>
          <w:rFonts w:ascii="Open Sans" w:eastAsia="Calibri" w:hAnsi="Open Sans" w:cs="Open Sans"/>
        </w:rPr>
        <w:t>The IHME</w:t>
      </w:r>
      <w:r w:rsidRPr="00BD645C">
        <w:rPr>
          <w:rFonts w:ascii="Open Sans" w:eastAsia="Calibri" w:hAnsi="Open Sans" w:cs="Open Sans"/>
        </w:rPr>
        <w:t xml:space="preserve"> is an independent global health research center at the University of Washington</w:t>
      </w:r>
      <w:r>
        <w:rPr>
          <w:rFonts w:ascii="Open Sans" w:eastAsia="Calibri" w:hAnsi="Open Sans" w:cs="Open Sans"/>
        </w:rPr>
        <w:t xml:space="preserve"> (</w:t>
      </w:r>
      <w:hyperlink r:id="rId11" w:history="1">
        <w:r w:rsidR="00156D12" w:rsidRPr="00ED2878">
          <w:rPr>
            <w:rStyle w:val="Hyperlink"/>
            <w:rFonts w:ascii="Open Sans" w:eastAsia="Calibri" w:hAnsi="Open Sans" w:cs="Open Sans"/>
          </w:rPr>
          <w:t>http://www.healthdata.org/</w:t>
        </w:r>
      </w:hyperlink>
      <w:r>
        <w:rPr>
          <w:rFonts w:ascii="Open Sans" w:eastAsia="Calibri" w:hAnsi="Open Sans" w:cs="Open Sans"/>
        </w:rPr>
        <w:t>)</w:t>
      </w:r>
      <w:r w:rsidRPr="00BD645C">
        <w:rPr>
          <w:rFonts w:ascii="Open Sans" w:eastAsia="Calibri" w:hAnsi="Open Sans" w:cs="Open Sans"/>
        </w:rPr>
        <w:t>.</w:t>
      </w:r>
      <w:r w:rsidR="007F6CAD">
        <w:rPr>
          <w:rFonts w:ascii="Open Sans" w:eastAsia="Calibri" w:hAnsi="Open Sans" w:cs="Open Sans"/>
        </w:rPr>
        <w:t xml:space="preserve"> </w:t>
      </w:r>
      <w:r w:rsidR="00156D12">
        <w:rPr>
          <w:rFonts w:ascii="Open Sans" w:eastAsia="Calibri" w:hAnsi="Open Sans" w:cs="Open Sans"/>
        </w:rPr>
        <w:t xml:space="preserve">On their website, </w:t>
      </w:r>
      <w:r w:rsidR="001E4936">
        <w:rPr>
          <w:rFonts w:ascii="Open Sans" w:eastAsia="Calibri" w:hAnsi="Open Sans" w:cs="Open Sans"/>
        </w:rPr>
        <w:t>they provide visual</w:t>
      </w:r>
      <w:r w:rsidR="00556674">
        <w:rPr>
          <w:rFonts w:ascii="Open Sans" w:eastAsia="Calibri" w:hAnsi="Open Sans" w:cs="Open Sans"/>
        </w:rPr>
        <w:t xml:space="preserve"> analytics of COVID-19 projections (</w:t>
      </w:r>
      <w:hyperlink r:id="rId12" w:history="1">
        <w:r w:rsidR="00556674" w:rsidRPr="00ED2878">
          <w:rPr>
            <w:rStyle w:val="Hyperlink"/>
            <w:rFonts w:ascii="Open Sans" w:eastAsia="Calibri" w:hAnsi="Open Sans" w:cs="Open Sans"/>
          </w:rPr>
          <w:t>https://covid19.healthdata.org/global?view=total-deaths&amp;tab=trend</w:t>
        </w:r>
      </w:hyperlink>
      <w:r w:rsidR="00556674">
        <w:rPr>
          <w:rFonts w:ascii="Open Sans" w:eastAsia="Calibri" w:hAnsi="Open Sans" w:cs="Open Sans"/>
        </w:rPr>
        <w:t>)</w:t>
      </w:r>
      <w:r w:rsidR="00160023">
        <w:rPr>
          <w:rFonts w:ascii="Open Sans" w:eastAsia="Calibri" w:hAnsi="Open Sans" w:cs="Open Sans"/>
        </w:rPr>
        <w:t xml:space="preserve"> and COVID-19 data available for download</w:t>
      </w:r>
      <w:r w:rsidR="00556674">
        <w:rPr>
          <w:rFonts w:ascii="Open Sans" w:eastAsia="Calibri" w:hAnsi="Open Sans" w:cs="Open Sans"/>
        </w:rPr>
        <w:t>. The</w:t>
      </w:r>
      <w:r w:rsidR="00F1200A">
        <w:rPr>
          <w:rFonts w:ascii="Open Sans" w:eastAsia="Calibri" w:hAnsi="Open Sans" w:cs="Open Sans"/>
        </w:rPr>
        <w:t xml:space="preserve"> IHME </w:t>
      </w:r>
      <w:r w:rsidR="00556674">
        <w:rPr>
          <w:rFonts w:ascii="Open Sans" w:eastAsia="Calibri" w:hAnsi="Open Sans" w:cs="Open Sans"/>
        </w:rPr>
        <w:t xml:space="preserve">projections </w:t>
      </w:r>
      <w:r w:rsidR="00173A6A">
        <w:rPr>
          <w:rFonts w:ascii="Open Sans" w:eastAsia="Calibri" w:hAnsi="Open Sans" w:cs="Open Sans"/>
        </w:rPr>
        <w:t xml:space="preserve">are based on a sophisticated model that builds in different scenarios based on social distancing (including mask-wearing) and </w:t>
      </w:r>
      <w:r w:rsidR="002E3D6A">
        <w:rPr>
          <w:rFonts w:ascii="Open Sans" w:eastAsia="Calibri" w:hAnsi="Open Sans" w:cs="Open Sans"/>
        </w:rPr>
        <w:t xml:space="preserve">easing of restrictions. They also provide a model that they label projections that </w:t>
      </w:r>
      <w:r w:rsidR="00ED7006">
        <w:rPr>
          <w:rFonts w:ascii="Open Sans" w:eastAsia="Calibri" w:hAnsi="Open Sans" w:cs="Open Sans"/>
        </w:rPr>
        <w:t xml:space="preserve">we will </w:t>
      </w:r>
      <w:r w:rsidR="002E3D6A">
        <w:rPr>
          <w:rFonts w:ascii="Open Sans" w:eastAsia="Calibri" w:hAnsi="Open Sans" w:cs="Open Sans"/>
        </w:rPr>
        <w:t xml:space="preserve">consider </w:t>
      </w:r>
      <w:r w:rsidR="00ED7006">
        <w:rPr>
          <w:rFonts w:ascii="Open Sans" w:eastAsia="Calibri" w:hAnsi="Open Sans" w:cs="Open Sans"/>
        </w:rPr>
        <w:t xml:space="preserve">as </w:t>
      </w:r>
      <w:r w:rsidR="002E3D6A">
        <w:rPr>
          <w:rFonts w:ascii="Open Sans" w:eastAsia="Calibri" w:hAnsi="Open Sans" w:cs="Open Sans"/>
        </w:rPr>
        <w:t>the most likely scenario</w:t>
      </w:r>
      <w:r w:rsidR="00ED7006">
        <w:rPr>
          <w:rFonts w:ascii="Open Sans" w:eastAsia="Calibri" w:hAnsi="Open Sans" w:cs="Open Sans"/>
        </w:rPr>
        <w:t xml:space="preserve"> given the tradeoffs between social distancing and easing</w:t>
      </w:r>
      <w:r w:rsidR="001D0D81">
        <w:rPr>
          <w:rFonts w:ascii="Open Sans" w:eastAsia="Calibri" w:hAnsi="Open Sans" w:cs="Open Sans"/>
        </w:rPr>
        <w:t xml:space="preserve"> of restrictions</w:t>
      </w:r>
      <w:r w:rsidR="002E3D6A">
        <w:rPr>
          <w:rFonts w:ascii="Open Sans" w:eastAsia="Calibri" w:hAnsi="Open Sans" w:cs="Open Sans"/>
        </w:rPr>
        <w:t>.</w:t>
      </w:r>
      <w:r w:rsidR="00C9208E">
        <w:rPr>
          <w:rFonts w:ascii="Open Sans" w:eastAsia="Calibri" w:hAnsi="Open Sans" w:cs="Open Sans"/>
        </w:rPr>
        <w:t xml:space="preserve"> </w:t>
      </w:r>
    </w:p>
    <w:p w14:paraId="01846AE2" w14:textId="5AA822E8" w:rsidR="00042716" w:rsidRDefault="00042716" w:rsidP="004F725E">
      <w:pPr>
        <w:spacing w:before="120" w:after="120" w:line="360" w:lineRule="auto"/>
        <w:jc w:val="both"/>
        <w:rPr>
          <w:rFonts w:ascii="Open Sans" w:hAnsi="Open Sans" w:cs="Open Sans"/>
        </w:rPr>
      </w:pPr>
      <w:r w:rsidRPr="00F96C26">
        <w:rPr>
          <w:rFonts w:ascii="Open Sans" w:eastAsia="Calibri" w:hAnsi="Open Sans" w:cs="Open Sans"/>
        </w:rPr>
        <w:t xml:space="preserve">The CDC provides forecasts from </w:t>
      </w:r>
      <w:r w:rsidR="00086D64" w:rsidRPr="00F96C26">
        <w:rPr>
          <w:rFonts w:ascii="Open Sans" w:eastAsia="Calibri" w:hAnsi="Open Sans" w:cs="Open Sans"/>
        </w:rPr>
        <w:t xml:space="preserve">over 30 different groups that have provided forecasts of Coronavirus cases and COVID-19 deaths. </w:t>
      </w:r>
      <w:r w:rsidR="008B043D" w:rsidRPr="00F96C26">
        <w:rPr>
          <w:rFonts w:ascii="Open Sans" w:eastAsia="Calibri" w:hAnsi="Open Sans" w:cs="Open Sans"/>
        </w:rPr>
        <w:t xml:space="preserve">They also provide </w:t>
      </w:r>
      <w:r w:rsidR="00B85CBE" w:rsidRPr="00F96C26">
        <w:rPr>
          <w:rFonts w:ascii="Open Sans" w:eastAsia="Calibri" w:hAnsi="Open Sans" w:cs="Open Sans"/>
        </w:rPr>
        <w:t>visualizations</w:t>
      </w:r>
      <w:r w:rsidR="008B043D" w:rsidRPr="00F96C26">
        <w:rPr>
          <w:rFonts w:ascii="Open Sans" w:eastAsia="Calibri" w:hAnsi="Open Sans" w:cs="Open Sans"/>
        </w:rPr>
        <w:t xml:space="preserve"> on their website, showing the variation across models (</w:t>
      </w:r>
      <w:hyperlink r:id="rId13" w:history="1">
        <w:r w:rsidR="008B043D" w:rsidRPr="00F96C26">
          <w:rPr>
            <w:rStyle w:val="Hyperlink"/>
            <w:rFonts w:ascii="Open Sans" w:hAnsi="Open Sans" w:cs="Open Sans"/>
          </w:rPr>
          <w:t>https://www.cdc.gov/coronavirus/2019-ncov/covid-data/mathematical-modeling.html</w:t>
        </w:r>
      </w:hyperlink>
      <w:r w:rsidR="008B043D" w:rsidRPr="00F96C26">
        <w:rPr>
          <w:rFonts w:ascii="Open Sans" w:hAnsi="Open Sans" w:cs="Open Sans"/>
        </w:rPr>
        <w:t>)</w:t>
      </w:r>
      <w:r w:rsidR="00B85CBE">
        <w:rPr>
          <w:rFonts w:ascii="Open Sans" w:hAnsi="Open Sans" w:cs="Open Sans"/>
        </w:rPr>
        <w:t xml:space="preserve">. </w:t>
      </w:r>
      <w:r w:rsidR="00FB6458">
        <w:rPr>
          <w:rFonts w:ascii="Open Sans" w:hAnsi="Open Sans" w:cs="Open Sans"/>
        </w:rPr>
        <w:t xml:space="preserve">This page highlights one issue with data veracity – we have many competing models – or duplicate data sources that tell different stories about risk! </w:t>
      </w:r>
      <w:r w:rsidR="00B901B6">
        <w:rPr>
          <w:rFonts w:ascii="Open Sans" w:hAnsi="Open Sans" w:cs="Open Sans"/>
        </w:rPr>
        <w:t>Thus</w:t>
      </w:r>
      <w:r w:rsidR="007967C4">
        <w:rPr>
          <w:rFonts w:ascii="Open Sans" w:hAnsi="Open Sans" w:cs="Open Sans"/>
        </w:rPr>
        <w:t>,</w:t>
      </w:r>
      <w:r w:rsidR="00B901B6">
        <w:rPr>
          <w:rFonts w:ascii="Open Sans" w:hAnsi="Open Sans" w:cs="Open Sans"/>
        </w:rPr>
        <w:t xml:space="preserve"> making decisions based on this data will be difficult.</w:t>
      </w:r>
      <w:r w:rsidR="002A7A41">
        <w:rPr>
          <w:rFonts w:ascii="Open Sans" w:hAnsi="Open Sans" w:cs="Open Sans"/>
        </w:rPr>
        <w:t xml:space="preserve"> At the time of writing</w:t>
      </w:r>
      <w:r w:rsidR="00D4427A">
        <w:rPr>
          <w:rFonts w:ascii="Open Sans" w:hAnsi="Open Sans" w:cs="Open Sans"/>
        </w:rPr>
        <w:t xml:space="preserve"> this case, the </w:t>
      </w:r>
      <w:r w:rsidR="009D3827">
        <w:rPr>
          <w:rFonts w:ascii="Open Sans" w:hAnsi="Open Sans" w:cs="Open Sans"/>
        </w:rPr>
        <w:t xml:space="preserve">one-week ahead </w:t>
      </w:r>
      <w:r w:rsidR="00D4427A">
        <w:rPr>
          <w:rFonts w:ascii="Open Sans" w:hAnsi="Open Sans" w:cs="Open Sans"/>
        </w:rPr>
        <w:t xml:space="preserve">case forecasts </w:t>
      </w:r>
      <w:r w:rsidR="008C6B8A">
        <w:rPr>
          <w:rFonts w:ascii="Open Sans" w:hAnsi="Open Sans" w:cs="Open Sans"/>
        </w:rPr>
        <w:t xml:space="preserve">for Washington State </w:t>
      </w:r>
      <w:r w:rsidR="00D4427A">
        <w:rPr>
          <w:rFonts w:ascii="Open Sans" w:hAnsi="Open Sans" w:cs="Open Sans"/>
        </w:rPr>
        <w:t xml:space="preserve">from </w:t>
      </w:r>
      <w:r w:rsidR="009D3827">
        <w:rPr>
          <w:rFonts w:ascii="Open Sans" w:hAnsi="Open Sans" w:cs="Open Sans"/>
        </w:rPr>
        <w:t xml:space="preserve">the </w:t>
      </w:r>
      <w:r w:rsidR="00D4427A">
        <w:rPr>
          <w:rFonts w:ascii="Open Sans" w:hAnsi="Open Sans" w:cs="Open Sans"/>
        </w:rPr>
        <w:t xml:space="preserve">19 different providers available in the CDC’s </w:t>
      </w:r>
      <w:r w:rsidR="000A12CD">
        <w:rPr>
          <w:rFonts w:ascii="Open Sans" w:hAnsi="Open Sans" w:cs="Open Sans"/>
        </w:rPr>
        <w:t>file</w:t>
      </w:r>
      <w:r w:rsidR="008C6B8A">
        <w:rPr>
          <w:rFonts w:ascii="Open Sans" w:hAnsi="Open Sans" w:cs="Open Sans"/>
        </w:rPr>
        <w:t>, has a standard deviation of nearly 600.</w:t>
      </w:r>
      <w:r w:rsidR="006F2959">
        <w:rPr>
          <w:rFonts w:ascii="Open Sans" w:hAnsi="Open Sans" w:cs="Open Sans"/>
        </w:rPr>
        <w:t xml:space="preserve"> This file, which is based on forecasts collected by the CDC is dated </w:t>
      </w:r>
      <w:r w:rsidR="008E3596">
        <w:rPr>
          <w:rFonts w:ascii="Open Sans" w:hAnsi="Open Sans" w:cs="Open Sans"/>
        </w:rPr>
        <w:t>9/7/2020.</w:t>
      </w:r>
    </w:p>
    <w:p w14:paraId="22758741" w14:textId="4D2BF812" w:rsidR="009D3827" w:rsidRDefault="009D3827" w:rsidP="004F725E">
      <w:pPr>
        <w:spacing w:before="120" w:after="120" w:line="360" w:lineRule="auto"/>
        <w:jc w:val="both"/>
        <w:rPr>
          <w:rFonts w:ascii="Open Sans" w:hAnsi="Open Sans" w:cs="Open Sans"/>
        </w:rPr>
      </w:pPr>
      <w:r>
        <w:rPr>
          <w:rFonts w:ascii="Open Sans" w:hAnsi="Open Sans" w:cs="Open Sans"/>
        </w:rPr>
        <w:t xml:space="preserve">The standard deviation </w:t>
      </w:r>
      <w:r w:rsidR="00D06AB7">
        <w:rPr>
          <w:rFonts w:ascii="Open Sans" w:hAnsi="Open Sans" w:cs="Open Sans"/>
        </w:rPr>
        <w:t xml:space="preserve">provides us with a measure of dispersion, or uncertainty, </w:t>
      </w:r>
      <w:r w:rsidR="00AA214D">
        <w:rPr>
          <w:rFonts w:ascii="Open Sans" w:hAnsi="Open Sans" w:cs="Open Sans"/>
        </w:rPr>
        <w:t xml:space="preserve">in the forecasts of the case numbers. </w:t>
      </w:r>
      <w:r w:rsidR="005C0F55">
        <w:rPr>
          <w:rFonts w:ascii="Open Sans" w:hAnsi="Open Sans" w:cs="Open Sans"/>
        </w:rPr>
        <w:t xml:space="preserve">The higher the standard deviation of the forecasts, the less certain we can be about relying on any single forecast. </w:t>
      </w:r>
      <w:r w:rsidR="006F2959">
        <w:rPr>
          <w:rFonts w:ascii="Open Sans" w:hAnsi="Open Sans" w:cs="Open Sans"/>
        </w:rPr>
        <w:t xml:space="preserve">This measure will help us understand data veracity. </w:t>
      </w:r>
    </w:p>
    <w:p w14:paraId="3E7F7609" w14:textId="77777777" w:rsidR="00942763" w:rsidRDefault="00942763" w:rsidP="004F725E">
      <w:pPr>
        <w:keepNext/>
        <w:keepLines/>
        <w:spacing w:before="480" w:after="0" w:line="288" w:lineRule="auto"/>
        <w:outlineLvl w:val="0"/>
        <w:rPr>
          <w:rFonts w:ascii="Open Sans" w:eastAsia="Times New Roman" w:hAnsi="Open Sans" w:cs="Open Sans"/>
          <w:b/>
          <w:bCs/>
          <w:smallCaps/>
          <w:color w:val="33006F"/>
          <w:sz w:val="28"/>
          <w:szCs w:val="28"/>
        </w:rPr>
      </w:pPr>
    </w:p>
    <w:p w14:paraId="0625522F" w14:textId="3F5BC41E"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3" w:name="_Toc52021921"/>
      <w:r w:rsidRPr="004F725E">
        <w:rPr>
          <w:rFonts w:ascii="Open Sans" w:eastAsia="Times New Roman" w:hAnsi="Open Sans" w:cs="Open Sans"/>
          <w:b/>
          <w:bCs/>
          <w:smallCaps/>
          <w:color w:val="33006F"/>
          <w:sz w:val="28"/>
          <w:szCs w:val="28"/>
        </w:rPr>
        <w:t xml:space="preserve">Data and </w:t>
      </w:r>
      <w:r>
        <w:rPr>
          <w:rFonts w:ascii="Open Sans" w:eastAsia="Times New Roman" w:hAnsi="Open Sans" w:cs="Open Sans"/>
          <w:b/>
          <w:bCs/>
          <w:smallCaps/>
          <w:color w:val="33006F"/>
          <w:sz w:val="28"/>
          <w:szCs w:val="28"/>
        </w:rPr>
        <w:t xml:space="preserve">Additional </w:t>
      </w:r>
      <w:r w:rsidRPr="004F725E">
        <w:rPr>
          <w:rFonts w:ascii="Open Sans" w:eastAsia="Times New Roman" w:hAnsi="Open Sans" w:cs="Open Sans"/>
          <w:b/>
          <w:bCs/>
          <w:smallCaps/>
          <w:color w:val="33006F"/>
          <w:sz w:val="28"/>
          <w:szCs w:val="28"/>
        </w:rPr>
        <w:t>Resources</w:t>
      </w:r>
      <w:bookmarkEnd w:id="3"/>
    </w:p>
    <w:p w14:paraId="60CE760A" w14:textId="77777777" w:rsidR="004F725E" w:rsidRPr="004F725E" w:rsidRDefault="004F725E" w:rsidP="004F725E">
      <w:pPr>
        <w:spacing w:before="120" w:after="120" w:line="360" w:lineRule="auto"/>
        <w:jc w:val="both"/>
        <w:rPr>
          <w:rFonts w:ascii="Open Sans" w:eastAsia="Calibri" w:hAnsi="Open Sans" w:cs="Open Sans"/>
        </w:rPr>
      </w:pPr>
      <w:r w:rsidRPr="004F725E">
        <w:rPr>
          <w:rFonts w:ascii="Open Sans" w:eastAsia="Calibri" w:hAnsi="Open Sans" w:cs="Open Sans"/>
        </w:rPr>
        <w:t>The following data and resources are available in the case supplement:</w:t>
      </w:r>
    </w:p>
    <w:p w14:paraId="6B935AD6" w14:textId="15C7EE43" w:rsidR="004F725E" w:rsidRPr="004F725E" w:rsidRDefault="004F725E" w:rsidP="004F725E">
      <w:pPr>
        <w:numPr>
          <w:ilvl w:val="0"/>
          <w:numId w:val="1"/>
        </w:numPr>
        <w:spacing w:before="120" w:after="120" w:line="360" w:lineRule="auto"/>
        <w:jc w:val="both"/>
        <w:rPr>
          <w:rFonts w:ascii="Open Sans" w:eastAsia="Calibri" w:hAnsi="Open Sans" w:cs="Open Sans"/>
        </w:rPr>
      </w:pPr>
      <w:r w:rsidRPr="004F725E">
        <w:rPr>
          <w:rFonts w:ascii="Open Sans" w:eastAsia="Calibri" w:hAnsi="Open Sans" w:cs="Open Sans"/>
        </w:rPr>
        <w:t xml:space="preserve">The </w:t>
      </w:r>
      <w:r w:rsidR="00755224">
        <w:rPr>
          <w:rFonts w:ascii="Open Sans" w:eastAsia="Calibri" w:hAnsi="Open Sans" w:cs="Open Sans"/>
        </w:rPr>
        <w:t>underlying data set from t</w:t>
      </w:r>
      <w:r w:rsidR="00711246">
        <w:rPr>
          <w:rFonts w:ascii="Open Sans" w:eastAsia="Calibri" w:hAnsi="Open Sans" w:cs="Open Sans"/>
        </w:rPr>
        <w:t>he CDC as of 09/07/20</w:t>
      </w:r>
      <w:r w:rsidR="0087755A">
        <w:rPr>
          <w:rFonts w:ascii="Open Sans" w:eastAsia="Calibri" w:hAnsi="Open Sans" w:cs="Open Sans"/>
        </w:rPr>
        <w:t>: “2020-09-07-all-forecasted-cases</w:t>
      </w:r>
      <w:r w:rsidR="00D66A4A">
        <w:rPr>
          <w:rFonts w:ascii="Open Sans" w:eastAsia="Calibri" w:hAnsi="Open Sans" w:cs="Open Sans"/>
        </w:rPr>
        <w:t>-model-data.xlsx”</w:t>
      </w:r>
    </w:p>
    <w:p w14:paraId="0E79AC6D" w14:textId="25AB6481" w:rsidR="004F725E" w:rsidRPr="004F725E" w:rsidRDefault="00711246" w:rsidP="004F725E">
      <w:pPr>
        <w:numPr>
          <w:ilvl w:val="0"/>
          <w:numId w:val="1"/>
        </w:numPr>
        <w:spacing w:before="120" w:after="120" w:line="360" w:lineRule="auto"/>
        <w:jc w:val="both"/>
        <w:rPr>
          <w:rFonts w:ascii="Open Sans" w:eastAsia="Calibri" w:hAnsi="Open Sans" w:cs="Open Sans"/>
        </w:rPr>
      </w:pPr>
      <w:r>
        <w:rPr>
          <w:rFonts w:ascii="Open Sans" w:eastAsia="Calibri" w:hAnsi="Open Sans" w:cs="Open Sans"/>
        </w:rPr>
        <w:t>The underlying data from the IHME and variable descriptions</w:t>
      </w:r>
      <w:r w:rsidR="00FF25E4">
        <w:rPr>
          <w:rFonts w:ascii="Open Sans" w:eastAsia="Calibri" w:hAnsi="Open Sans" w:cs="Open Sans"/>
        </w:rPr>
        <w:t xml:space="preserve"> in the folder IHME.</w:t>
      </w:r>
    </w:p>
    <w:p w14:paraId="213D579B" w14:textId="22B0AB8B" w:rsidR="004F725E" w:rsidRPr="004F725E" w:rsidRDefault="004F725E" w:rsidP="004F725E">
      <w:pPr>
        <w:spacing w:after="0" w:line="240" w:lineRule="auto"/>
        <w:rPr>
          <w:rFonts w:ascii="Open Sans" w:eastAsia="Calibri" w:hAnsi="Open Sans" w:cs="Open Sans"/>
        </w:rPr>
      </w:pPr>
    </w:p>
    <w:tbl>
      <w:tblPr>
        <w:tblStyle w:val="TableGrid"/>
        <w:tblpPr w:leftFromText="180" w:rightFromText="180" w:vertAnchor="text" w:horzAnchor="margin" w:tblpY="3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7592"/>
      </w:tblGrid>
      <w:tr w:rsidR="004F725E" w:rsidRPr="004F725E" w14:paraId="3ABDFB1E" w14:textId="77777777" w:rsidTr="00614C8C">
        <w:trPr>
          <w:trHeight w:val="85"/>
        </w:trPr>
        <w:tc>
          <w:tcPr>
            <w:tcW w:w="2087" w:type="dxa"/>
            <w:tcBorders>
              <w:bottom w:val="single" w:sz="4" w:space="0" w:color="auto"/>
            </w:tcBorders>
          </w:tcPr>
          <w:p w14:paraId="495690B0" w14:textId="77777777" w:rsidR="004F725E" w:rsidRPr="004F725E" w:rsidRDefault="004F725E" w:rsidP="004F725E">
            <w:pPr>
              <w:spacing w:line="288" w:lineRule="auto"/>
              <w:rPr>
                <w:rFonts w:ascii="Open Sans" w:eastAsia="Calibri" w:hAnsi="Open Sans" w:cs="Open Sans"/>
                <w:sz w:val="8"/>
              </w:rPr>
            </w:pPr>
          </w:p>
        </w:tc>
        <w:tc>
          <w:tcPr>
            <w:tcW w:w="7741" w:type="dxa"/>
          </w:tcPr>
          <w:p w14:paraId="18F99B0D" w14:textId="77777777" w:rsidR="004F725E" w:rsidRPr="004F725E" w:rsidRDefault="004F725E" w:rsidP="004F725E">
            <w:pPr>
              <w:spacing w:line="288" w:lineRule="auto"/>
              <w:rPr>
                <w:rFonts w:ascii="Open Sans" w:eastAsia="Calibri" w:hAnsi="Open Sans" w:cs="Open Sans"/>
                <w:sz w:val="8"/>
              </w:rPr>
            </w:pPr>
          </w:p>
        </w:tc>
      </w:tr>
      <w:tr w:rsidR="004F725E" w:rsidRPr="004F725E" w14:paraId="2AC86648" w14:textId="77777777" w:rsidTr="00614C8C">
        <w:trPr>
          <w:trHeight w:val="612"/>
        </w:trPr>
        <w:tc>
          <w:tcPr>
            <w:tcW w:w="9828" w:type="dxa"/>
            <w:gridSpan w:val="2"/>
          </w:tcPr>
          <w:p w14:paraId="25578CFC" w14:textId="55F1F774" w:rsidR="004F725E" w:rsidRPr="004F725E" w:rsidRDefault="004F725E" w:rsidP="004F725E">
            <w:pPr>
              <w:jc w:val="both"/>
              <w:rPr>
                <w:rFonts w:ascii="Open Sans" w:eastAsia="Calibri" w:hAnsi="Open Sans" w:cs="Open Sans"/>
              </w:rPr>
            </w:pPr>
            <w:r w:rsidRPr="004F725E">
              <w:rPr>
                <w:rFonts w:ascii="Open Sans" w:eastAsia="Calibri" w:hAnsi="Open Sans" w:cs="Open Sans"/>
                <w:b/>
                <w:color w:val="33006F"/>
                <w:sz w:val="20"/>
              </w:rPr>
              <w:t xml:space="preserve">Acknowledgements: </w:t>
            </w:r>
            <w:r w:rsidRPr="004F725E">
              <w:rPr>
                <w:rFonts w:ascii="Open Sans" w:eastAsia="Calibri" w:hAnsi="Open Sans" w:cs="Open Sans"/>
                <w:sz w:val="20"/>
              </w:rPr>
              <w:t>Th</w:t>
            </w:r>
            <w:r w:rsidR="00AC3ADD">
              <w:rPr>
                <w:rFonts w:ascii="Open Sans" w:eastAsia="Calibri" w:hAnsi="Open Sans" w:cs="Open Sans"/>
                <w:sz w:val="20"/>
              </w:rPr>
              <w:t xml:space="preserve">e first version of this </w:t>
            </w:r>
            <w:r w:rsidRPr="004F725E">
              <w:rPr>
                <w:rFonts w:ascii="Open Sans" w:eastAsia="Calibri" w:hAnsi="Open Sans" w:cs="Open Sans"/>
                <w:sz w:val="20"/>
              </w:rPr>
              <w:t xml:space="preserve">case </w:t>
            </w:r>
            <w:r w:rsidR="00AC3ADD">
              <w:rPr>
                <w:rFonts w:ascii="Open Sans" w:eastAsia="Calibri" w:hAnsi="Open Sans" w:cs="Open Sans"/>
                <w:sz w:val="20"/>
              </w:rPr>
              <w:t xml:space="preserve">was </w:t>
            </w:r>
            <w:r w:rsidRPr="004F725E">
              <w:rPr>
                <w:rFonts w:ascii="Open Sans" w:eastAsia="Calibri" w:hAnsi="Open Sans" w:cs="Open Sans"/>
                <w:sz w:val="20"/>
              </w:rPr>
              <w:t xml:space="preserve">written by Asher Curtis </w:t>
            </w:r>
            <w:r w:rsidR="00DD06AF">
              <w:rPr>
                <w:rFonts w:ascii="Open Sans" w:eastAsia="Calibri" w:hAnsi="Open Sans" w:cs="Open Sans"/>
                <w:sz w:val="20"/>
              </w:rPr>
              <w:t>in March 2020 for the MPAcc Program at UW</w:t>
            </w:r>
            <w:r w:rsidRPr="004F725E">
              <w:rPr>
                <w:rFonts w:ascii="Open Sans" w:eastAsia="Calibri" w:hAnsi="Open Sans" w:cs="Open Sans"/>
                <w:sz w:val="20"/>
              </w:rPr>
              <w:t>.</w:t>
            </w:r>
            <w:r w:rsidR="00AC3ADD">
              <w:rPr>
                <w:rFonts w:ascii="Open Sans" w:eastAsia="Calibri" w:hAnsi="Open Sans" w:cs="Open Sans"/>
                <w:sz w:val="20"/>
              </w:rPr>
              <w:t xml:space="preserve"> This version September 2020. </w:t>
            </w:r>
          </w:p>
        </w:tc>
      </w:tr>
    </w:tbl>
    <w:p w14:paraId="65089D9D" w14:textId="77777777" w:rsidR="004F725E" w:rsidRPr="004F725E" w:rsidRDefault="004F725E" w:rsidP="004F725E">
      <w:pPr>
        <w:spacing w:after="0" w:line="240" w:lineRule="auto"/>
        <w:rPr>
          <w:rFonts w:ascii="Open Sans" w:eastAsia="Calibri" w:hAnsi="Open Sans" w:cs="Open Sans"/>
        </w:rPr>
      </w:pPr>
    </w:p>
    <w:p w14:paraId="07F685F9" w14:textId="449BB49A" w:rsidR="00B07AD7" w:rsidRPr="004F725E" w:rsidRDefault="00202B65">
      <w:pPr>
        <w:rPr>
          <w:rFonts w:ascii="Open Sans" w:hAnsi="Open Sans" w:cs="Open Sans"/>
        </w:rPr>
      </w:pPr>
    </w:p>
    <w:sectPr w:rsidR="00B07AD7" w:rsidRPr="004F725E" w:rsidSect="005334A4">
      <w:headerReference w:type="default" r:id="rId14"/>
      <w:footerReference w:type="default" r:id="rId15"/>
      <w:headerReference w:type="first" r:id="rId16"/>
      <w:footerReference w:type="first" r:id="rId17"/>
      <w:pgSz w:w="12240" w:h="15840" w:code="1"/>
      <w:pgMar w:top="1440" w:right="1440" w:bottom="1440" w:left="1152" w:header="907"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DD8836" w14:textId="77777777" w:rsidR="002E43B6" w:rsidRDefault="002E43B6" w:rsidP="004F725E">
      <w:pPr>
        <w:spacing w:after="0" w:line="240" w:lineRule="auto"/>
      </w:pPr>
      <w:r>
        <w:separator/>
      </w:r>
    </w:p>
  </w:endnote>
  <w:endnote w:type="continuationSeparator" w:id="0">
    <w:p w14:paraId="1429051C" w14:textId="77777777" w:rsidR="002E43B6" w:rsidRDefault="002E43B6" w:rsidP="004F7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0558761"/>
      <w:docPartObj>
        <w:docPartGallery w:val="Page Numbers (Bottom of Page)"/>
        <w:docPartUnique/>
      </w:docPartObj>
    </w:sdtPr>
    <w:sdtEndPr>
      <w:rPr>
        <w:color w:val="33006F"/>
        <w:spacing w:val="60"/>
      </w:rPr>
    </w:sdtEndPr>
    <w:sdtContent>
      <w:p w14:paraId="01BA7024" w14:textId="77777777" w:rsidR="000D0491" w:rsidRDefault="002E43B6" w:rsidP="004F725E">
        <w:pPr>
          <w:pStyle w:val="Footer"/>
          <w:pBdr>
            <w:top w:val="single" w:sz="4" w:space="1" w:color="D9D9D9"/>
          </w:pBdr>
          <w:jc w:val="right"/>
        </w:pPr>
        <w:r w:rsidRPr="005951C3">
          <w:rPr>
            <w:color w:val="33006F"/>
          </w:rPr>
          <w:fldChar w:fldCharType="begin"/>
        </w:r>
        <w:r w:rsidRPr="005951C3">
          <w:rPr>
            <w:color w:val="33006F"/>
          </w:rPr>
          <w:instrText xml:space="preserve"> PAGE   \* MERGEFORMAT </w:instrText>
        </w:r>
        <w:r w:rsidRPr="005951C3">
          <w:rPr>
            <w:color w:val="33006F"/>
          </w:rPr>
          <w:fldChar w:fldCharType="separate"/>
        </w:r>
        <w:r>
          <w:rPr>
            <w:noProof/>
            <w:color w:val="33006F"/>
          </w:rPr>
          <w:t>2</w:t>
        </w:r>
        <w:r w:rsidRPr="005951C3">
          <w:rPr>
            <w:noProof/>
            <w:color w:val="33006F"/>
          </w:rPr>
          <w:fldChar w:fldCharType="end"/>
        </w:r>
        <w:r w:rsidRPr="005951C3">
          <w:rPr>
            <w:color w:val="33006F"/>
          </w:rPr>
          <w:t xml:space="preserve"> | </w:t>
        </w:r>
        <w:r w:rsidRPr="005951C3">
          <w:rPr>
            <w:color w:val="33006F"/>
            <w:spacing w:val="60"/>
          </w:rPr>
          <w:t>Page</w:t>
        </w:r>
      </w:p>
    </w:sdtContent>
  </w:sdt>
  <w:p w14:paraId="686CBD3D" w14:textId="77777777" w:rsidR="000D0491" w:rsidRDefault="00202B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gridCol w:w="1890"/>
    </w:tblGrid>
    <w:tr w:rsidR="000D0491" w:rsidRPr="005951C3" w14:paraId="220E6B16" w14:textId="77777777" w:rsidTr="00E423D7">
      <w:tc>
        <w:tcPr>
          <w:tcW w:w="8298" w:type="dxa"/>
        </w:tcPr>
        <w:p w14:paraId="0A2199AE" w14:textId="77777777" w:rsidR="000D0491" w:rsidRPr="005951C3" w:rsidRDefault="002E43B6" w:rsidP="005951C3">
          <w:pPr>
            <w:spacing w:line="276" w:lineRule="auto"/>
            <w:jc w:val="both"/>
            <w:rPr>
              <w:rFonts w:ascii="Calibri" w:eastAsia="Calibri" w:hAnsi="Calibri" w:cs="Times New Roman"/>
              <w:caps/>
              <w:color w:val="37246A"/>
              <w:sz w:val="18"/>
            </w:rPr>
          </w:pPr>
          <w:r w:rsidRPr="005951C3">
            <w:rPr>
              <w:rFonts w:ascii="Calibri" w:eastAsia="Calibri" w:hAnsi="Calibri" w:cs="Times New Roman"/>
              <w:caps/>
              <w:color w:val="37246A"/>
              <w:sz w:val="18"/>
            </w:rPr>
            <w:t xml:space="preserve">© </w:t>
          </w:r>
          <w:r w:rsidRPr="005951C3">
            <w:rPr>
              <w:rFonts w:ascii="Calibri" w:eastAsia="Calibri" w:hAnsi="Calibri" w:cs="Times New Roman"/>
              <w:color w:val="37246A"/>
              <w:sz w:val="18"/>
            </w:rPr>
            <w:t>The Author(s). This case was prepared by Asher Curtis solely to facilitate class discussion. This case is not intended to serve as an endorsement, source of primary data, or illustrations of effective or ineffective handling of a business situation. All financial data and other information in this case are collected from publicly available information.</w:t>
          </w:r>
        </w:p>
      </w:tc>
      <w:tc>
        <w:tcPr>
          <w:tcW w:w="1890" w:type="dxa"/>
        </w:tcPr>
        <w:p w14:paraId="4611559E" w14:textId="77777777" w:rsidR="000D0491" w:rsidRPr="005951C3" w:rsidRDefault="002E43B6" w:rsidP="005951C3">
          <w:pPr>
            <w:tabs>
              <w:tab w:val="center" w:pos="972"/>
            </w:tabs>
            <w:spacing w:line="276" w:lineRule="auto"/>
            <w:jc w:val="center"/>
            <w:rPr>
              <w:rFonts w:ascii="Calibri" w:eastAsia="Calibri" w:hAnsi="Calibri" w:cs="Times New Roman"/>
              <w:caps/>
              <w:color w:val="37246A"/>
              <w:sz w:val="18"/>
            </w:rPr>
          </w:pPr>
          <w:r w:rsidRPr="005951C3">
            <w:rPr>
              <w:rFonts w:ascii="Calibri" w:eastAsia="Calibri" w:hAnsi="Calibri" w:cs="Times New Roman"/>
              <w:caps/>
              <w:noProof/>
              <w:color w:val="37246A"/>
              <w:sz w:val="18"/>
            </w:rPr>
            <w:drawing>
              <wp:inline distT="0" distB="0" distL="0" distR="0" wp14:anchorId="0EE32FED" wp14:editId="3CB24C13">
                <wp:extent cx="621665" cy="4203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665" cy="420370"/>
                        </a:xfrm>
                        <a:prstGeom prst="rect">
                          <a:avLst/>
                        </a:prstGeom>
                        <a:noFill/>
                      </pic:spPr>
                    </pic:pic>
                  </a:graphicData>
                </a:graphic>
              </wp:inline>
            </w:drawing>
          </w:r>
        </w:p>
      </w:tc>
    </w:tr>
  </w:tbl>
  <w:p w14:paraId="1E2EF8EC" w14:textId="77777777" w:rsidR="000D0491" w:rsidRDefault="00202B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89F448" w14:textId="77777777" w:rsidR="002E43B6" w:rsidRDefault="002E43B6" w:rsidP="004F725E">
      <w:pPr>
        <w:spacing w:after="0" w:line="240" w:lineRule="auto"/>
      </w:pPr>
      <w:r>
        <w:separator/>
      </w:r>
    </w:p>
  </w:footnote>
  <w:footnote w:type="continuationSeparator" w:id="0">
    <w:p w14:paraId="61CB4CA3" w14:textId="77777777" w:rsidR="002E43B6" w:rsidRDefault="002E43B6" w:rsidP="004F725E">
      <w:pPr>
        <w:spacing w:after="0" w:line="240" w:lineRule="auto"/>
      </w:pPr>
      <w:r>
        <w:continuationSeparator/>
      </w:r>
    </w:p>
  </w:footnote>
  <w:footnote w:id="1">
    <w:p w14:paraId="51FB1363" w14:textId="3FD6F16A" w:rsidR="00592476" w:rsidRDefault="00592476">
      <w:pPr>
        <w:pStyle w:val="FootnoteText"/>
      </w:pPr>
      <w:r>
        <w:rPr>
          <w:rStyle w:val="FootnoteReference"/>
        </w:rPr>
        <w:footnoteRef/>
      </w:r>
      <w:r>
        <w:t xml:space="preserve"> See for example EY’s advisory services</w:t>
      </w:r>
      <w:r w:rsidR="00AF5B70">
        <w:t xml:space="preserve"> careers webpage</w:t>
      </w:r>
      <w:r>
        <w:t xml:space="preserve">: </w:t>
      </w:r>
      <w:hyperlink r:id="rId1" w:history="1">
        <w:r w:rsidRPr="00ED2878">
          <w:rPr>
            <w:rStyle w:val="Hyperlink"/>
          </w:rPr>
          <w:t>https://fscareers.ey.com/service-lines/advisory/</w:t>
        </w:r>
      </w:hyperlink>
    </w:p>
  </w:footnote>
  <w:footnote w:id="2">
    <w:p w14:paraId="030C519C" w14:textId="65A6C265" w:rsidR="00C722B5" w:rsidRDefault="00C722B5">
      <w:pPr>
        <w:pStyle w:val="FootnoteText"/>
      </w:pPr>
      <w:r>
        <w:rPr>
          <w:rStyle w:val="FootnoteReference"/>
        </w:rPr>
        <w:footnoteRef/>
      </w:r>
      <w:r>
        <w:t xml:space="preserve"> Source: </w:t>
      </w:r>
      <w:hyperlink r:id="rId2" w:history="1">
        <w:r w:rsidR="00092123">
          <w:rPr>
            <w:rStyle w:val="Hyperlink"/>
          </w:rPr>
          <w:t>https://www.accenture.com/us-en/insights/technology/data-veracity</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93787D" w14:textId="77777777" w:rsidR="000D0491" w:rsidRDefault="00202B65" w:rsidP="006F33FC">
    <w:pPr>
      <w:pStyle w:val="FBLogo"/>
      <w:spacing w:after="120"/>
    </w:pPr>
  </w:p>
  <w:p w14:paraId="32820ED4" w14:textId="77777777" w:rsidR="000D0491" w:rsidRPr="001F60E1" w:rsidRDefault="002E43B6" w:rsidP="001F60E1">
    <w:pPr>
      <w:jc w:val="right"/>
      <w:rPr>
        <w:color w:val="33006F"/>
      </w:rPr>
    </w:pPr>
    <w:r w:rsidRPr="001F60E1">
      <w:rPr>
        <w:color w:val="33006F"/>
      </w:rPr>
      <w:t>Foster School of Business Case</w:t>
    </w:r>
  </w:p>
  <w:p w14:paraId="427FB66E" w14:textId="0137073B" w:rsidR="000D0491" w:rsidRDefault="00BC7C38" w:rsidP="001F60E1">
    <w:pPr>
      <w:jc w:val="right"/>
      <w:rPr>
        <w:color w:val="33006F"/>
      </w:rPr>
    </w:pPr>
    <w:r>
      <w:rPr>
        <w:color w:val="33006F"/>
      </w:rPr>
      <w:t>Business Operations and COVID-19</w:t>
    </w:r>
  </w:p>
  <w:p w14:paraId="38866484" w14:textId="77777777" w:rsidR="000D0491" w:rsidRPr="001F60E1" w:rsidRDefault="00202B65" w:rsidP="001F60E1">
    <w:pPr>
      <w:jc w:val="right"/>
      <w:rPr>
        <w:color w:val="33006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2"/>
      <w:gridCol w:w="6156"/>
    </w:tblGrid>
    <w:tr w:rsidR="000D0491" w14:paraId="0C109FD9" w14:textId="77777777" w:rsidTr="00E423D7">
      <w:trPr>
        <w:trHeight w:val="1174"/>
      </w:trPr>
      <w:tc>
        <w:tcPr>
          <w:tcW w:w="4032" w:type="dxa"/>
        </w:tcPr>
        <w:p w14:paraId="7FB87BE0" w14:textId="77777777" w:rsidR="000D0491" w:rsidRDefault="002E43B6" w:rsidP="00793977">
          <w:pPr>
            <w:pStyle w:val="FBLogo"/>
            <w:spacing w:after="240"/>
            <w:jc w:val="left"/>
          </w:pPr>
          <w:r>
            <w:rPr>
              <w:noProof/>
            </w:rPr>
            <w:drawing>
              <wp:anchor distT="0" distB="0" distL="114300" distR="114300" simplePos="0" relativeHeight="251659264" behindDoc="0" locked="0" layoutInCell="1" allowOverlap="1" wp14:anchorId="057FD480" wp14:editId="1407EB86">
                <wp:simplePos x="0" y="0"/>
                <wp:positionH relativeFrom="column">
                  <wp:posOffset>-43285</wp:posOffset>
                </wp:positionH>
                <wp:positionV relativeFrom="paragraph">
                  <wp:posOffset>6511</wp:posOffset>
                </wp:positionV>
                <wp:extent cx="1864317" cy="712382"/>
                <wp:effectExtent l="0" t="0" r="3175" b="0"/>
                <wp:wrapNone/>
                <wp:docPr id="9" name="Picture 9" descr="C:\Users\beauk\Downloads\Foster_logo_ACC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eauk\Downloads\Foster_logo_ACCT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64317" cy="7123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56" w:type="dxa"/>
        </w:tcPr>
        <w:p w14:paraId="6375400D" w14:textId="77777777" w:rsidR="000D0491" w:rsidRDefault="00202B65" w:rsidP="00793977">
          <w:pPr>
            <w:pStyle w:val="FBLogo"/>
            <w:spacing w:after="240"/>
            <w:ind w:firstLine="18"/>
            <w:jc w:val="left"/>
          </w:pPr>
        </w:p>
        <w:p w14:paraId="24272058" w14:textId="77777777" w:rsidR="000D0491" w:rsidRPr="00793977" w:rsidRDefault="00202B65" w:rsidP="00793977">
          <w:pPr>
            <w:jc w:val="right"/>
          </w:pPr>
        </w:p>
      </w:tc>
    </w:tr>
  </w:tbl>
  <w:p w14:paraId="74D0ED12" w14:textId="77777777" w:rsidR="000D0491" w:rsidRDefault="00202B65" w:rsidP="00793977">
    <w:pPr>
      <w:pStyle w:val="FBLogo"/>
      <w:spacing w:after="24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D23BAF"/>
    <w:multiLevelType w:val="hybridMultilevel"/>
    <w:tmpl w:val="BDECAD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5E"/>
    <w:rsid w:val="000038E6"/>
    <w:rsid w:val="00004D3A"/>
    <w:rsid w:val="00042716"/>
    <w:rsid w:val="00045D45"/>
    <w:rsid w:val="00057F62"/>
    <w:rsid w:val="00070F0A"/>
    <w:rsid w:val="00086D64"/>
    <w:rsid w:val="0008727C"/>
    <w:rsid w:val="00092123"/>
    <w:rsid w:val="000A12CD"/>
    <w:rsid w:val="000A1624"/>
    <w:rsid w:val="000A64FE"/>
    <w:rsid w:val="000A7B16"/>
    <w:rsid w:val="000B09DF"/>
    <w:rsid w:val="00102DBB"/>
    <w:rsid w:val="00111E37"/>
    <w:rsid w:val="001333E3"/>
    <w:rsid w:val="00135952"/>
    <w:rsid w:val="001441ED"/>
    <w:rsid w:val="001474E4"/>
    <w:rsid w:val="001529E5"/>
    <w:rsid w:val="00156D12"/>
    <w:rsid w:val="00160023"/>
    <w:rsid w:val="001651DB"/>
    <w:rsid w:val="00173A6A"/>
    <w:rsid w:val="00190AD0"/>
    <w:rsid w:val="0019419E"/>
    <w:rsid w:val="001A6ACB"/>
    <w:rsid w:val="001C5FDC"/>
    <w:rsid w:val="001D0D81"/>
    <w:rsid w:val="001E3740"/>
    <w:rsid w:val="001E4936"/>
    <w:rsid w:val="001E588D"/>
    <w:rsid w:val="00202B65"/>
    <w:rsid w:val="002062D6"/>
    <w:rsid w:val="00237EF3"/>
    <w:rsid w:val="002554D7"/>
    <w:rsid w:val="00264122"/>
    <w:rsid w:val="00280F71"/>
    <w:rsid w:val="002A585D"/>
    <w:rsid w:val="002A7A41"/>
    <w:rsid w:val="002C5142"/>
    <w:rsid w:val="002C643B"/>
    <w:rsid w:val="002E3D6A"/>
    <w:rsid w:val="002E43B6"/>
    <w:rsid w:val="002F5CDC"/>
    <w:rsid w:val="00314025"/>
    <w:rsid w:val="0032748C"/>
    <w:rsid w:val="00342A26"/>
    <w:rsid w:val="003615E5"/>
    <w:rsid w:val="00363FAC"/>
    <w:rsid w:val="003667F7"/>
    <w:rsid w:val="00377D30"/>
    <w:rsid w:val="00383D11"/>
    <w:rsid w:val="00384710"/>
    <w:rsid w:val="003855C5"/>
    <w:rsid w:val="00392CF5"/>
    <w:rsid w:val="00394109"/>
    <w:rsid w:val="00397531"/>
    <w:rsid w:val="003A1C7E"/>
    <w:rsid w:val="003A3F60"/>
    <w:rsid w:val="003E17EA"/>
    <w:rsid w:val="003F0BB4"/>
    <w:rsid w:val="003F6B78"/>
    <w:rsid w:val="004060D2"/>
    <w:rsid w:val="0041230F"/>
    <w:rsid w:val="00433664"/>
    <w:rsid w:val="004617A5"/>
    <w:rsid w:val="00495AFB"/>
    <w:rsid w:val="004963A3"/>
    <w:rsid w:val="004A7F03"/>
    <w:rsid w:val="004E5ECA"/>
    <w:rsid w:val="004F4207"/>
    <w:rsid w:val="004F725E"/>
    <w:rsid w:val="00527E0F"/>
    <w:rsid w:val="005334A4"/>
    <w:rsid w:val="005479AA"/>
    <w:rsid w:val="00550D13"/>
    <w:rsid w:val="00556674"/>
    <w:rsid w:val="005722C1"/>
    <w:rsid w:val="00592476"/>
    <w:rsid w:val="0059643D"/>
    <w:rsid w:val="005A6A4E"/>
    <w:rsid w:val="005C0F55"/>
    <w:rsid w:val="005C3219"/>
    <w:rsid w:val="005E6160"/>
    <w:rsid w:val="00610E39"/>
    <w:rsid w:val="00615CD4"/>
    <w:rsid w:val="00615F8B"/>
    <w:rsid w:val="00630589"/>
    <w:rsid w:val="00632817"/>
    <w:rsid w:val="00633642"/>
    <w:rsid w:val="006508E3"/>
    <w:rsid w:val="00650A28"/>
    <w:rsid w:val="006518A7"/>
    <w:rsid w:val="006728E8"/>
    <w:rsid w:val="00674620"/>
    <w:rsid w:val="00685361"/>
    <w:rsid w:val="00691442"/>
    <w:rsid w:val="00695AB8"/>
    <w:rsid w:val="006B0B4D"/>
    <w:rsid w:val="006C2068"/>
    <w:rsid w:val="006C4A01"/>
    <w:rsid w:val="006E31B3"/>
    <w:rsid w:val="006E4792"/>
    <w:rsid w:val="006F2959"/>
    <w:rsid w:val="006F5CA9"/>
    <w:rsid w:val="00711246"/>
    <w:rsid w:val="00715DB7"/>
    <w:rsid w:val="00746543"/>
    <w:rsid w:val="00755224"/>
    <w:rsid w:val="00764BC3"/>
    <w:rsid w:val="0077252E"/>
    <w:rsid w:val="007967C4"/>
    <w:rsid w:val="007E03B5"/>
    <w:rsid w:val="007E740D"/>
    <w:rsid w:val="007F6CAD"/>
    <w:rsid w:val="007F783A"/>
    <w:rsid w:val="00807020"/>
    <w:rsid w:val="0083199B"/>
    <w:rsid w:val="008470A0"/>
    <w:rsid w:val="0085144B"/>
    <w:rsid w:val="0087238D"/>
    <w:rsid w:val="0087755A"/>
    <w:rsid w:val="00880BDC"/>
    <w:rsid w:val="008B043D"/>
    <w:rsid w:val="008C274D"/>
    <w:rsid w:val="008C6B8A"/>
    <w:rsid w:val="008E3596"/>
    <w:rsid w:val="008E5AB3"/>
    <w:rsid w:val="008F22F3"/>
    <w:rsid w:val="009252DD"/>
    <w:rsid w:val="00942763"/>
    <w:rsid w:val="00970E91"/>
    <w:rsid w:val="00980B8E"/>
    <w:rsid w:val="00991DA9"/>
    <w:rsid w:val="0099352A"/>
    <w:rsid w:val="00993DDE"/>
    <w:rsid w:val="00993FF0"/>
    <w:rsid w:val="009C402F"/>
    <w:rsid w:val="009C511D"/>
    <w:rsid w:val="009D3827"/>
    <w:rsid w:val="009D5499"/>
    <w:rsid w:val="009E653A"/>
    <w:rsid w:val="009F000A"/>
    <w:rsid w:val="009F7342"/>
    <w:rsid w:val="00A13E73"/>
    <w:rsid w:val="00A24459"/>
    <w:rsid w:val="00A404E0"/>
    <w:rsid w:val="00A61C6A"/>
    <w:rsid w:val="00A66C18"/>
    <w:rsid w:val="00AA214D"/>
    <w:rsid w:val="00AA3FD5"/>
    <w:rsid w:val="00AA6548"/>
    <w:rsid w:val="00AB5541"/>
    <w:rsid w:val="00AC3ADD"/>
    <w:rsid w:val="00AD2E06"/>
    <w:rsid w:val="00AF1995"/>
    <w:rsid w:val="00AF5B70"/>
    <w:rsid w:val="00B24E4F"/>
    <w:rsid w:val="00B32965"/>
    <w:rsid w:val="00B77199"/>
    <w:rsid w:val="00B85CBE"/>
    <w:rsid w:val="00B901B6"/>
    <w:rsid w:val="00B95ECA"/>
    <w:rsid w:val="00BB7ABE"/>
    <w:rsid w:val="00BC7C38"/>
    <w:rsid w:val="00BD4424"/>
    <w:rsid w:val="00BD645C"/>
    <w:rsid w:val="00C049EC"/>
    <w:rsid w:val="00C23948"/>
    <w:rsid w:val="00C66F0C"/>
    <w:rsid w:val="00C722B5"/>
    <w:rsid w:val="00C8089E"/>
    <w:rsid w:val="00C82DB6"/>
    <w:rsid w:val="00C82DFB"/>
    <w:rsid w:val="00C8437D"/>
    <w:rsid w:val="00C9208E"/>
    <w:rsid w:val="00CD556F"/>
    <w:rsid w:val="00CE5A2D"/>
    <w:rsid w:val="00D06AB7"/>
    <w:rsid w:val="00D07524"/>
    <w:rsid w:val="00D31732"/>
    <w:rsid w:val="00D4427A"/>
    <w:rsid w:val="00D66A4A"/>
    <w:rsid w:val="00DC3350"/>
    <w:rsid w:val="00DC7E74"/>
    <w:rsid w:val="00DD06AF"/>
    <w:rsid w:val="00DD3CFA"/>
    <w:rsid w:val="00DE0E80"/>
    <w:rsid w:val="00E2565A"/>
    <w:rsid w:val="00E5781C"/>
    <w:rsid w:val="00E647D1"/>
    <w:rsid w:val="00E81D15"/>
    <w:rsid w:val="00E85070"/>
    <w:rsid w:val="00ED45C9"/>
    <w:rsid w:val="00ED7006"/>
    <w:rsid w:val="00EE3B88"/>
    <w:rsid w:val="00F1200A"/>
    <w:rsid w:val="00F26D59"/>
    <w:rsid w:val="00F35711"/>
    <w:rsid w:val="00F72A1C"/>
    <w:rsid w:val="00F7311B"/>
    <w:rsid w:val="00F81F2B"/>
    <w:rsid w:val="00F96C26"/>
    <w:rsid w:val="00FB5643"/>
    <w:rsid w:val="00FB5C84"/>
    <w:rsid w:val="00FB6458"/>
    <w:rsid w:val="00FF0E90"/>
    <w:rsid w:val="00FF146F"/>
    <w:rsid w:val="00FF2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67010C4"/>
  <w15:chartTrackingRefBased/>
  <w15:docId w15:val="{629F6F6F-AE80-4CA4-BF41-5AFFFB7F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4F725E"/>
    <w:pPr>
      <w:spacing w:after="1613" w:line="288" w:lineRule="auto"/>
      <w:ind w:right="-720"/>
      <w:contextualSpacing/>
      <w:jc w:val="right"/>
    </w:pPr>
  </w:style>
  <w:style w:type="paragraph" w:styleId="Footer">
    <w:name w:val="footer"/>
    <w:basedOn w:val="Normal"/>
    <w:link w:val="FooterChar"/>
    <w:uiPriority w:val="99"/>
    <w:unhideWhenUsed/>
    <w:rsid w:val="004F7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25E"/>
  </w:style>
  <w:style w:type="table" w:styleId="TableGrid">
    <w:name w:val="Table Grid"/>
    <w:basedOn w:val="TableNormal"/>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7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25E"/>
  </w:style>
  <w:style w:type="paragraph" w:styleId="TOC1">
    <w:name w:val="toc 1"/>
    <w:basedOn w:val="Normal"/>
    <w:next w:val="Normal"/>
    <w:autoRedefine/>
    <w:uiPriority w:val="39"/>
    <w:unhideWhenUsed/>
    <w:rsid w:val="000B09DF"/>
    <w:pPr>
      <w:spacing w:after="100"/>
    </w:pPr>
  </w:style>
  <w:style w:type="character" w:styleId="Hyperlink">
    <w:name w:val="Hyperlink"/>
    <w:basedOn w:val="DefaultParagraphFont"/>
    <w:uiPriority w:val="99"/>
    <w:unhideWhenUsed/>
    <w:rsid w:val="000B09DF"/>
    <w:rPr>
      <w:color w:val="0563C1" w:themeColor="hyperlink"/>
      <w:u w:val="single"/>
    </w:rPr>
  </w:style>
  <w:style w:type="paragraph" w:styleId="FootnoteText">
    <w:name w:val="footnote text"/>
    <w:basedOn w:val="Normal"/>
    <w:link w:val="FootnoteTextChar"/>
    <w:uiPriority w:val="99"/>
    <w:semiHidden/>
    <w:unhideWhenUsed/>
    <w:rsid w:val="005924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2476"/>
    <w:rPr>
      <w:sz w:val="20"/>
      <w:szCs w:val="20"/>
    </w:rPr>
  </w:style>
  <w:style w:type="character" w:styleId="FootnoteReference">
    <w:name w:val="footnote reference"/>
    <w:basedOn w:val="DefaultParagraphFont"/>
    <w:uiPriority w:val="99"/>
    <w:semiHidden/>
    <w:unhideWhenUsed/>
    <w:rsid w:val="00592476"/>
    <w:rPr>
      <w:vertAlign w:val="superscript"/>
    </w:rPr>
  </w:style>
  <w:style w:type="character" w:styleId="UnresolvedMention">
    <w:name w:val="Unresolved Mention"/>
    <w:basedOn w:val="DefaultParagraphFont"/>
    <w:uiPriority w:val="99"/>
    <w:semiHidden/>
    <w:unhideWhenUsed/>
    <w:rsid w:val="00592476"/>
    <w:rPr>
      <w:color w:val="605E5C"/>
      <w:shd w:val="clear" w:color="auto" w:fill="E1DFDD"/>
    </w:rPr>
  </w:style>
  <w:style w:type="paragraph" w:styleId="ListParagraph">
    <w:name w:val="List Paragraph"/>
    <w:basedOn w:val="Normal"/>
    <w:uiPriority w:val="34"/>
    <w:qFormat/>
    <w:rsid w:val="00B771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dc.gov/coronavirus/2019-ncov/covid-data/mathematical-modeling.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vid19.healthdata.org/global?view=total-deaths&amp;tab=trend"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ealthdata.org/"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www.accenture.com/us-en/insights/technology/data-veracity" TargetMode="External"/><Relationship Id="rId1" Type="http://schemas.openxmlformats.org/officeDocument/2006/relationships/hyperlink" Target="https://fscareers.ey.com/service-lines/advisory/"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04735CF7814E419237D188CCA99D12" ma:contentTypeVersion="13" ma:contentTypeDescription="Create a new document." ma:contentTypeScope="" ma:versionID="2d7b19871882bc8398f25739d12e0e0d">
  <xsd:schema xmlns:xsd="http://www.w3.org/2001/XMLSchema" xmlns:xs="http://www.w3.org/2001/XMLSchema" xmlns:p="http://schemas.microsoft.com/office/2006/metadata/properties" xmlns:ns3="5c288162-3a0f-49b6-8fe2-59156172891e" xmlns:ns4="f8a977ae-6c68-4349-a9b4-32a805694cd6" targetNamespace="http://schemas.microsoft.com/office/2006/metadata/properties" ma:root="true" ma:fieldsID="926ecdaf9993fb70d2558f4d610f965c" ns3:_="" ns4:_="">
    <xsd:import namespace="5c288162-3a0f-49b6-8fe2-59156172891e"/>
    <xsd:import namespace="f8a977ae-6c68-4349-a9b4-32a805694cd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88162-3a0f-49b6-8fe2-5915617289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a977ae-6c68-4349-a9b4-32a805694cd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169CB-17C8-447E-9BE0-FDF01678B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88162-3a0f-49b6-8fe2-59156172891e"/>
    <ds:schemaRef ds:uri="f8a977ae-6c68-4349-a9b4-32a805694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2DD196-389E-4154-87F0-FF83E907078C}">
  <ds:schemaRefs>
    <ds:schemaRef ds:uri="http://schemas.microsoft.com/sharepoint/v3/contenttype/forms"/>
  </ds:schemaRefs>
</ds:datastoreItem>
</file>

<file path=customXml/itemProps3.xml><?xml version="1.0" encoding="utf-8"?>
<ds:datastoreItem xmlns:ds="http://schemas.openxmlformats.org/officeDocument/2006/customXml" ds:itemID="{407E4C41-9AF4-4AD3-A36C-6CA19192BF57}">
  <ds:schemaRefs>
    <ds:schemaRef ds:uri="http://www.w3.org/XML/1998/namespace"/>
    <ds:schemaRef ds:uri="f8a977ae-6c68-4349-a9b4-32a805694cd6"/>
    <ds:schemaRef ds:uri="http://purl.org/dc/terms/"/>
    <ds:schemaRef ds:uri="http://purl.org/dc/elements/1.1/"/>
    <ds:schemaRef ds:uri="5c288162-3a0f-49b6-8fe2-59156172891e"/>
    <ds:schemaRef ds:uri="http://purl.org/dc/dcmitype/"/>
    <ds:schemaRef ds:uri="http://schemas.microsoft.com/office/2006/documentManagement/types"/>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C088AC08-AE3B-4504-ADD0-AD557B953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954</TotalTime>
  <Pages>5</Pages>
  <Words>1064</Words>
  <Characters>6183</Characters>
  <Application>Microsoft Office Word</Application>
  <DocSecurity>0</DocSecurity>
  <Lines>104</Lines>
  <Paragraphs>37</Paragraphs>
  <ScaleCrop>false</ScaleCrop>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Curtis</dc:creator>
  <cp:keywords/>
  <dc:description/>
  <cp:lastModifiedBy>Asher Curtis</cp:lastModifiedBy>
  <cp:revision>207</cp:revision>
  <dcterms:created xsi:type="dcterms:W3CDTF">2020-09-15T21:39:00Z</dcterms:created>
  <dcterms:modified xsi:type="dcterms:W3CDTF">2020-09-26T21:11:00Z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0x0101007704735CF7814E419237D188CCA99D12</vt:lpwstr>
  </property>
</Properties>
</file>