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7D907" w14:textId="2A489FA8" w:rsidR="004F725E" w:rsidRPr="004F725E" w:rsidRDefault="00A265FE" w:rsidP="004F725E">
      <w:pPr>
        <w:spacing w:before="240" w:after="240" w:line="240" w:lineRule="auto"/>
        <w:jc w:val="center"/>
        <w:rPr>
          <w:rFonts w:ascii="Open Sans" w:eastAsia="Calibri" w:hAnsi="Open Sans" w:cs="Open Sans"/>
          <w:b/>
          <w:color w:val="33006F"/>
          <w:sz w:val="40"/>
          <w:szCs w:val="32"/>
        </w:rPr>
      </w:pPr>
      <w:r w:rsidRPr="00A265FE">
        <w:rPr>
          <w:rFonts w:ascii="Open Sans" w:eastAsia="Calibri" w:hAnsi="Open Sans" w:cs="Open Sans"/>
          <w:b/>
          <w:color w:val="33006F"/>
          <w:sz w:val="40"/>
          <w:szCs w:val="32"/>
        </w:rPr>
        <w:t>Environmental, Social, Governance (ESG) Disclosure Trends</w:t>
      </w:r>
    </w:p>
    <w:p w14:paraId="234D9F10" w14:textId="77777777" w:rsidR="004F725E" w:rsidRPr="004F725E" w:rsidRDefault="004F725E" w:rsidP="004F725E">
      <w:pPr>
        <w:spacing w:before="240" w:after="240" w:line="240" w:lineRule="auto"/>
        <w:jc w:val="center"/>
        <w:rPr>
          <w:rFonts w:ascii="Open Sans" w:eastAsia="Calibri" w:hAnsi="Open Sans" w:cs="Open Sans"/>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4F725E" w:rsidRPr="004F725E" w14:paraId="6C2E07F1" w14:textId="77777777" w:rsidTr="004F725E">
        <w:tc>
          <w:tcPr>
            <w:tcW w:w="2250" w:type="dxa"/>
          </w:tcPr>
          <w:p w14:paraId="73DBE128" w14:textId="56929BA7"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5559AC26" w14:textId="6E9B65B0" w:rsidR="004F725E" w:rsidRPr="004F725E" w:rsidRDefault="006F0160"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Voluntary disclosures</w:t>
            </w:r>
            <w:r w:rsidR="004F725E" w:rsidRPr="004F725E">
              <w:rPr>
                <w:rFonts w:ascii="Open Sans" w:eastAsia="Calibri" w:hAnsi="Open Sans" w:cs="Open Sans"/>
                <w:b/>
                <w:color w:val="000000"/>
                <w:sz w:val="24"/>
                <w:szCs w:val="24"/>
              </w:rPr>
              <w:t>.</w:t>
            </w:r>
          </w:p>
        </w:tc>
      </w:tr>
      <w:tr w:rsidR="004F725E" w:rsidRPr="004F725E" w14:paraId="7F424A5F" w14:textId="77777777" w:rsidTr="004F725E">
        <w:tc>
          <w:tcPr>
            <w:tcW w:w="2250" w:type="dxa"/>
          </w:tcPr>
          <w:p w14:paraId="3CF39619" w14:textId="00D71D38" w:rsidR="004F725E" w:rsidRPr="004F725E" w:rsidRDefault="004F725E" w:rsidP="004F725E">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7D20623" w14:textId="612AC9E1" w:rsidR="004F725E" w:rsidRPr="004F725E" w:rsidRDefault="006F0160" w:rsidP="004F725E">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Trend analysis, drill-downs, and comparisons</w:t>
            </w:r>
            <w:r w:rsidR="004F725E" w:rsidRPr="004F725E">
              <w:rPr>
                <w:rFonts w:ascii="Open Sans" w:eastAsia="Calibri" w:hAnsi="Open Sans" w:cs="Open Sans"/>
                <w:b/>
                <w:color w:val="000000"/>
                <w:sz w:val="24"/>
                <w:szCs w:val="24"/>
              </w:rPr>
              <w:t>.</w:t>
            </w:r>
          </w:p>
        </w:tc>
      </w:tr>
    </w:tbl>
    <w:sdt>
      <w:sdtPr>
        <w:rPr>
          <w:rFonts w:ascii="Open Sans" w:eastAsia="Times New Roman" w:hAnsi="Open Sans" w:cs="Open Sans"/>
          <w:color w:val="33006F"/>
          <w:lang w:eastAsia="ja-JP"/>
        </w:rPr>
        <w:id w:val="-360892776"/>
        <w:docPartObj>
          <w:docPartGallery w:val="Table of Contents"/>
          <w:docPartUnique/>
        </w:docPartObj>
      </w:sdtPr>
      <w:sdtEndPr>
        <w:rPr>
          <w:noProof/>
        </w:rPr>
      </w:sdtEndPr>
      <w:sdtContent>
        <w:p w14:paraId="2D2C20AA" w14:textId="77777777" w:rsidR="004F725E" w:rsidRPr="004F725E" w:rsidRDefault="004F725E" w:rsidP="004F725E">
          <w:pPr>
            <w:keepNext/>
            <w:keepLines/>
            <w:spacing w:before="480" w:after="0" w:line="276" w:lineRule="auto"/>
            <w:rPr>
              <w:rFonts w:ascii="Open Sans" w:eastAsia="Times New Roman" w:hAnsi="Open Sans" w:cs="Open Sans"/>
              <w:b/>
              <w:bCs/>
              <w:color w:val="33006F"/>
              <w:sz w:val="28"/>
              <w:szCs w:val="28"/>
              <w:lang w:eastAsia="ja-JP"/>
            </w:rPr>
          </w:pPr>
          <w:r w:rsidRPr="004F725E">
            <w:rPr>
              <w:rFonts w:ascii="Open Sans" w:eastAsia="Times New Roman" w:hAnsi="Open Sans" w:cs="Open Sans"/>
              <w:b/>
              <w:bCs/>
              <w:color w:val="33006F"/>
              <w:sz w:val="28"/>
              <w:szCs w:val="28"/>
              <w:lang w:eastAsia="ja-JP"/>
            </w:rPr>
            <w:t>Contents</w:t>
          </w:r>
        </w:p>
        <w:p w14:paraId="2AE275F1" w14:textId="2A9265DF" w:rsidR="006F0160" w:rsidRDefault="004F725E">
          <w:pPr>
            <w:pStyle w:val="TOC1"/>
            <w:tabs>
              <w:tab w:val="right" w:leader="dot" w:pos="9638"/>
            </w:tabs>
            <w:rPr>
              <w:rFonts w:eastAsiaTheme="minorEastAsia"/>
              <w:noProof/>
            </w:rPr>
          </w:pPr>
          <w:r w:rsidRPr="004F725E">
            <w:rPr>
              <w:rFonts w:ascii="Open Sans" w:eastAsia="Times New Roman" w:hAnsi="Open Sans" w:cs="Open Sans"/>
              <w:color w:val="33006F"/>
              <w:lang w:eastAsia="ja-JP"/>
            </w:rPr>
            <w:fldChar w:fldCharType="begin"/>
          </w:r>
          <w:r w:rsidRPr="004F725E">
            <w:rPr>
              <w:rFonts w:ascii="Open Sans" w:eastAsia="Times New Roman" w:hAnsi="Open Sans" w:cs="Open Sans"/>
              <w:color w:val="33006F"/>
              <w:lang w:eastAsia="ja-JP"/>
            </w:rPr>
            <w:instrText xml:space="preserve"> TOC \o "1-3" \h \z \u </w:instrText>
          </w:r>
          <w:r w:rsidRPr="004F725E">
            <w:rPr>
              <w:rFonts w:ascii="Open Sans" w:eastAsia="Times New Roman" w:hAnsi="Open Sans" w:cs="Open Sans"/>
              <w:color w:val="33006F"/>
              <w:lang w:eastAsia="ja-JP"/>
            </w:rPr>
            <w:fldChar w:fldCharType="separate"/>
          </w:r>
          <w:hyperlink w:anchor="_Toc52021187" w:history="1">
            <w:r w:rsidR="006F0160" w:rsidRPr="00131344">
              <w:rPr>
                <w:rStyle w:val="Hyperlink"/>
                <w:rFonts w:ascii="Open Sans" w:eastAsia="Times New Roman" w:hAnsi="Open Sans" w:cs="Open Sans"/>
                <w:b/>
                <w:bCs/>
                <w:smallCaps/>
                <w:noProof/>
              </w:rPr>
              <w:t>Case Brief</w:t>
            </w:r>
            <w:r w:rsidR="006F0160">
              <w:rPr>
                <w:noProof/>
                <w:webHidden/>
              </w:rPr>
              <w:tab/>
            </w:r>
            <w:r w:rsidR="006F0160">
              <w:rPr>
                <w:noProof/>
                <w:webHidden/>
              </w:rPr>
              <w:fldChar w:fldCharType="begin"/>
            </w:r>
            <w:r w:rsidR="006F0160">
              <w:rPr>
                <w:noProof/>
                <w:webHidden/>
              </w:rPr>
              <w:instrText xml:space="preserve"> PAGEREF _Toc52021187 \h </w:instrText>
            </w:r>
            <w:r w:rsidR="006F0160">
              <w:rPr>
                <w:noProof/>
                <w:webHidden/>
              </w:rPr>
            </w:r>
            <w:r w:rsidR="006F0160">
              <w:rPr>
                <w:noProof/>
                <w:webHidden/>
              </w:rPr>
              <w:fldChar w:fldCharType="separate"/>
            </w:r>
            <w:r w:rsidR="009C049E">
              <w:rPr>
                <w:noProof/>
                <w:webHidden/>
              </w:rPr>
              <w:t>2</w:t>
            </w:r>
            <w:r w:rsidR="006F0160">
              <w:rPr>
                <w:noProof/>
                <w:webHidden/>
              </w:rPr>
              <w:fldChar w:fldCharType="end"/>
            </w:r>
          </w:hyperlink>
        </w:p>
        <w:p w14:paraId="4CD36848" w14:textId="32B0DF3C" w:rsidR="006F0160" w:rsidRDefault="00000000">
          <w:pPr>
            <w:pStyle w:val="TOC1"/>
            <w:tabs>
              <w:tab w:val="right" w:leader="dot" w:pos="9638"/>
            </w:tabs>
            <w:rPr>
              <w:rFonts w:eastAsiaTheme="minorEastAsia"/>
              <w:noProof/>
            </w:rPr>
          </w:pPr>
          <w:hyperlink w:anchor="_Toc52021188" w:history="1">
            <w:r w:rsidR="006F0160" w:rsidRPr="00131344">
              <w:rPr>
                <w:rStyle w:val="Hyperlink"/>
                <w:rFonts w:ascii="Open Sans" w:eastAsia="Times New Roman" w:hAnsi="Open Sans" w:cs="Open Sans"/>
                <w:b/>
                <w:bCs/>
                <w:smallCaps/>
                <w:noProof/>
              </w:rPr>
              <w:t>Background</w:t>
            </w:r>
            <w:r w:rsidR="006F0160">
              <w:rPr>
                <w:noProof/>
                <w:webHidden/>
              </w:rPr>
              <w:tab/>
            </w:r>
            <w:r w:rsidR="006F0160">
              <w:rPr>
                <w:noProof/>
                <w:webHidden/>
              </w:rPr>
              <w:fldChar w:fldCharType="begin"/>
            </w:r>
            <w:r w:rsidR="006F0160">
              <w:rPr>
                <w:noProof/>
                <w:webHidden/>
              </w:rPr>
              <w:instrText xml:space="preserve"> PAGEREF _Toc52021188 \h </w:instrText>
            </w:r>
            <w:r w:rsidR="006F0160">
              <w:rPr>
                <w:noProof/>
                <w:webHidden/>
              </w:rPr>
            </w:r>
            <w:r w:rsidR="006F0160">
              <w:rPr>
                <w:noProof/>
                <w:webHidden/>
              </w:rPr>
              <w:fldChar w:fldCharType="separate"/>
            </w:r>
            <w:r w:rsidR="009C049E">
              <w:rPr>
                <w:noProof/>
                <w:webHidden/>
              </w:rPr>
              <w:t>2</w:t>
            </w:r>
            <w:r w:rsidR="006F0160">
              <w:rPr>
                <w:noProof/>
                <w:webHidden/>
              </w:rPr>
              <w:fldChar w:fldCharType="end"/>
            </w:r>
          </w:hyperlink>
        </w:p>
        <w:p w14:paraId="655461CE" w14:textId="70CB848B" w:rsidR="006F0160" w:rsidRDefault="00000000">
          <w:pPr>
            <w:pStyle w:val="TOC1"/>
            <w:tabs>
              <w:tab w:val="right" w:leader="dot" w:pos="9638"/>
            </w:tabs>
            <w:rPr>
              <w:rFonts w:eastAsiaTheme="minorEastAsia"/>
              <w:noProof/>
            </w:rPr>
          </w:pPr>
          <w:hyperlink w:anchor="_Toc52021189" w:history="1">
            <w:r w:rsidR="006F0160" w:rsidRPr="00131344">
              <w:rPr>
                <w:rStyle w:val="Hyperlink"/>
                <w:rFonts w:ascii="Open Sans" w:eastAsia="Times New Roman" w:hAnsi="Open Sans" w:cs="Open Sans"/>
                <w:b/>
                <w:bCs/>
                <w:smallCaps/>
                <w:noProof/>
              </w:rPr>
              <w:t>Accounting Analytics</w:t>
            </w:r>
            <w:r w:rsidR="006F0160">
              <w:rPr>
                <w:noProof/>
                <w:webHidden/>
              </w:rPr>
              <w:tab/>
            </w:r>
            <w:r w:rsidR="006F0160">
              <w:rPr>
                <w:noProof/>
                <w:webHidden/>
              </w:rPr>
              <w:fldChar w:fldCharType="begin"/>
            </w:r>
            <w:r w:rsidR="006F0160">
              <w:rPr>
                <w:noProof/>
                <w:webHidden/>
              </w:rPr>
              <w:instrText xml:space="preserve"> PAGEREF _Toc52021189 \h </w:instrText>
            </w:r>
            <w:r w:rsidR="006F0160">
              <w:rPr>
                <w:noProof/>
                <w:webHidden/>
              </w:rPr>
            </w:r>
            <w:r w:rsidR="006F0160">
              <w:rPr>
                <w:noProof/>
                <w:webHidden/>
              </w:rPr>
              <w:fldChar w:fldCharType="separate"/>
            </w:r>
            <w:r w:rsidR="009C049E">
              <w:rPr>
                <w:noProof/>
                <w:webHidden/>
              </w:rPr>
              <w:t>2</w:t>
            </w:r>
            <w:r w:rsidR="006F0160">
              <w:rPr>
                <w:noProof/>
                <w:webHidden/>
              </w:rPr>
              <w:fldChar w:fldCharType="end"/>
            </w:r>
          </w:hyperlink>
        </w:p>
        <w:p w14:paraId="7138F8E5" w14:textId="443A3A0A" w:rsidR="006F0160" w:rsidRDefault="00000000">
          <w:pPr>
            <w:pStyle w:val="TOC1"/>
            <w:tabs>
              <w:tab w:val="right" w:leader="dot" w:pos="9638"/>
            </w:tabs>
            <w:rPr>
              <w:rFonts w:eastAsiaTheme="minorEastAsia"/>
              <w:noProof/>
            </w:rPr>
          </w:pPr>
          <w:hyperlink w:anchor="_Toc52021190" w:history="1">
            <w:r w:rsidR="006F0160" w:rsidRPr="00131344">
              <w:rPr>
                <w:rStyle w:val="Hyperlink"/>
                <w:rFonts w:ascii="Open Sans" w:eastAsia="Times New Roman" w:hAnsi="Open Sans" w:cs="Open Sans"/>
                <w:b/>
                <w:bCs/>
                <w:smallCaps/>
                <w:noProof/>
              </w:rPr>
              <w:t>Data and Additional Resources</w:t>
            </w:r>
            <w:r w:rsidR="006F0160">
              <w:rPr>
                <w:noProof/>
                <w:webHidden/>
              </w:rPr>
              <w:tab/>
            </w:r>
            <w:r w:rsidR="006F0160">
              <w:rPr>
                <w:noProof/>
                <w:webHidden/>
              </w:rPr>
              <w:fldChar w:fldCharType="begin"/>
            </w:r>
            <w:r w:rsidR="006F0160">
              <w:rPr>
                <w:noProof/>
                <w:webHidden/>
              </w:rPr>
              <w:instrText xml:space="preserve"> PAGEREF _Toc52021190 \h </w:instrText>
            </w:r>
            <w:r w:rsidR="006F0160">
              <w:rPr>
                <w:noProof/>
                <w:webHidden/>
              </w:rPr>
            </w:r>
            <w:r w:rsidR="006F0160">
              <w:rPr>
                <w:noProof/>
                <w:webHidden/>
              </w:rPr>
              <w:fldChar w:fldCharType="separate"/>
            </w:r>
            <w:r w:rsidR="009C049E">
              <w:rPr>
                <w:noProof/>
                <w:webHidden/>
              </w:rPr>
              <w:t>3</w:t>
            </w:r>
            <w:r w:rsidR="006F0160">
              <w:rPr>
                <w:noProof/>
                <w:webHidden/>
              </w:rPr>
              <w:fldChar w:fldCharType="end"/>
            </w:r>
          </w:hyperlink>
        </w:p>
        <w:p w14:paraId="2BD28142" w14:textId="31B159F6" w:rsidR="004F725E" w:rsidRPr="004F725E" w:rsidRDefault="004F725E" w:rsidP="004F725E">
          <w:pPr>
            <w:tabs>
              <w:tab w:val="right" w:leader="dot" w:pos="7838"/>
            </w:tabs>
            <w:spacing w:after="100" w:line="276" w:lineRule="auto"/>
            <w:rPr>
              <w:rFonts w:ascii="Open Sans" w:eastAsia="Times New Roman" w:hAnsi="Open Sans" w:cs="Open Sans"/>
              <w:color w:val="33006F"/>
              <w:lang w:eastAsia="ja-JP"/>
            </w:rPr>
          </w:pPr>
          <w:r w:rsidRPr="004F725E">
            <w:rPr>
              <w:rFonts w:ascii="Open Sans" w:eastAsia="Times New Roman" w:hAnsi="Open Sans" w:cs="Open Sans"/>
              <w:b/>
              <w:bCs/>
              <w:noProof/>
              <w:color w:val="33006F"/>
              <w:lang w:eastAsia="ja-JP"/>
            </w:rPr>
            <w:fldChar w:fldCharType="end"/>
          </w:r>
        </w:p>
      </w:sdtContent>
    </w:sdt>
    <w:p w14:paraId="45B58623" w14:textId="77777777" w:rsidR="004F725E" w:rsidRPr="004F725E" w:rsidRDefault="004F725E" w:rsidP="004F725E">
      <w:pPr>
        <w:spacing w:after="0" w:line="240" w:lineRule="auto"/>
        <w:rPr>
          <w:rFonts w:ascii="Open Sans" w:eastAsia="Calibri" w:hAnsi="Open Sans" w:cs="Open Sans"/>
        </w:rPr>
      </w:pPr>
      <w:r w:rsidRPr="004F725E">
        <w:rPr>
          <w:rFonts w:ascii="Open Sans" w:eastAsia="Calibri" w:hAnsi="Open Sans" w:cs="Open Sans"/>
        </w:rPr>
        <w:br w:type="page"/>
      </w:r>
    </w:p>
    <w:p w14:paraId="5FE7B94A" w14:textId="03021601" w:rsid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0" w:name="_Toc52021187"/>
      <w:r w:rsidRPr="004F725E">
        <w:rPr>
          <w:rFonts w:ascii="Open Sans" w:eastAsia="Times New Roman" w:hAnsi="Open Sans" w:cs="Open Sans"/>
          <w:b/>
          <w:bCs/>
          <w:smallCaps/>
          <w:color w:val="33006F"/>
          <w:sz w:val="28"/>
          <w:szCs w:val="28"/>
        </w:rPr>
        <w:lastRenderedPageBreak/>
        <w:t>Case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7934"/>
        <w:gridCol w:w="893"/>
      </w:tblGrid>
      <w:tr w:rsidR="004F725E" w:rsidRPr="004F725E" w14:paraId="00FBA265" w14:textId="77777777" w:rsidTr="00A265FE">
        <w:tc>
          <w:tcPr>
            <w:tcW w:w="821" w:type="dxa"/>
          </w:tcPr>
          <w:p w14:paraId="57BC3E26" w14:textId="77777777" w:rsidR="004F725E" w:rsidRPr="004F725E" w:rsidRDefault="004F725E" w:rsidP="004F725E">
            <w:pPr>
              <w:spacing w:before="120" w:after="120" w:line="360" w:lineRule="auto"/>
              <w:jc w:val="both"/>
              <w:rPr>
                <w:rFonts w:ascii="Open Sans" w:eastAsia="Calibri" w:hAnsi="Open Sans" w:cs="Open Sans"/>
              </w:rPr>
            </w:pPr>
          </w:p>
        </w:tc>
        <w:tc>
          <w:tcPr>
            <w:tcW w:w="7934" w:type="dxa"/>
          </w:tcPr>
          <w:p w14:paraId="6BA911B7" w14:textId="0F294163" w:rsidR="004F725E" w:rsidRPr="004F725E" w:rsidRDefault="004C4A93" w:rsidP="00A265FE">
            <w:pPr>
              <w:spacing w:before="120" w:after="120" w:line="360" w:lineRule="auto"/>
              <w:jc w:val="both"/>
              <w:rPr>
                <w:rFonts w:ascii="Open Sans" w:eastAsia="Calibri" w:hAnsi="Open Sans" w:cs="Open Sans"/>
                <w:i/>
              </w:rPr>
            </w:pPr>
            <w:r>
              <w:rPr>
                <w:rFonts w:ascii="Open Sans" w:eastAsia="Calibri" w:hAnsi="Open Sans" w:cs="Open Sans"/>
                <w:i/>
              </w:rPr>
              <w:t xml:space="preserve">Which companies have been improving their </w:t>
            </w:r>
            <w:r w:rsidR="00A265FE" w:rsidRPr="00A265FE">
              <w:rPr>
                <w:rFonts w:ascii="Open Sans" w:eastAsia="Calibri" w:hAnsi="Open Sans" w:cs="Open Sans"/>
                <w:i/>
              </w:rPr>
              <w:t>sustainability reporting?</w:t>
            </w:r>
          </w:p>
        </w:tc>
        <w:tc>
          <w:tcPr>
            <w:tcW w:w="893" w:type="dxa"/>
          </w:tcPr>
          <w:p w14:paraId="5019987C" w14:textId="77777777" w:rsidR="004F725E" w:rsidRPr="004F725E" w:rsidRDefault="004F725E" w:rsidP="004F725E">
            <w:pPr>
              <w:spacing w:before="120" w:after="120" w:line="360" w:lineRule="auto"/>
              <w:jc w:val="both"/>
              <w:rPr>
                <w:rFonts w:ascii="Open Sans" w:eastAsia="Calibri" w:hAnsi="Open Sans" w:cs="Open Sans"/>
              </w:rPr>
            </w:pPr>
          </w:p>
        </w:tc>
      </w:tr>
    </w:tbl>
    <w:p w14:paraId="3425DECE" w14:textId="3A19DC4B" w:rsidR="00984D71" w:rsidRPr="00984D71" w:rsidRDefault="00984D71" w:rsidP="00984D71">
      <w:pPr>
        <w:spacing w:before="120" w:after="120" w:line="360" w:lineRule="auto"/>
        <w:jc w:val="both"/>
        <w:rPr>
          <w:rFonts w:ascii="Open Sans" w:eastAsia="Calibri" w:hAnsi="Open Sans" w:cs="Open Sans"/>
        </w:rPr>
      </w:pPr>
      <w:r w:rsidRPr="00984D71">
        <w:rPr>
          <w:rFonts w:ascii="Open Sans" w:eastAsia="Calibri" w:hAnsi="Open Sans" w:cs="Open Sans"/>
        </w:rPr>
        <w:t xml:space="preserve">You have been </w:t>
      </w:r>
      <w:r w:rsidR="00A113D3">
        <w:rPr>
          <w:rFonts w:ascii="Open Sans" w:eastAsia="Calibri" w:hAnsi="Open Sans" w:cs="Open Sans"/>
        </w:rPr>
        <w:t>asked by a manager to examine potential trends in sustainability disclosures. They anticipate a large amount of advisory work associated with sustainability reporting and would like to know more about how sustainability reporting has been evolving over the last 15 years. The manager also wants to be provided with example companies that are good disclosers and bad disclosers.</w:t>
      </w:r>
    </w:p>
    <w:p w14:paraId="5091ABE5" w14:textId="248C749D" w:rsidR="004F725E" w:rsidRPr="004F725E" w:rsidRDefault="00984D71" w:rsidP="004F725E">
      <w:pPr>
        <w:spacing w:before="120" w:after="120" w:line="360" w:lineRule="auto"/>
        <w:jc w:val="both"/>
        <w:rPr>
          <w:rFonts w:ascii="Open Sans" w:eastAsia="Calibri" w:hAnsi="Open Sans" w:cs="Open Sans"/>
        </w:rPr>
      </w:pPr>
      <w:r w:rsidRPr="00984D71">
        <w:rPr>
          <w:rFonts w:ascii="Open Sans" w:eastAsia="Calibri" w:hAnsi="Open Sans" w:cs="Open Sans"/>
        </w:rPr>
        <w:t xml:space="preserve">Broadly speaking this case is about how </w:t>
      </w:r>
      <w:r w:rsidR="00A113D3">
        <w:rPr>
          <w:rFonts w:ascii="Open Sans" w:eastAsia="Calibri" w:hAnsi="Open Sans" w:cs="Open Sans"/>
        </w:rPr>
        <w:t xml:space="preserve">sustainability disclosures provide an alternative set of accounting data that can help individuals understand a company’s sustainability actions. </w:t>
      </w:r>
      <w:r w:rsidR="00A265FE">
        <w:rPr>
          <w:rFonts w:ascii="Open Sans" w:eastAsia="Calibri" w:hAnsi="Open Sans" w:cs="Open Sans"/>
        </w:rPr>
        <w:t xml:space="preserve">This case will use Bloomberg’s proprietary </w:t>
      </w:r>
      <w:r w:rsidR="00A113D3">
        <w:rPr>
          <w:rFonts w:ascii="Open Sans" w:eastAsia="Calibri" w:hAnsi="Open Sans" w:cs="Open Sans"/>
        </w:rPr>
        <w:t>E</w:t>
      </w:r>
      <w:r w:rsidR="00A113D3" w:rsidRPr="004C4A93">
        <w:rPr>
          <w:rFonts w:ascii="Open Sans" w:eastAsia="Calibri" w:hAnsi="Open Sans" w:cs="Open Sans"/>
        </w:rPr>
        <w:t xml:space="preserve">nvironmental, </w:t>
      </w:r>
      <w:r w:rsidR="00A113D3">
        <w:rPr>
          <w:rFonts w:ascii="Open Sans" w:eastAsia="Calibri" w:hAnsi="Open Sans" w:cs="Open Sans"/>
        </w:rPr>
        <w:t>S</w:t>
      </w:r>
      <w:r w:rsidR="00A113D3" w:rsidRPr="004C4A93">
        <w:rPr>
          <w:rFonts w:ascii="Open Sans" w:eastAsia="Calibri" w:hAnsi="Open Sans" w:cs="Open Sans"/>
        </w:rPr>
        <w:t xml:space="preserve">ocial, </w:t>
      </w:r>
      <w:r w:rsidR="00A113D3">
        <w:rPr>
          <w:rFonts w:ascii="Open Sans" w:eastAsia="Calibri" w:hAnsi="Open Sans" w:cs="Open Sans"/>
        </w:rPr>
        <w:t>and G</w:t>
      </w:r>
      <w:r w:rsidR="00A113D3" w:rsidRPr="004C4A93">
        <w:rPr>
          <w:rFonts w:ascii="Open Sans" w:eastAsia="Calibri" w:hAnsi="Open Sans" w:cs="Open Sans"/>
        </w:rPr>
        <w:t>overnance (ESG)</w:t>
      </w:r>
      <w:r w:rsidR="00A113D3">
        <w:rPr>
          <w:rFonts w:ascii="Open Sans" w:eastAsia="Calibri" w:hAnsi="Open Sans" w:cs="Open Sans"/>
        </w:rPr>
        <w:t xml:space="preserve"> </w:t>
      </w:r>
      <w:r w:rsidR="00A265FE">
        <w:rPr>
          <w:rFonts w:ascii="Open Sans" w:eastAsia="Calibri" w:hAnsi="Open Sans" w:cs="Open Sans"/>
        </w:rPr>
        <w:t>Score measure to examine trends in different industries and to identify leaders and laggards in ESG disclosure.</w:t>
      </w:r>
    </w:p>
    <w:p w14:paraId="60AF1555" w14:textId="7777777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1" w:name="_Toc52021188"/>
      <w:r w:rsidRPr="004F725E">
        <w:rPr>
          <w:rFonts w:ascii="Open Sans" w:eastAsia="Times New Roman" w:hAnsi="Open Sans" w:cs="Open Sans"/>
          <w:b/>
          <w:bCs/>
          <w:smallCaps/>
          <w:color w:val="33006F"/>
          <w:sz w:val="28"/>
          <w:szCs w:val="28"/>
        </w:rPr>
        <w:t>Background</w:t>
      </w:r>
      <w:bookmarkEnd w:id="1"/>
    </w:p>
    <w:p w14:paraId="27589EE0" w14:textId="77777777" w:rsidR="004C4A93" w:rsidRPr="004C4A93" w:rsidRDefault="004C4A93" w:rsidP="004C4A93">
      <w:pPr>
        <w:spacing w:before="120" w:after="120" w:line="360" w:lineRule="auto"/>
        <w:jc w:val="both"/>
        <w:rPr>
          <w:rFonts w:ascii="Open Sans" w:eastAsia="Calibri" w:hAnsi="Open Sans" w:cs="Open Sans"/>
        </w:rPr>
      </w:pPr>
      <w:r w:rsidRPr="004C4A93">
        <w:rPr>
          <w:rFonts w:ascii="Open Sans" w:eastAsia="Calibri" w:hAnsi="Open Sans" w:cs="Open Sans"/>
        </w:rPr>
        <w:t>Sustainability reporting is becoming an increasingly important part of voluntary disclosure practices of large businesses and there is growing consensus for mandating sustainability disclosure.</w:t>
      </w:r>
      <w:r w:rsidRPr="004C4A93">
        <w:rPr>
          <w:rFonts w:ascii="Open Sans" w:eastAsia="Calibri" w:hAnsi="Open Sans" w:cs="Open Sans"/>
          <w:vertAlign w:val="superscript"/>
        </w:rPr>
        <w:footnoteReference w:id="1"/>
      </w:r>
      <w:r w:rsidRPr="004C4A93">
        <w:rPr>
          <w:rFonts w:ascii="Open Sans" w:eastAsia="Calibri" w:hAnsi="Open Sans" w:cs="Open Sans"/>
        </w:rPr>
        <w:t xml:space="preserve"> Many companies are voluntarily providing insights on their sustainability endeavors: Apple</w:t>
      </w:r>
      <w:r w:rsidRPr="004C4A93">
        <w:rPr>
          <w:rFonts w:ascii="Open Sans" w:eastAsia="Calibri" w:hAnsi="Open Sans" w:cs="Open Sans"/>
          <w:vertAlign w:val="superscript"/>
        </w:rPr>
        <w:footnoteReference w:id="2"/>
      </w:r>
      <w:r w:rsidRPr="004C4A93">
        <w:rPr>
          <w:rFonts w:ascii="Open Sans" w:eastAsia="Calibri" w:hAnsi="Open Sans" w:cs="Open Sans"/>
        </w:rPr>
        <w:t xml:space="preserve"> announced it is carbon neutral for their headquarters and plans to eventually have all operations become carbon neutral; T-Mobile</w:t>
      </w:r>
      <w:r w:rsidRPr="004C4A93">
        <w:rPr>
          <w:rFonts w:ascii="Open Sans" w:eastAsia="Calibri" w:hAnsi="Open Sans" w:cs="Open Sans"/>
          <w:vertAlign w:val="superscript"/>
        </w:rPr>
        <w:footnoteReference w:id="3"/>
      </w:r>
      <w:r w:rsidRPr="004C4A93">
        <w:rPr>
          <w:rFonts w:ascii="Open Sans" w:eastAsia="Calibri" w:hAnsi="Open Sans" w:cs="Open Sans"/>
        </w:rPr>
        <w:t xml:space="preserve"> is providing internet access to </w:t>
      </w:r>
      <w:r w:rsidRPr="004C4A93">
        <w:rPr>
          <w:rFonts w:ascii="Open Sans" w:eastAsia="Calibri" w:hAnsi="Open Sans" w:cs="Open Sans"/>
        </w:rPr>
        <w:lastRenderedPageBreak/>
        <w:t>underprivileged children across the United States in the pandemic; and Intel</w:t>
      </w:r>
      <w:r w:rsidRPr="004C4A93">
        <w:rPr>
          <w:rFonts w:ascii="Open Sans" w:eastAsia="Calibri" w:hAnsi="Open Sans" w:cs="Open Sans"/>
          <w:vertAlign w:val="superscript"/>
        </w:rPr>
        <w:footnoteReference w:id="4"/>
      </w:r>
      <w:r w:rsidRPr="004C4A93">
        <w:rPr>
          <w:rFonts w:ascii="Open Sans" w:eastAsia="Calibri" w:hAnsi="Open Sans" w:cs="Open Sans"/>
        </w:rPr>
        <w:t xml:space="preserve"> disclosed their salaries for diversity hires, calling on other technology companies to do the same. Sustainability is an important aspect of business, and we will focus on the reporting and assurance of these issues.</w:t>
      </w:r>
    </w:p>
    <w:p w14:paraId="18CF3E3B" w14:textId="0C2A362B" w:rsidR="004C4A93" w:rsidRPr="004C4A93" w:rsidRDefault="004C4A93" w:rsidP="004C4A93">
      <w:pPr>
        <w:spacing w:before="120" w:after="120" w:line="360" w:lineRule="auto"/>
        <w:jc w:val="both"/>
        <w:rPr>
          <w:rFonts w:ascii="Open Sans" w:eastAsia="Calibri" w:hAnsi="Open Sans" w:cs="Open Sans"/>
        </w:rPr>
      </w:pPr>
      <w:r w:rsidRPr="004C4A93">
        <w:rPr>
          <w:rFonts w:ascii="Open Sans" w:eastAsia="Calibri" w:hAnsi="Open Sans" w:cs="Open Sans"/>
        </w:rPr>
        <w:t>Sustainability reporting is a broad topic area which includes voluntary disclosures on environmental, social, governance (ESG) and other sustainability issues (the various issues are discussed in more detail below). ESG and other sustainability issues vary in their importance, or materiality, to different industries.</w:t>
      </w:r>
    </w:p>
    <w:p w14:paraId="06094CB2" w14:textId="77777777" w:rsidR="004C4A93" w:rsidRPr="004C4A93" w:rsidRDefault="004C4A93" w:rsidP="004C4A93">
      <w:pPr>
        <w:keepNext/>
        <w:keepLines/>
        <w:spacing w:before="480" w:after="0" w:line="288" w:lineRule="auto"/>
        <w:outlineLvl w:val="0"/>
        <w:rPr>
          <w:rFonts w:ascii="Open Sans" w:eastAsia="Times New Roman" w:hAnsi="Open Sans" w:cs="Open Sans"/>
          <w:b/>
          <w:bCs/>
          <w:smallCaps/>
          <w:color w:val="33006F"/>
          <w:sz w:val="28"/>
          <w:szCs w:val="28"/>
        </w:rPr>
      </w:pPr>
      <w:r w:rsidRPr="004C4A93">
        <w:rPr>
          <w:rFonts w:ascii="Open Sans" w:eastAsia="Times New Roman" w:hAnsi="Open Sans" w:cs="Open Sans"/>
          <w:b/>
          <w:bCs/>
          <w:smallCaps/>
          <w:color w:val="33006F"/>
          <w:sz w:val="28"/>
          <w:szCs w:val="28"/>
        </w:rPr>
        <w:t>Alternative Data</w:t>
      </w:r>
    </w:p>
    <w:p w14:paraId="623609BA" w14:textId="16FDAAFD" w:rsidR="004C4A93" w:rsidRPr="004C4A93" w:rsidRDefault="004C4A93" w:rsidP="004C4A93">
      <w:pPr>
        <w:keepNext/>
        <w:spacing w:before="240" w:after="240" w:line="240" w:lineRule="auto"/>
        <w:outlineLvl w:val="0"/>
        <w:rPr>
          <w:rFonts w:ascii="Open Sans" w:eastAsia="Calibri" w:hAnsi="Open Sans" w:cs="Open Sans"/>
          <w:b/>
        </w:rPr>
      </w:pPr>
      <w:r w:rsidRPr="004C4A93">
        <w:rPr>
          <w:rFonts w:ascii="Open Sans" w:eastAsia="Calibri" w:hAnsi="Open Sans" w:cs="Open Sans"/>
          <w:b/>
          <w:color w:val="33006F"/>
          <w:sz w:val="28"/>
          <w:szCs w:val="24"/>
        </w:rPr>
        <w:t>Sustainability</w:t>
      </w:r>
      <w:r>
        <w:rPr>
          <w:rFonts w:ascii="Open Sans" w:eastAsia="Calibri" w:hAnsi="Open Sans" w:cs="Open Sans"/>
          <w:b/>
          <w:color w:val="33006F"/>
          <w:sz w:val="28"/>
          <w:szCs w:val="24"/>
        </w:rPr>
        <w:t xml:space="preserve"> Reporting</w:t>
      </w:r>
    </w:p>
    <w:p w14:paraId="4E201EA1" w14:textId="7BD0B1AE" w:rsidR="004C4A93" w:rsidRPr="004C4A93" w:rsidRDefault="00984D71" w:rsidP="004C4A93">
      <w:pPr>
        <w:spacing w:before="120" w:after="120" w:line="360" w:lineRule="auto"/>
        <w:jc w:val="both"/>
        <w:rPr>
          <w:rFonts w:ascii="Open Sans" w:eastAsia="Calibri" w:hAnsi="Open Sans" w:cs="Open Sans"/>
        </w:rPr>
      </w:pPr>
      <w:r>
        <w:rPr>
          <w:rFonts w:ascii="Open Sans" w:eastAsia="Calibri" w:hAnsi="Open Sans" w:cs="Open Sans"/>
        </w:rPr>
        <w:t>Sustainability</w:t>
      </w:r>
      <w:r w:rsidR="004C4A93">
        <w:rPr>
          <w:rFonts w:ascii="Open Sans" w:eastAsia="Calibri" w:hAnsi="Open Sans" w:cs="Open Sans"/>
        </w:rPr>
        <w:t xml:space="preserve"> reporting covers a large set of voluntary disclosures</w:t>
      </w:r>
      <w:r>
        <w:rPr>
          <w:rFonts w:ascii="Open Sans" w:eastAsia="Calibri" w:hAnsi="Open Sans" w:cs="Open Sans"/>
        </w:rPr>
        <w:t xml:space="preserve"> that companies disclose to provide insight into various </w:t>
      </w:r>
      <w:r w:rsidR="004C4A93" w:rsidRPr="004C4A93">
        <w:rPr>
          <w:rFonts w:ascii="Open Sans" w:eastAsia="Calibri" w:hAnsi="Open Sans" w:cs="Open Sans"/>
        </w:rPr>
        <w:t>environmental, social, governance (ESG) and other sustainability issues</w:t>
      </w:r>
      <w:r>
        <w:rPr>
          <w:rFonts w:ascii="Open Sans" w:eastAsia="Calibri" w:hAnsi="Open Sans" w:cs="Open Sans"/>
        </w:rPr>
        <w:t>. We will use the material</w:t>
      </w:r>
      <w:r w:rsidR="004C4A93" w:rsidRPr="004C4A93">
        <w:rPr>
          <w:rFonts w:ascii="Open Sans" w:eastAsia="Calibri" w:hAnsi="Open Sans" w:cs="Open Sans"/>
        </w:rPr>
        <w:t xml:space="preserve"> covered by the Sustainability Accounting Standards Board (SASB, </w:t>
      </w:r>
      <w:hyperlink r:id="rId10" w:history="1">
        <w:r w:rsidR="004C4A93" w:rsidRPr="004C4A93">
          <w:rPr>
            <w:rStyle w:val="Hyperlink"/>
            <w:rFonts w:ascii="Open Sans" w:eastAsia="Calibri" w:hAnsi="Open Sans" w:cs="Open Sans"/>
          </w:rPr>
          <w:t>https://www.sasb.org/</w:t>
        </w:r>
      </w:hyperlink>
      <w:r w:rsidR="004C4A93" w:rsidRPr="004C4A93">
        <w:rPr>
          <w:rFonts w:ascii="Open Sans" w:eastAsia="Calibri" w:hAnsi="Open Sans" w:cs="Open Sans"/>
        </w:rPr>
        <w:t>)</w:t>
      </w:r>
      <w:r>
        <w:rPr>
          <w:rFonts w:ascii="Open Sans" w:eastAsia="Calibri" w:hAnsi="Open Sans" w:cs="Open Sans"/>
        </w:rPr>
        <w:t xml:space="preserve"> to provide a framework for considering sustainability reporting</w:t>
      </w:r>
      <w:r w:rsidR="004C4A93" w:rsidRPr="004C4A93">
        <w:rPr>
          <w:rFonts w:ascii="Open Sans" w:eastAsia="Calibri" w:hAnsi="Open Sans" w:cs="Open Sans"/>
        </w:rPr>
        <w:t xml:space="preserve">. The SASB was established by the SASB Foundation which is a not-for-profit organization whose mission “is to establish and improve industry specific disclosure standards across financially material environmental, social and governance topics that facilitate communication between companies and investors about decision-useful information.” (see </w:t>
      </w:r>
      <w:hyperlink r:id="rId11" w:history="1">
        <w:r w:rsidR="004C4A93" w:rsidRPr="004C4A93">
          <w:rPr>
            <w:rStyle w:val="Hyperlink"/>
            <w:rFonts w:ascii="Open Sans" w:eastAsia="Calibri" w:hAnsi="Open Sans" w:cs="Open Sans"/>
          </w:rPr>
          <w:t>https://www.sasb.org/governance/</w:t>
        </w:r>
      </w:hyperlink>
      <w:r w:rsidR="004C4A93" w:rsidRPr="004C4A93">
        <w:rPr>
          <w:rFonts w:ascii="Open Sans" w:eastAsia="Calibri" w:hAnsi="Open Sans" w:cs="Open Sans"/>
        </w:rPr>
        <w:t>).</w:t>
      </w:r>
    </w:p>
    <w:p w14:paraId="4143DC35" w14:textId="53376196" w:rsidR="004C4A93" w:rsidRPr="004C4A93" w:rsidRDefault="004C4A93" w:rsidP="004C4A93">
      <w:pPr>
        <w:spacing w:before="120" w:after="120" w:line="360" w:lineRule="auto"/>
        <w:jc w:val="both"/>
        <w:rPr>
          <w:rFonts w:ascii="Open Sans" w:eastAsia="Calibri" w:hAnsi="Open Sans" w:cs="Open Sans"/>
        </w:rPr>
      </w:pPr>
      <w:r w:rsidRPr="004C4A93">
        <w:rPr>
          <w:rFonts w:ascii="Open Sans" w:eastAsia="Calibri" w:hAnsi="Open Sans" w:cs="Open Sans"/>
        </w:rPr>
        <w:t xml:space="preserve">These </w:t>
      </w:r>
      <w:r>
        <w:rPr>
          <w:rFonts w:ascii="Open Sans" w:eastAsia="Calibri" w:hAnsi="Open Sans" w:cs="Open Sans"/>
        </w:rPr>
        <w:t xml:space="preserve">SASB </w:t>
      </w:r>
      <w:r w:rsidRPr="004C4A93">
        <w:rPr>
          <w:rFonts w:ascii="Open Sans" w:eastAsia="Calibri" w:hAnsi="Open Sans" w:cs="Open Sans"/>
        </w:rPr>
        <w:t>categorize</w:t>
      </w:r>
      <w:r>
        <w:rPr>
          <w:rFonts w:ascii="Open Sans" w:eastAsia="Calibri" w:hAnsi="Open Sans" w:cs="Open Sans"/>
        </w:rPr>
        <w:t xml:space="preserve">s sustainability issues under the following </w:t>
      </w:r>
      <w:r w:rsidRPr="004C4A93">
        <w:rPr>
          <w:rFonts w:ascii="Open Sans" w:eastAsia="Calibri" w:hAnsi="Open Sans" w:cs="Open Sans"/>
        </w:rPr>
        <w:t>five broad sustainability dimensions:</w:t>
      </w:r>
    </w:p>
    <w:p w14:paraId="6363AF4C" w14:textId="77777777" w:rsidR="004C4A93" w:rsidRPr="004C4A93" w:rsidRDefault="004C4A93" w:rsidP="004C4A93">
      <w:pPr>
        <w:numPr>
          <w:ilvl w:val="0"/>
          <w:numId w:val="3"/>
        </w:numPr>
        <w:spacing w:before="120" w:after="120" w:line="240" w:lineRule="auto"/>
        <w:contextualSpacing/>
        <w:jc w:val="both"/>
        <w:rPr>
          <w:rFonts w:ascii="Open Sans" w:eastAsia="Calibri" w:hAnsi="Open Sans" w:cs="Open Sans"/>
        </w:rPr>
      </w:pPr>
      <w:r w:rsidRPr="004C4A93">
        <w:rPr>
          <w:rFonts w:ascii="Open Sans" w:eastAsia="Calibri" w:hAnsi="Open Sans" w:cs="Open Sans"/>
        </w:rPr>
        <w:lastRenderedPageBreak/>
        <w:t>Environmental</w:t>
      </w:r>
    </w:p>
    <w:p w14:paraId="0248F2D8" w14:textId="77777777" w:rsidR="004C4A93" w:rsidRPr="004C4A93" w:rsidRDefault="004C4A93" w:rsidP="004C4A93">
      <w:pPr>
        <w:numPr>
          <w:ilvl w:val="0"/>
          <w:numId w:val="3"/>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Social Capital</w:t>
      </w:r>
    </w:p>
    <w:p w14:paraId="43990217" w14:textId="77777777" w:rsidR="004C4A93" w:rsidRPr="004C4A93" w:rsidRDefault="004C4A93" w:rsidP="004C4A93">
      <w:pPr>
        <w:numPr>
          <w:ilvl w:val="0"/>
          <w:numId w:val="3"/>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Human Capital</w:t>
      </w:r>
    </w:p>
    <w:p w14:paraId="5FF1F9FB" w14:textId="77777777" w:rsidR="004C4A93" w:rsidRPr="004C4A93" w:rsidRDefault="004C4A93" w:rsidP="004C4A93">
      <w:pPr>
        <w:numPr>
          <w:ilvl w:val="0"/>
          <w:numId w:val="3"/>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Business Model and Innovation</w:t>
      </w:r>
    </w:p>
    <w:p w14:paraId="611009EB" w14:textId="63A87FF7" w:rsidR="004C4A93" w:rsidRDefault="004C4A93" w:rsidP="004C4A93">
      <w:pPr>
        <w:numPr>
          <w:ilvl w:val="0"/>
          <w:numId w:val="3"/>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Leadership and Governance</w:t>
      </w:r>
    </w:p>
    <w:p w14:paraId="524224D6" w14:textId="77777777" w:rsidR="004C4A93" w:rsidRPr="004C4A93" w:rsidRDefault="004C4A93" w:rsidP="004C4A93">
      <w:pPr>
        <w:spacing w:before="120" w:after="120" w:line="240" w:lineRule="auto"/>
        <w:ind w:left="720"/>
        <w:contextualSpacing/>
        <w:jc w:val="both"/>
        <w:rPr>
          <w:rFonts w:ascii="Open Sans" w:eastAsia="Calibri" w:hAnsi="Open Sans" w:cs="Open Sans"/>
        </w:rPr>
      </w:pPr>
    </w:p>
    <w:p w14:paraId="3F596040" w14:textId="77777777" w:rsidR="004C4A93" w:rsidRPr="004C4A93" w:rsidRDefault="004C4A93" w:rsidP="004C4A93">
      <w:pPr>
        <w:spacing w:before="120" w:after="120" w:line="360" w:lineRule="auto"/>
        <w:jc w:val="both"/>
        <w:rPr>
          <w:rFonts w:ascii="Open Sans" w:eastAsia="Calibri" w:hAnsi="Open Sans" w:cs="Open Sans"/>
        </w:rPr>
      </w:pPr>
      <w:r w:rsidRPr="004C4A93">
        <w:rPr>
          <w:rFonts w:ascii="Open Sans" w:eastAsia="Calibri" w:hAnsi="Open Sans" w:cs="Open Sans"/>
        </w:rPr>
        <w:t xml:space="preserve">The SASB uses these broad dimensions to organize 26 sustainability issues the details of which can be found at: </w:t>
      </w:r>
      <w:hyperlink r:id="rId12" w:history="1">
        <w:r w:rsidRPr="004C4A93">
          <w:rPr>
            <w:rStyle w:val="Hyperlink"/>
            <w:rFonts w:ascii="Open Sans" w:eastAsia="Calibri" w:hAnsi="Open Sans" w:cs="Open Sans"/>
          </w:rPr>
          <w:t>https://www.sasb.org/standards-overview/materiality-map/</w:t>
        </w:r>
      </w:hyperlink>
      <w:r w:rsidRPr="004C4A93">
        <w:rPr>
          <w:rFonts w:ascii="Open Sans" w:eastAsia="Calibri" w:hAnsi="Open Sans" w:cs="Open Sans"/>
        </w:rPr>
        <w:t>. Some of these sustainability issues have multiple sustainability disclosure topics relating to the issue. There is no need to repeat all the details here, but as an example, Human Capital includes: (1) Labor Practices; (2) Employee Health and Safety; and (3) Employee Engagement, Diversity &amp; Inclusion.</w:t>
      </w:r>
    </w:p>
    <w:p w14:paraId="62CE55F5" w14:textId="48BCFFDF" w:rsidR="004C4A93" w:rsidRPr="004C4A93" w:rsidRDefault="004C4A93" w:rsidP="004C4A93">
      <w:pPr>
        <w:spacing w:before="120" w:after="120" w:line="360" w:lineRule="auto"/>
        <w:jc w:val="both"/>
        <w:rPr>
          <w:rFonts w:ascii="Open Sans" w:eastAsia="Calibri" w:hAnsi="Open Sans" w:cs="Open Sans"/>
        </w:rPr>
      </w:pPr>
      <w:r w:rsidRPr="004C4A93">
        <w:rPr>
          <w:rFonts w:ascii="Open Sans" w:eastAsia="Calibri" w:hAnsi="Open Sans" w:cs="Open Sans"/>
        </w:rPr>
        <w:t xml:space="preserve">We will also follow how the SASB defines industry groupings for this case. The SASB uses the </w:t>
      </w:r>
      <w:r w:rsidRPr="004C4A93">
        <w:rPr>
          <w:rFonts w:ascii="Open Sans" w:eastAsia="Calibri" w:hAnsi="Open Sans" w:cs="Open Sans"/>
          <w:b/>
          <w:bCs/>
        </w:rPr>
        <w:t>sustainability</w:t>
      </w:r>
      <w:r w:rsidRPr="004C4A93">
        <w:rPr>
          <w:rFonts w:ascii="Open Sans" w:eastAsia="Calibri" w:hAnsi="Open Sans" w:cs="Open Sans"/>
        </w:rPr>
        <w:t xml:space="preserve"> </w:t>
      </w:r>
      <w:r w:rsidRPr="004C4A93">
        <w:rPr>
          <w:rFonts w:ascii="Open Sans" w:eastAsia="Calibri" w:hAnsi="Open Sans" w:cs="Open Sans"/>
          <w:b/>
          <w:bCs/>
        </w:rPr>
        <w:t>industry classification system (SICS)</w:t>
      </w:r>
      <w:r w:rsidRPr="004C4A93">
        <w:rPr>
          <w:rFonts w:ascii="Open Sans" w:eastAsia="Calibri" w:hAnsi="Open Sans" w:cs="Open Sans"/>
        </w:rPr>
        <w:t xml:space="preserve"> the details of which can be downloaded here: </w:t>
      </w:r>
      <w:hyperlink r:id="rId13" w:history="1">
        <w:r w:rsidRPr="004C4A93">
          <w:rPr>
            <w:rStyle w:val="Hyperlink"/>
            <w:rFonts w:ascii="Open Sans" w:eastAsia="Calibri" w:hAnsi="Open Sans" w:cs="Open Sans"/>
          </w:rPr>
          <w:t>https://www.sasb.org/wp-content/uploads/2018/11/SICS-Industry-List.pdf</w:t>
        </w:r>
      </w:hyperlink>
      <w:r w:rsidRPr="004C4A93">
        <w:rPr>
          <w:rFonts w:ascii="Open Sans" w:eastAsia="Calibri" w:hAnsi="Open Sans" w:cs="Open Sans"/>
        </w:rPr>
        <w:t xml:space="preserve">. </w:t>
      </w:r>
      <w:r>
        <w:rPr>
          <w:rFonts w:ascii="Open Sans" w:eastAsia="Calibri" w:hAnsi="Open Sans" w:cs="Open Sans"/>
        </w:rPr>
        <w:t xml:space="preserve">Which include </w:t>
      </w:r>
      <w:r w:rsidRPr="004C4A93">
        <w:rPr>
          <w:rFonts w:ascii="Open Sans" w:eastAsia="Calibri" w:hAnsi="Open Sans" w:cs="Open Sans"/>
        </w:rPr>
        <w:t>the following 11 Industry Sectors:</w:t>
      </w:r>
    </w:p>
    <w:p w14:paraId="20C488A0"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Consumer Goods</w:t>
      </w:r>
    </w:p>
    <w:p w14:paraId="2EBA15D4"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Extractives &amp; Minerals Processing</w:t>
      </w:r>
    </w:p>
    <w:p w14:paraId="33E4263B"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Financials</w:t>
      </w:r>
    </w:p>
    <w:p w14:paraId="529B7276"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Food &amp; Beverage</w:t>
      </w:r>
    </w:p>
    <w:p w14:paraId="3082E838"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Health Care</w:t>
      </w:r>
    </w:p>
    <w:p w14:paraId="29136D88"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Infrastructure</w:t>
      </w:r>
    </w:p>
    <w:p w14:paraId="695DD54B"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Renewable Resources &amp; Alternative Energy</w:t>
      </w:r>
    </w:p>
    <w:p w14:paraId="4FCC84BF"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Resource Transformation</w:t>
      </w:r>
    </w:p>
    <w:p w14:paraId="740D7FCE"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Services</w:t>
      </w:r>
    </w:p>
    <w:p w14:paraId="44ECFBAB" w14:textId="77777777" w:rsidR="004C4A93" w:rsidRP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Technology &amp; Communications</w:t>
      </w:r>
    </w:p>
    <w:p w14:paraId="527FB672" w14:textId="4E8BF41E" w:rsidR="004C4A93" w:rsidRDefault="004C4A93" w:rsidP="004C4A93">
      <w:pPr>
        <w:numPr>
          <w:ilvl w:val="0"/>
          <w:numId w:val="4"/>
        </w:numPr>
        <w:spacing w:before="120" w:after="120" w:line="240" w:lineRule="auto"/>
        <w:contextualSpacing/>
        <w:jc w:val="both"/>
        <w:rPr>
          <w:rFonts w:ascii="Open Sans" w:eastAsia="Calibri" w:hAnsi="Open Sans" w:cs="Open Sans"/>
        </w:rPr>
      </w:pPr>
      <w:r w:rsidRPr="004C4A93">
        <w:rPr>
          <w:rFonts w:ascii="Open Sans" w:eastAsia="Calibri" w:hAnsi="Open Sans" w:cs="Open Sans"/>
        </w:rPr>
        <w:t>Transportation</w:t>
      </w:r>
    </w:p>
    <w:p w14:paraId="6A20FC96" w14:textId="77777777" w:rsidR="004C4A93" w:rsidRPr="004C4A93" w:rsidRDefault="004C4A93" w:rsidP="004C4A93">
      <w:pPr>
        <w:spacing w:before="120" w:after="120" w:line="240" w:lineRule="auto"/>
        <w:ind w:left="720"/>
        <w:contextualSpacing/>
        <w:jc w:val="both"/>
        <w:rPr>
          <w:rFonts w:ascii="Open Sans" w:eastAsia="Calibri" w:hAnsi="Open Sans" w:cs="Open Sans"/>
        </w:rPr>
      </w:pPr>
    </w:p>
    <w:p w14:paraId="08871FC4" w14:textId="24A6F7DE" w:rsidR="004C4A93" w:rsidRPr="004C4A93" w:rsidRDefault="004C4A93" w:rsidP="004C4A93">
      <w:pPr>
        <w:spacing w:before="120" w:after="120" w:line="360" w:lineRule="auto"/>
        <w:jc w:val="both"/>
        <w:rPr>
          <w:rFonts w:ascii="Open Sans" w:eastAsia="Calibri" w:hAnsi="Open Sans" w:cs="Open Sans"/>
        </w:rPr>
      </w:pPr>
      <w:r>
        <w:rPr>
          <w:rFonts w:ascii="Open Sans" w:eastAsia="Calibri" w:hAnsi="Open Sans" w:cs="Open Sans"/>
        </w:rPr>
        <w:t xml:space="preserve">Each of these </w:t>
      </w:r>
      <w:proofErr w:type="spellStart"/>
      <w:r>
        <w:rPr>
          <w:rFonts w:ascii="Open Sans" w:eastAsia="Calibri" w:hAnsi="Open Sans" w:cs="Open Sans"/>
        </w:rPr>
        <w:t>setors</w:t>
      </w:r>
      <w:proofErr w:type="spellEnd"/>
      <w:r>
        <w:rPr>
          <w:rFonts w:ascii="Open Sans" w:eastAsia="Calibri" w:hAnsi="Open Sans" w:cs="Open Sans"/>
        </w:rPr>
        <w:t xml:space="preserve"> is further sub-divided into different industries, f</w:t>
      </w:r>
      <w:r w:rsidRPr="004C4A93">
        <w:rPr>
          <w:rFonts w:ascii="Open Sans" w:eastAsia="Calibri" w:hAnsi="Open Sans" w:cs="Open Sans"/>
        </w:rPr>
        <w:t xml:space="preserve">or example, the services sector </w:t>
      </w:r>
      <w:r>
        <w:rPr>
          <w:rFonts w:ascii="Open Sans" w:eastAsia="Calibri" w:hAnsi="Open Sans" w:cs="Open Sans"/>
        </w:rPr>
        <w:t xml:space="preserve">includes </w:t>
      </w:r>
      <w:r w:rsidRPr="004C4A93">
        <w:rPr>
          <w:rFonts w:ascii="Open Sans" w:eastAsia="Calibri" w:hAnsi="Open Sans" w:cs="Open Sans"/>
        </w:rPr>
        <w:t>seven different industries</w:t>
      </w:r>
      <w:r>
        <w:rPr>
          <w:rFonts w:ascii="Open Sans" w:eastAsia="Calibri" w:hAnsi="Open Sans" w:cs="Open Sans"/>
        </w:rPr>
        <w:t xml:space="preserve"> that are quite distinct (services include </w:t>
      </w:r>
      <w:r w:rsidRPr="004C4A93">
        <w:rPr>
          <w:rFonts w:ascii="Open Sans" w:eastAsia="Calibri" w:hAnsi="Open Sans" w:cs="Open Sans"/>
        </w:rPr>
        <w:t>Hotels &amp; Lodging and Casinos &amp; Gambling</w:t>
      </w:r>
      <w:r>
        <w:rPr>
          <w:rFonts w:ascii="Open Sans" w:eastAsia="Calibri" w:hAnsi="Open Sans" w:cs="Open Sans"/>
        </w:rPr>
        <w:t xml:space="preserve"> as an example)</w:t>
      </w:r>
      <w:r w:rsidRPr="004C4A93">
        <w:rPr>
          <w:rFonts w:ascii="Open Sans" w:eastAsia="Calibri" w:hAnsi="Open Sans" w:cs="Open Sans"/>
        </w:rPr>
        <w:t xml:space="preserve">. </w:t>
      </w:r>
      <w:r>
        <w:rPr>
          <w:rFonts w:ascii="Open Sans" w:eastAsia="Calibri" w:hAnsi="Open Sans" w:cs="Open Sans"/>
        </w:rPr>
        <w:t xml:space="preserve">Each industry will face different </w:t>
      </w:r>
      <w:r w:rsidRPr="004C4A93">
        <w:rPr>
          <w:rFonts w:ascii="Open Sans" w:eastAsia="Calibri" w:hAnsi="Open Sans" w:cs="Open Sans"/>
        </w:rPr>
        <w:t xml:space="preserve">the sustainability issues </w:t>
      </w:r>
    </w:p>
    <w:p w14:paraId="248FA15C" w14:textId="3C4A65F7"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2" w:name="_Toc52021189"/>
      <w:r>
        <w:rPr>
          <w:rFonts w:ascii="Open Sans" w:eastAsia="Times New Roman" w:hAnsi="Open Sans" w:cs="Open Sans"/>
          <w:b/>
          <w:bCs/>
          <w:smallCaps/>
          <w:color w:val="33006F"/>
          <w:sz w:val="28"/>
          <w:szCs w:val="28"/>
        </w:rPr>
        <w:lastRenderedPageBreak/>
        <w:t xml:space="preserve">Accounting </w:t>
      </w:r>
      <w:r w:rsidRPr="004F725E">
        <w:rPr>
          <w:rFonts w:ascii="Open Sans" w:eastAsia="Times New Roman" w:hAnsi="Open Sans" w:cs="Open Sans"/>
          <w:b/>
          <w:bCs/>
          <w:smallCaps/>
          <w:color w:val="33006F"/>
          <w:sz w:val="28"/>
          <w:szCs w:val="28"/>
        </w:rPr>
        <w:t>Analytics</w:t>
      </w:r>
      <w:bookmarkEnd w:id="2"/>
    </w:p>
    <w:p w14:paraId="5C6012F4" w14:textId="63156A61" w:rsidR="00585776" w:rsidRPr="004F725E" w:rsidRDefault="00E42E8D" w:rsidP="00585776">
      <w:pPr>
        <w:spacing w:before="120" w:after="120" w:line="360" w:lineRule="auto"/>
        <w:jc w:val="both"/>
        <w:rPr>
          <w:rFonts w:ascii="Open Sans" w:eastAsia="Calibri" w:hAnsi="Open Sans" w:cs="Open Sans"/>
        </w:rPr>
      </w:pPr>
      <w:r w:rsidRPr="00E42E8D">
        <w:rPr>
          <w:rFonts w:ascii="Open Sans" w:eastAsia="Calibri" w:hAnsi="Open Sans" w:cs="Open Sans"/>
        </w:rPr>
        <w:t>The MSCI ESG scores database provides both aggregate scores that measure the transparency of ESG disclosures made by public companies. They describe their ESG Rating score as follows:</w:t>
      </w:r>
      <w:r w:rsidR="00585776">
        <w:rPr>
          <w:rFonts w:ascii="Open Sans" w:eastAsia="Calibri" w:hAnsi="Open Sans" w:cs="Open Sans"/>
        </w:rPr>
        <w:t>:</w:t>
      </w:r>
    </w:p>
    <w:p w14:paraId="6CC40BA1" w14:textId="77777777" w:rsidR="00585776" w:rsidRPr="004F725E" w:rsidRDefault="00585776" w:rsidP="00585776">
      <w:pPr>
        <w:spacing w:before="120" w:after="120" w:line="240" w:lineRule="auto"/>
        <w:ind w:left="720" w:right="648"/>
        <w:jc w:val="both"/>
        <w:rPr>
          <w:rFonts w:ascii="Open Sans" w:eastAsia="Calibri" w:hAnsi="Open Sans" w:cs="Open Sans"/>
          <w:sz w:val="20"/>
          <w:szCs w:val="20"/>
        </w:rPr>
      </w:pPr>
      <w:r w:rsidRPr="004F725E">
        <w:rPr>
          <w:rFonts w:ascii="Open Sans" w:eastAsia="Calibri" w:hAnsi="Open Sans" w:cs="Open Sans"/>
          <w:sz w:val="20"/>
          <w:szCs w:val="20"/>
        </w:rPr>
        <w:t>“</w:t>
      </w:r>
      <w:r>
        <w:t>Bloomberg ESG captures many qualitative and quantitative indicators that investors and analysts can use in evaluating how well your company is adapting to our changing world—and your commitment to transparency and accountability.</w:t>
      </w:r>
      <w:r w:rsidRPr="004F725E">
        <w:rPr>
          <w:rFonts w:ascii="Open Sans" w:eastAsia="Calibri" w:hAnsi="Open Sans" w:cs="Open Sans"/>
          <w:sz w:val="20"/>
          <w:szCs w:val="20"/>
        </w:rPr>
        <w:t>”</w:t>
      </w:r>
    </w:p>
    <w:p w14:paraId="29BB028F" w14:textId="69A88B6C" w:rsidR="00585776" w:rsidRDefault="00585776" w:rsidP="004F725E">
      <w:pPr>
        <w:spacing w:before="120" w:after="120" w:line="360" w:lineRule="auto"/>
        <w:jc w:val="both"/>
        <w:rPr>
          <w:rFonts w:ascii="Open Sans" w:eastAsia="Calibri" w:hAnsi="Open Sans" w:cs="Open Sans"/>
        </w:rPr>
      </w:pPr>
      <w:r>
        <w:rPr>
          <w:rFonts w:ascii="Open Sans" w:eastAsia="Calibri" w:hAnsi="Open Sans" w:cs="Open Sans"/>
        </w:rPr>
        <w:t xml:space="preserve">The ESG data has been provided from 2005-2019 for firms in the Russell 3000. We can use the data to visualize trends in ESG reporting over the past 15 years and drill-down into the data to identify the leaders and laggards in terms of disclosure transparency. Comparing the leaders and laggards will give an idea as to where ESG disclosures are weakest for the industry your group has decided to examine. This will be a largely exploratory data analytics exercise, aimed at helping find concrete examples of high and low quality ESG disclosures. </w:t>
      </w:r>
    </w:p>
    <w:p w14:paraId="0625522F" w14:textId="06481002" w:rsidR="004F725E" w:rsidRPr="004F725E" w:rsidRDefault="004F725E" w:rsidP="004F725E">
      <w:pPr>
        <w:keepNext/>
        <w:keepLines/>
        <w:spacing w:before="480" w:after="0" w:line="288" w:lineRule="auto"/>
        <w:outlineLvl w:val="0"/>
        <w:rPr>
          <w:rFonts w:ascii="Open Sans" w:eastAsia="Times New Roman" w:hAnsi="Open Sans" w:cs="Open Sans"/>
          <w:b/>
          <w:bCs/>
          <w:smallCaps/>
          <w:color w:val="33006F"/>
          <w:sz w:val="28"/>
          <w:szCs w:val="28"/>
        </w:rPr>
      </w:pPr>
      <w:bookmarkStart w:id="3" w:name="_Toc52021190"/>
      <w:r w:rsidRPr="004F725E">
        <w:rPr>
          <w:rFonts w:ascii="Open Sans" w:eastAsia="Times New Roman" w:hAnsi="Open Sans" w:cs="Open Sans"/>
          <w:b/>
          <w:bCs/>
          <w:smallCaps/>
          <w:color w:val="33006F"/>
          <w:sz w:val="28"/>
          <w:szCs w:val="28"/>
        </w:rPr>
        <w:t xml:space="preserve">Data and </w:t>
      </w:r>
      <w:r>
        <w:rPr>
          <w:rFonts w:ascii="Open Sans" w:eastAsia="Times New Roman" w:hAnsi="Open Sans" w:cs="Open Sans"/>
          <w:b/>
          <w:bCs/>
          <w:smallCaps/>
          <w:color w:val="33006F"/>
          <w:sz w:val="28"/>
          <w:szCs w:val="28"/>
        </w:rPr>
        <w:t xml:space="preserve">Additional </w:t>
      </w:r>
      <w:r w:rsidRPr="004F725E">
        <w:rPr>
          <w:rFonts w:ascii="Open Sans" w:eastAsia="Times New Roman" w:hAnsi="Open Sans" w:cs="Open Sans"/>
          <w:b/>
          <w:bCs/>
          <w:smallCaps/>
          <w:color w:val="33006F"/>
          <w:sz w:val="28"/>
          <w:szCs w:val="28"/>
        </w:rPr>
        <w:t>Resources</w:t>
      </w:r>
      <w:bookmarkEnd w:id="3"/>
    </w:p>
    <w:p w14:paraId="60CE760A" w14:textId="77777777" w:rsidR="004F725E" w:rsidRPr="004F725E" w:rsidRDefault="004F725E" w:rsidP="004F725E">
      <w:pPr>
        <w:spacing w:before="120" w:after="120" w:line="360" w:lineRule="auto"/>
        <w:jc w:val="both"/>
        <w:rPr>
          <w:rFonts w:ascii="Open Sans" w:eastAsia="Calibri" w:hAnsi="Open Sans" w:cs="Open Sans"/>
        </w:rPr>
      </w:pPr>
      <w:r w:rsidRPr="004F725E">
        <w:rPr>
          <w:rFonts w:ascii="Open Sans" w:eastAsia="Calibri" w:hAnsi="Open Sans" w:cs="Open Sans"/>
        </w:rPr>
        <w:t>The following data and resources are available in the case supplement:</w:t>
      </w:r>
    </w:p>
    <w:p w14:paraId="6B935AD6" w14:textId="27B14F31" w:rsidR="004F725E" w:rsidRPr="004F725E" w:rsidRDefault="00585776" w:rsidP="004F725E">
      <w:pPr>
        <w:numPr>
          <w:ilvl w:val="0"/>
          <w:numId w:val="1"/>
        </w:numPr>
        <w:spacing w:before="120" w:after="120" w:line="360" w:lineRule="auto"/>
        <w:jc w:val="both"/>
        <w:rPr>
          <w:rFonts w:ascii="Open Sans" w:eastAsia="Calibri" w:hAnsi="Open Sans" w:cs="Open Sans"/>
        </w:rPr>
      </w:pPr>
      <w:r>
        <w:rPr>
          <w:rFonts w:ascii="Open Sans" w:eastAsia="Calibri" w:hAnsi="Open Sans" w:cs="Open Sans"/>
        </w:rPr>
        <w:t>The file with ESG scores “2005-2019 ESG disclosure score.csv”</w:t>
      </w:r>
    </w:p>
    <w:p w14:paraId="213D579B" w14:textId="4E8E8C8E" w:rsidR="004F725E" w:rsidRPr="004F725E" w:rsidRDefault="004F725E" w:rsidP="004F725E">
      <w:pPr>
        <w:spacing w:after="0" w:line="240" w:lineRule="auto"/>
        <w:rPr>
          <w:rFonts w:ascii="Open Sans" w:eastAsia="Calibri" w:hAnsi="Open Sans" w:cs="Open Sans"/>
        </w:rPr>
      </w:pP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7592"/>
      </w:tblGrid>
      <w:tr w:rsidR="004F725E" w:rsidRPr="004F725E" w14:paraId="3ABDFB1E" w14:textId="77777777" w:rsidTr="00614C8C">
        <w:trPr>
          <w:trHeight w:val="85"/>
        </w:trPr>
        <w:tc>
          <w:tcPr>
            <w:tcW w:w="2087" w:type="dxa"/>
            <w:tcBorders>
              <w:bottom w:val="single" w:sz="4" w:space="0" w:color="auto"/>
            </w:tcBorders>
          </w:tcPr>
          <w:p w14:paraId="495690B0" w14:textId="77777777" w:rsidR="004F725E" w:rsidRPr="004F725E" w:rsidRDefault="004F725E" w:rsidP="004F725E">
            <w:pPr>
              <w:spacing w:line="288" w:lineRule="auto"/>
              <w:rPr>
                <w:rFonts w:ascii="Open Sans" w:eastAsia="Calibri" w:hAnsi="Open Sans" w:cs="Open Sans"/>
                <w:sz w:val="8"/>
              </w:rPr>
            </w:pPr>
          </w:p>
        </w:tc>
        <w:tc>
          <w:tcPr>
            <w:tcW w:w="7741" w:type="dxa"/>
          </w:tcPr>
          <w:p w14:paraId="18F99B0D" w14:textId="77777777" w:rsidR="004F725E" w:rsidRPr="004F725E" w:rsidRDefault="004F725E" w:rsidP="004F725E">
            <w:pPr>
              <w:spacing w:line="288" w:lineRule="auto"/>
              <w:rPr>
                <w:rFonts w:ascii="Open Sans" w:eastAsia="Calibri" w:hAnsi="Open Sans" w:cs="Open Sans"/>
                <w:sz w:val="8"/>
              </w:rPr>
            </w:pPr>
          </w:p>
        </w:tc>
      </w:tr>
      <w:tr w:rsidR="004F725E" w:rsidRPr="004F725E" w14:paraId="2AC86648" w14:textId="77777777" w:rsidTr="00614C8C">
        <w:trPr>
          <w:trHeight w:val="612"/>
        </w:trPr>
        <w:tc>
          <w:tcPr>
            <w:tcW w:w="9828" w:type="dxa"/>
            <w:gridSpan w:val="2"/>
          </w:tcPr>
          <w:p w14:paraId="25578CFC" w14:textId="057DD530" w:rsidR="004F725E" w:rsidRPr="004F725E" w:rsidRDefault="004F725E" w:rsidP="004F725E">
            <w:pPr>
              <w:jc w:val="both"/>
              <w:rPr>
                <w:rFonts w:ascii="Open Sans" w:eastAsia="Calibri" w:hAnsi="Open Sans" w:cs="Open Sans"/>
              </w:rPr>
            </w:pPr>
            <w:r w:rsidRPr="004F725E">
              <w:rPr>
                <w:rFonts w:ascii="Open Sans" w:eastAsia="Calibri" w:hAnsi="Open Sans" w:cs="Open Sans"/>
                <w:b/>
                <w:color w:val="33006F"/>
                <w:sz w:val="20"/>
              </w:rPr>
              <w:t xml:space="preserve">Acknowledgements: </w:t>
            </w:r>
            <w:r w:rsidRPr="004F725E">
              <w:rPr>
                <w:rFonts w:ascii="Open Sans" w:eastAsia="Calibri" w:hAnsi="Open Sans" w:cs="Open Sans"/>
                <w:sz w:val="20"/>
              </w:rPr>
              <w:t xml:space="preserve">This case written by Asher Curtis </w:t>
            </w:r>
            <w:r w:rsidR="00585776">
              <w:rPr>
                <w:rFonts w:ascii="Open Sans" w:eastAsia="Calibri" w:hAnsi="Open Sans" w:cs="Open Sans"/>
                <w:sz w:val="20"/>
              </w:rPr>
              <w:t>September 2020</w:t>
            </w:r>
            <w:r w:rsidRPr="004F725E">
              <w:rPr>
                <w:rFonts w:ascii="Open Sans" w:eastAsia="Calibri" w:hAnsi="Open Sans" w:cs="Open Sans"/>
                <w:sz w:val="20"/>
              </w:rPr>
              <w:t>.</w:t>
            </w:r>
          </w:p>
        </w:tc>
      </w:tr>
    </w:tbl>
    <w:p w14:paraId="65089D9D" w14:textId="77777777" w:rsidR="004F725E" w:rsidRPr="004F725E" w:rsidRDefault="004F725E" w:rsidP="004F725E">
      <w:pPr>
        <w:spacing w:after="0" w:line="240" w:lineRule="auto"/>
        <w:rPr>
          <w:rFonts w:ascii="Open Sans" w:eastAsia="Calibri" w:hAnsi="Open Sans" w:cs="Open Sans"/>
        </w:rPr>
      </w:pPr>
    </w:p>
    <w:p w14:paraId="07F685F9" w14:textId="77777777" w:rsidR="00B07AD7" w:rsidRPr="004F725E" w:rsidRDefault="00000000">
      <w:pPr>
        <w:rPr>
          <w:rFonts w:ascii="Open Sans" w:hAnsi="Open Sans" w:cs="Open Sans"/>
        </w:rPr>
      </w:pPr>
    </w:p>
    <w:sectPr w:rsidR="00B07AD7" w:rsidRPr="004F725E" w:rsidSect="00512B97">
      <w:headerReference w:type="default" r:id="rId14"/>
      <w:footerReference w:type="default" r:id="rId15"/>
      <w:headerReference w:type="first" r:id="rId16"/>
      <w:footerReference w:type="first" r:id="rId17"/>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2ED47" w14:textId="77777777" w:rsidR="00E46BB8" w:rsidRDefault="00E46BB8" w:rsidP="004F725E">
      <w:pPr>
        <w:spacing w:after="0" w:line="240" w:lineRule="auto"/>
      </w:pPr>
      <w:r>
        <w:separator/>
      </w:r>
    </w:p>
  </w:endnote>
  <w:endnote w:type="continuationSeparator" w:id="0">
    <w:p w14:paraId="18B4CC53" w14:textId="77777777" w:rsidR="00E46BB8" w:rsidRDefault="00E46BB8" w:rsidP="004F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558761"/>
      <w:docPartObj>
        <w:docPartGallery w:val="Page Numbers (Bottom of Page)"/>
        <w:docPartUnique/>
      </w:docPartObj>
    </w:sdtPr>
    <w:sdtEndPr>
      <w:rPr>
        <w:color w:val="33006F"/>
        <w:spacing w:val="60"/>
      </w:rPr>
    </w:sdtEndPr>
    <w:sdtContent>
      <w:p w14:paraId="01BA7024" w14:textId="77777777" w:rsidR="000D0491" w:rsidRDefault="002E5C09" w:rsidP="004F725E">
        <w:pPr>
          <w:pStyle w:val="Footer"/>
          <w:pBdr>
            <w:top w:val="single" w:sz="4" w:space="1" w:color="D9D9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686CBD3D" w14:textId="77777777" w:rsidR="000D04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D0491" w:rsidRPr="005951C3" w14:paraId="220E6B16" w14:textId="77777777" w:rsidTr="00E423D7">
      <w:tc>
        <w:tcPr>
          <w:tcW w:w="8298" w:type="dxa"/>
        </w:tcPr>
        <w:p w14:paraId="0A2199AE" w14:textId="77777777" w:rsidR="000D0491" w:rsidRPr="005951C3" w:rsidRDefault="002E5C09"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4611559E" w14:textId="77777777" w:rsidR="000D0491" w:rsidRPr="005951C3" w:rsidRDefault="002E5C09"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0EE32FED" wp14:editId="3CB24C13">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2EF8EC" w14:textId="77777777" w:rsidR="000D0491"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02F32" w14:textId="77777777" w:rsidR="00E46BB8" w:rsidRDefault="00E46BB8" w:rsidP="004F725E">
      <w:pPr>
        <w:spacing w:after="0" w:line="240" w:lineRule="auto"/>
      </w:pPr>
      <w:r>
        <w:separator/>
      </w:r>
    </w:p>
  </w:footnote>
  <w:footnote w:type="continuationSeparator" w:id="0">
    <w:p w14:paraId="38A14B23" w14:textId="77777777" w:rsidR="00E46BB8" w:rsidRDefault="00E46BB8" w:rsidP="004F725E">
      <w:pPr>
        <w:spacing w:after="0" w:line="240" w:lineRule="auto"/>
      </w:pPr>
      <w:r>
        <w:continuationSeparator/>
      </w:r>
    </w:p>
  </w:footnote>
  <w:footnote w:id="1">
    <w:p w14:paraId="0DD3ACF4" w14:textId="77777777" w:rsidR="004C4A93" w:rsidRDefault="004C4A93" w:rsidP="004C4A93">
      <w:pPr>
        <w:pStyle w:val="FootnoteText"/>
      </w:pPr>
      <w:r>
        <w:rPr>
          <w:rStyle w:val="FootnoteReference"/>
        </w:rPr>
        <w:footnoteRef/>
      </w:r>
      <w:r>
        <w:t xml:space="preserve"> </w:t>
      </w:r>
      <w:proofErr w:type="spellStart"/>
      <w:r>
        <w:t>Lyndenburg</w:t>
      </w:r>
      <w:proofErr w:type="spellEnd"/>
      <w:r>
        <w:t>, Rogers, Wood “From Transparency to Performance; Industry-Based Sustainability Reporting on Key Issues”</w:t>
      </w:r>
    </w:p>
  </w:footnote>
  <w:footnote w:id="2">
    <w:p w14:paraId="0C9EBB40" w14:textId="77777777" w:rsidR="004C4A93" w:rsidRDefault="004C4A93" w:rsidP="004C4A93">
      <w:pPr>
        <w:pStyle w:val="FootnoteText"/>
      </w:pPr>
      <w:r>
        <w:rPr>
          <w:rStyle w:val="FootnoteReference"/>
        </w:rPr>
        <w:footnoteRef/>
      </w:r>
      <w:r>
        <w:t xml:space="preserve"> </w:t>
      </w:r>
      <w:hyperlink r:id="rId1" w:history="1">
        <w:r>
          <w:rPr>
            <w:rStyle w:val="Hyperlink"/>
          </w:rPr>
          <w:t>https://www.apple.com/newsroom/2020/07/apple-commits-to-be-100-percent-carbon-neutral-for-its-supply-chain-and-products-by-2030/</w:t>
        </w:r>
      </w:hyperlink>
    </w:p>
  </w:footnote>
  <w:footnote w:id="3">
    <w:p w14:paraId="408238FA" w14:textId="77777777" w:rsidR="004C4A93" w:rsidRDefault="004C4A93" w:rsidP="004C4A93">
      <w:pPr>
        <w:pStyle w:val="FootnoteText"/>
      </w:pPr>
      <w:r>
        <w:rPr>
          <w:rStyle w:val="FootnoteReference"/>
        </w:rPr>
        <w:footnoteRef/>
      </w:r>
      <w:r>
        <w:t xml:space="preserve"> </w:t>
      </w:r>
      <w:hyperlink r:id="rId2" w:history="1">
        <w:r>
          <w:rPr>
            <w:rStyle w:val="Hyperlink"/>
          </w:rPr>
          <w:t>https://thehill.com/changing-america/respect/accessibility/515488-t-mobile-to-give-free-internet-to-10-million-students</w:t>
        </w:r>
      </w:hyperlink>
    </w:p>
  </w:footnote>
  <w:footnote w:id="4">
    <w:p w14:paraId="5ED0A789" w14:textId="77777777" w:rsidR="004C4A93" w:rsidRDefault="004C4A93" w:rsidP="004C4A93">
      <w:pPr>
        <w:pStyle w:val="FootnoteText"/>
      </w:pPr>
      <w:r>
        <w:rPr>
          <w:rStyle w:val="FootnoteReference"/>
        </w:rPr>
        <w:footnoteRef/>
      </w:r>
      <w:r>
        <w:t xml:space="preserve"> </w:t>
      </w:r>
      <w:hyperlink r:id="rId3" w:history="1">
        <w:r>
          <w:rPr>
            <w:rStyle w:val="Hyperlink"/>
          </w:rPr>
          <w:t>https://www.npr.org/sections/alltechconsidered/2016/02/03/465270938/intel-discloses-diversity-data-challenges-tech-industry-to-follow-suit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3787D" w14:textId="77777777" w:rsidR="000D0491" w:rsidRDefault="00000000" w:rsidP="006F33FC">
    <w:pPr>
      <w:pStyle w:val="FBLogo"/>
      <w:spacing w:after="120"/>
    </w:pPr>
  </w:p>
  <w:p w14:paraId="32820ED4" w14:textId="77777777" w:rsidR="000D0491" w:rsidRPr="001F60E1" w:rsidRDefault="002E5C09" w:rsidP="001F60E1">
    <w:pPr>
      <w:jc w:val="right"/>
      <w:rPr>
        <w:color w:val="33006F"/>
      </w:rPr>
    </w:pPr>
    <w:r w:rsidRPr="001F60E1">
      <w:rPr>
        <w:color w:val="33006F"/>
      </w:rPr>
      <w:t>Foster School of Business Case</w:t>
    </w:r>
  </w:p>
  <w:p w14:paraId="427FB66E" w14:textId="5B1E846B" w:rsidR="000D0491" w:rsidRDefault="00585776" w:rsidP="001F60E1">
    <w:pPr>
      <w:jc w:val="right"/>
      <w:rPr>
        <w:color w:val="33006F"/>
      </w:rPr>
    </w:pPr>
    <w:r>
      <w:rPr>
        <w:color w:val="33006F"/>
      </w:rPr>
      <w:t>ESG Trends</w:t>
    </w:r>
  </w:p>
  <w:p w14:paraId="38866484" w14:textId="77777777" w:rsidR="000D0491" w:rsidRPr="001F60E1" w:rsidRDefault="00000000"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0D0491" w14:paraId="0C109FD9" w14:textId="77777777" w:rsidTr="00E423D7">
      <w:trPr>
        <w:trHeight w:val="1174"/>
      </w:trPr>
      <w:tc>
        <w:tcPr>
          <w:tcW w:w="4032" w:type="dxa"/>
        </w:tcPr>
        <w:p w14:paraId="7FB87BE0" w14:textId="77777777" w:rsidR="000D0491" w:rsidRDefault="002E5C09" w:rsidP="00793977">
          <w:pPr>
            <w:pStyle w:val="FBLogo"/>
            <w:spacing w:after="240"/>
            <w:jc w:val="left"/>
          </w:pPr>
          <w:r>
            <w:rPr>
              <w:noProof/>
            </w:rPr>
            <w:drawing>
              <wp:anchor distT="0" distB="0" distL="114300" distR="114300" simplePos="0" relativeHeight="251659264" behindDoc="0" locked="0" layoutInCell="1" allowOverlap="1" wp14:anchorId="057FD480" wp14:editId="1407EB86">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6375400D" w14:textId="77777777" w:rsidR="000D0491" w:rsidRDefault="00000000" w:rsidP="00793977">
          <w:pPr>
            <w:pStyle w:val="FBLogo"/>
            <w:spacing w:after="240"/>
            <w:ind w:firstLine="18"/>
            <w:jc w:val="left"/>
          </w:pPr>
        </w:p>
        <w:p w14:paraId="24272058" w14:textId="77777777" w:rsidR="000D0491" w:rsidRPr="00793977" w:rsidRDefault="00000000" w:rsidP="00793977">
          <w:pPr>
            <w:jc w:val="right"/>
          </w:pPr>
        </w:p>
      </w:tc>
    </w:tr>
  </w:tbl>
  <w:p w14:paraId="74D0ED12" w14:textId="77777777" w:rsidR="000D0491" w:rsidRDefault="00000000"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194C"/>
    <w:multiLevelType w:val="hybridMultilevel"/>
    <w:tmpl w:val="4A16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32BD0"/>
    <w:multiLevelType w:val="hybridMultilevel"/>
    <w:tmpl w:val="0082C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0A34A3"/>
    <w:multiLevelType w:val="hybridMultilevel"/>
    <w:tmpl w:val="0082C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3885277">
    <w:abstractNumId w:val="1"/>
  </w:num>
  <w:num w:numId="2" w16cid:durableId="1416711477">
    <w:abstractNumId w:val="0"/>
  </w:num>
  <w:num w:numId="3" w16cid:durableId="1599294241">
    <w:abstractNumId w:val="3"/>
  </w:num>
  <w:num w:numId="4" w16cid:durableId="688482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5E"/>
    <w:rsid w:val="000B09DF"/>
    <w:rsid w:val="000F7962"/>
    <w:rsid w:val="00247D4B"/>
    <w:rsid w:val="002E5C09"/>
    <w:rsid w:val="00420637"/>
    <w:rsid w:val="00433664"/>
    <w:rsid w:val="004C4A93"/>
    <w:rsid w:val="004F725E"/>
    <w:rsid w:val="005118A3"/>
    <w:rsid w:val="00585776"/>
    <w:rsid w:val="005954BD"/>
    <w:rsid w:val="00666FDD"/>
    <w:rsid w:val="006927E5"/>
    <w:rsid w:val="006F0160"/>
    <w:rsid w:val="0085144B"/>
    <w:rsid w:val="00984D71"/>
    <w:rsid w:val="009C049E"/>
    <w:rsid w:val="00A113D3"/>
    <w:rsid w:val="00A265FE"/>
    <w:rsid w:val="00B23FED"/>
    <w:rsid w:val="00B96507"/>
    <w:rsid w:val="00BD0606"/>
    <w:rsid w:val="00BF05DC"/>
    <w:rsid w:val="00D72133"/>
    <w:rsid w:val="00E42E8D"/>
    <w:rsid w:val="00E46BB8"/>
    <w:rsid w:val="00FA3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10C4"/>
  <w15:chartTrackingRefBased/>
  <w15:docId w15:val="{629F6F6F-AE80-4CA4-BF41-5AFFFB7F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4F725E"/>
    <w:pPr>
      <w:spacing w:after="1613" w:line="288" w:lineRule="auto"/>
      <w:ind w:right="-720"/>
      <w:contextualSpacing/>
      <w:jc w:val="right"/>
    </w:pPr>
  </w:style>
  <w:style w:type="paragraph" w:styleId="Footer">
    <w:name w:val="footer"/>
    <w:basedOn w:val="Normal"/>
    <w:link w:val="FooterChar"/>
    <w:uiPriority w:val="99"/>
    <w:unhideWhenUsed/>
    <w:rsid w:val="004F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25E"/>
  </w:style>
  <w:style w:type="table" w:styleId="TableGrid">
    <w:name w:val="Table Grid"/>
    <w:basedOn w:val="TableNormal"/>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F7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25E"/>
  </w:style>
  <w:style w:type="paragraph" w:styleId="TOC1">
    <w:name w:val="toc 1"/>
    <w:basedOn w:val="Normal"/>
    <w:next w:val="Normal"/>
    <w:autoRedefine/>
    <w:uiPriority w:val="39"/>
    <w:unhideWhenUsed/>
    <w:rsid w:val="000B09DF"/>
    <w:pPr>
      <w:spacing w:after="100"/>
    </w:pPr>
  </w:style>
  <w:style w:type="character" w:styleId="Hyperlink">
    <w:name w:val="Hyperlink"/>
    <w:basedOn w:val="DefaultParagraphFont"/>
    <w:uiPriority w:val="99"/>
    <w:unhideWhenUsed/>
    <w:rsid w:val="000B09DF"/>
    <w:rPr>
      <w:color w:val="0563C1" w:themeColor="hyperlink"/>
      <w:u w:val="single"/>
    </w:rPr>
  </w:style>
  <w:style w:type="paragraph" w:styleId="FootnoteText">
    <w:name w:val="footnote text"/>
    <w:basedOn w:val="Normal"/>
    <w:link w:val="FootnoteTextChar"/>
    <w:uiPriority w:val="99"/>
    <w:semiHidden/>
    <w:unhideWhenUsed/>
    <w:rsid w:val="004C4A93"/>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4C4A93"/>
    <w:rPr>
      <w:rFonts w:eastAsiaTheme="minorEastAsia"/>
      <w:sz w:val="20"/>
      <w:szCs w:val="20"/>
    </w:rPr>
  </w:style>
  <w:style w:type="character" w:styleId="FootnoteReference">
    <w:name w:val="footnote reference"/>
    <w:basedOn w:val="DefaultParagraphFont"/>
    <w:uiPriority w:val="99"/>
    <w:semiHidden/>
    <w:unhideWhenUsed/>
    <w:rsid w:val="004C4A93"/>
    <w:rPr>
      <w:vertAlign w:val="superscript"/>
    </w:rPr>
  </w:style>
  <w:style w:type="character" w:styleId="UnresolvedMention">
    <w:name w:val="Unresolved Mention"/>
    <w:basedOn w:val="DefaultParagraphFont"/>
    <w:uiPriority w:val="99"/>
    <w:semiHidden/>
    <w:unhideWhenUsed/>
    <w:rsid w:val="004C4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asb.org/wp-content/uploads/2018/11/SICS-Industry-List.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asb.org/standards-overview/materiality-map/"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asb.org/governance/"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sasb.or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npr.org/sections/alltechconsidered/2016/02/03/465270938/intel-discloses-diversity-data-challenges-tech-industry-to-follow-suit" TargetMode="External"/><Relationship Id="rId2" Type="http://schemas.openxmlformats.org/officeDocument/2006/relationships/hyperlink" Target="https://thehill.com/changing-america/respect/accessibility/515488-t-mobile-to-give-free-internet-to-10-million-students" TargetMode="External"/><Relationship Id="rId1" Type="http://schemas.openxmlformats.org/officeDocument/2006/relationships/hyperlink" Target="https://www.apple.com/newsroom/2020/07/apple-commits-to-be-100-percent-carbon-neutral-for-its-supply-chain-and-products-by-203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04735CF7814E419237D188CCA99D12" ma:contentTypeVersion="13" ma:contentTypeDescription="Create a new document." ma:contentTypeScope="" ma:versionID="2d7b19871882bc8398f25739d12e0e0d">
  <xsd:schema xmlns:xsd="http://www.w3.org/2001/XMLSchema" xmlns:xs="http://www.w3.org/2001/XMLSchema" xmlns:p="http://schemas.microsoft.com/office/2006/metadata/properties" xmlns:ns3="5c288162-3a0f-49b6-8fe2-59156172891e" xmlns:ns4="f8a977ae-6c68-4349-a9b4-32a805694cd6" targetNamespace="http://schemas.microsoft.com/office/2006/metadata/properties" ma:root="true" ma:fieldsID="926ecdaf9993fb70d2558f4d610f965c" ns3:_="" ns4:_="">
    <xsd:import namespace="5c288162-3a0f-49b6-8fe2-59156172891e"/>
    <xsd:import namespace="f8a977ae-6c68-4349-a9b4-32a805694c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88162-3a0f-49b6-8fe2-591561728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977ae-6c68-4349-a9b4-32a805694c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7E4C41-9AF4-4AD3-A36C-6CA19192BF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2DD196-389E-4154-87F0-FF83E907078C}">
  <ds:schemaRefs>
    <ds:schemaRef ds:uri="http://schemas.microsoft.com/sharepoint/v3/contenttype/forms"/>
  </ds:schemaRefs>
</ds:datastoreItem>
</file>

<file path=customXml/itemProps3.xml><?xml version="1.0" encoding="utf-8"?>
<ds:datastoreItem xmlns:ds="http://schemas.openxmlformats.org/officeDocument/2006/customXml" ds:itemID="{1AD169CB-17C8-447E-9BE0-FDF01678B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88162-3a0f-49b6-8fe2-59156172891e"/>
    <ds:schemaRef ds:uri="f8a977ae-6c68-4349-a9b4-32a805694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Curtis</dc:creator>
  <cp:keywords/>
  <dc:description/>
  <cp:lastModifiedBy>Asher B. Curtis</cp:lastModifiedBy>
  <cp:revision>5</cp:revision>
  <cp:lastPrinted>2020-09-26T20:59:00Z</cp:lastPrinted>
  <dcterms:created xsi:type="dcterms:W3CDTF">2020-09-27T18:00:00Z</dcterms:created>
  <dcterms:modified xsi:type="dcterms:W3CDTF">2022-09-25T23:17:00Z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0x0101007704735CF7814E419237D188CCA99D12</vt:lpwstr>
  </property>
</Properties>
</file>