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45AFE5" w14:textId="77777777" w:rsidR="00BA7107" w:rsidRDefault="00BA7107">
      <w:bookmarkStart w:id="0" w:name="_GoBack"/>
      <w:bookmarkEnd w:id="0"/>
    </w:p>
    <w:p w14:paraId="6479A693" w14:textId="77777777" w:rsidR="00BA7107" w:rsidRDefault="00BA7107"/>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7"/>
        <w:gridCol w:w="7501"/>
      </w:tblGrid>
      <w:tr w:rsidR="00596031" w:rsidRPr="002F6B23" w14:paraId="36973161" w14:textId="77777777" w:rsidTr="002F6B23">
        <w:trPr>
          <w:trHeight w:val="477"/>
        </w:trPr>
        <w:tc>
          <w:tcPr>
            <w:tcW w:w="10188" w:type="dxa"/>
            <w:gridSpan w:val="2"/>
            <w:tcBorders>
              <w:bottom w:val="single" w:sz="12" w:space="0" w:color="33006F"/>
            </w:tcBorders>
          </w:tcPr>
          <w:p w14:paraId="29F8530F" w14:textId="01292C8E" w:rsidR="00596031" w:rsidRPr="002F6B23" w:rsidRDefault="00596031" w:rsidP="00596031">
            <w:pPr>
              <w:spacing w:line="240" w:lineRule="auto"/>
              <w:jc w:val="center"/>
              <w:rPr>
                <w:rFonts w:ascii="Open Sans" w:hAnsi="Open Sans" w:cs="Open Sans"/>
                <w:b/>
                <w:color w:val="000000" w:themeColor="text1"/>
                <w:sz w:val="24"/>
                <w:szCs w:val="24"/>
              </w:rPr>
            </w:pPr>
            <w:r w:rsidRPr="002F6B23">
              <w:rPr>
                <w:rFonts w:ascii="Open Sans" w:hAnsi="Open Sans" w:cs="Open Sans"/>
                <w:b/>
                <w:color w:val="33006F"/>
                <w:sz w:val="40"/>
                <w:szCs w:val="32"/>
              </w:rPr>
              <w:t>The Economics of Auditing</w:t>
            </w:r>
            <w:r w:rsidR="007142E2">
              <w:rPr>
                <w:rStyle w:val="EndnoteReference"/>
                <w:rFonts w:ascii="Open Sans" w:hAnsi="Open Sans" w:cs="Open Sans"/>
                <w:b/>
                <w:color w:val="33006F"/>
                <w:sz w:val="40"/>
                <w:szCs w:val="32"/>
              </w:rPr>
              <w:endnoteReference w:id="1"/>
            </w:r>
          </w:p>
        </w:tc>
      </w:tr>
      <w:tr w:rsidR="002F6B23" w:rsidRPr="00176AA8" w14:paraId="7606F4B1" w14:textId="77777777" w:rsidTr="002F6B23">
        <w:trPr>
          <w:trHeight w:val="477"/>
        </w:trPr>
        <w:tc>
          <w:tcPr>
            <w:tcW w:w="2687" w:type="dxa"/>
            <w:tcBorders>
              <w:top w:val="single" w:sz="12" w:space="0" w:color="33006F"/>
            </w:tcBorders>
          </w:tcPr>
          <w:p w14:paraId="614E224A" w14:textId="77777777" w:rsidR="002F6B23" w:rsidRPr="002F6B23" w:rsidRDefault="002F6B23" w:rsidP="00596031">
            <w:pPr>
              <w:spacing w:line="240" w:lineRule="auto"/>
              <w:jc w:val="center"/>
              <w:rPr>
                <w:rFonts w:ascii="Open Sans" w:hAnsi="Open Sans" w:cs="Open Sans"/>
                <w:b/>
              </w:rPr>
            </w:pPr>
          </w:p>
        </w:tc>
        <w:tc>
          <w:tcPr>
            <w:tcW w:w="7501" w:type="dxa"/>
            <w:tcBorders>
              <w:top w:val="single" w:sz="12" w:space="0" w:color="33006F"/>
            </w:tcBorders>
          </w:tcPr>
          <w:p w14:paraId="0D8658BD" w14:textId="77777777" w:rsidR="002F6B23" w:rsidRPr="002F6B23" w:rsidRDefault="002F6B23" w:rsidP="00596031">
            <w:pPr>
              <w:spacing w:line="240" w:lineRule="auto"/>
              <w:jc w:val="center"/>
              <w:rPr>
                <w:rFonts w:ascii="Open Sans" w:hAnsi="Open Sans" w:cs="Open Sans"/>
                <w:b/>
              </w:rPr>
            </w:pPr>
          </w:p>
        </w:tc>
      </w:tr>
      <w:tr w:rsidR="002F6B23" w:rsidRPr="00176AA8" w14:paraId="162510BD" w14:textId="77777777" w:rsidTr="002F6B23">
        <w:trPr>
          <w:trHeight w:val="477"/>
        </w:trPr>
        <w:tc>
          <w:tcPr>
            <w:tcW w:w="2687" w:type="dxa"/>
          </w:tcPr>
          <w:p w14:paraId="03E626B0" w14:textId="77777777" w:rsidR="002F6B23" w:rsidRPr="002F6B23" w:rsidRDefault="002F6B23" w:rsidP="002F6B23">
            <w:pPr>
              <w:spacing w:line="240" w:lineRule="auto"/>
              <w:rPr>
                <w:rFonts w:ascii="Open Sans" w:hAnsi="Open Sans" w:cs="Open Sans"/>
                <w:b/>
              </w:rPr>
            </w:pPr>
            <w:r>
              <w:rPr>
                <w:rFonts w:ascii="Open Sans" w:hAnsi="Open Sans" w:cs="Open Sans"/>
                <w:b/>
              </w:rPr>
              <w:t>Focus Companies:</w:t>
            </w:r>
          </w:p>
        </w:tc>
        <w:tc>
          <w:tcPr>
            <w:tcW w:w="7501" w:type="dxa"/>
          </w:tcPr>
          <w:p w14:paraId="2F66CF22" w14:textId="77777777" w:rsidR="002F6B23" w:rsidRPr="002F6B23" w:rsidRDefault="00816DFB" w:rsidP="00744929">
            <w:pPr>
              <w:spacing w:line="240" w:lineRule="auto"/>
              <w:rPr>
                <w:rFonts w:ascii="Open Sans" w:hAnsi="Open Sans" w:cs="Open Sans"/>
              </w:rPr>
            </w:pPr>
            <w:r>
              <w:rPr>
                <w:rFonts w:ascii="Open Sans" w:hAnsi="Open Sans" w:cs="Open Sans"/>
              </w:rPr>
              <w:t>Private Companies.</w:t>
            </w:r>
          </w:p>
        </w:tc>
      </w:tr>
      <w:tr w:rsidR="002F6B23" w:rsidRPr="00176AA8" w14:paraId="38F6B634" w14:textId="77777777" w:rsidTr="002F6B23">
        <w:trPr>
          <w:trHeight w:val="477"/>
        </w:trPr>
        <w:tc>
          <w:tcPr>
            <w:tcW w:w="2687" w:type="dxa"/>
            <w:tcBorders>
              <w:bottom w:val="nil"/>
            </w:tcBorders>
          </w:tcPr>
          <w:p w14:paraId="26FFDDC8" w14:textId="77777777" w:rsidR="002F6B23" w:rsidRPr="002F6B23" w:rsidRDefault="002F6B23" w:rsidP="002F6B23">
            <w:pPr>
              <w:spacing w:line="240" w:lineRule="auto"/>
              <w:rPr>
                <w:rFonts w:ascii="Open Sans" w:hAnsi="Open Sans" w:cs="Open Sans"/>
                <w:b/>
              </w:rPr>
            </w:pPr>
            <w:r>
              <w:rPr>
                <w:rFonts w:ascii="Open Sans" w:hAnsi="Open Sans" w:cs="Open Sans"/>
                <w:b/>
              </w:rPr>
              <w:t>Keywords:</w:t>
            </w:r>
          </w:p>
        </w:tc>
        <w:tc>
          <w:tcPr>
            <w:tcW w:w="7501" w:type="dxa"/>
            <w:tcBorders>
              <w:bottom w:val="nil"/>
            </w:tcBorders>
          </w:tcPr>
          <w:p w14:paraId="40EC0132" w14:textId="77777777" w:rsidR="002F6B23" w:rsidRPr="002F6B23" w:rsidRDefault="002F6B23" w:rsidP="002F6B23">
            <w:pPr>
              <w:spacing w:line="240" w:lineRule="auto"/>
              <w:rPr>
                <w:rFonts w:ascii="Open Sans" w:hAnsi="Open Sans" w:cs="Open Sans"/>
              </w:rPr>
            </w:pPr>
            <w:r w:rsidRPr="002F6B23">
              <w:rPr>
                <w:rFonts w:ascii="Open Sans" w:hAnsi="Open Sans" w:cs="Open Sans"/>
              </w:rPr>
              <w:t>Information; Stewardship; Economics.</w:t>
            </w:r>
          </w:p>
        </w:tc>
      </w:tr>
    </w:tbl>
    <w:p w14:paraId="6BB8B6F7" w14:textId="77777777" w:rsidR="000A34F1" w:rsidRDefault="000A34F1">
      <w:pPr>
        <w:spacing w:line="240" w:lineRule="auto"/>
      </w:pPr>
    </w:p>
    <w:p w14:paraId="285005E9" w14:textId="77777777" w:rsidR="00F8742C" w:rsidRPr="002F6B23" w:rsidRDefault="00596031" w:rsidP="00F8742C">
      <w:pPr>
        <w:pStyle w:val="Heading1"/>
        <w:rPr>
          <w:rFonts w:ascii="Open Sans" w:hAnsi="Open Sans" w:cs="Open Sans"/>
          <w:smallCaps/>
          <w:color w:val="33006F"/>
        </w:rPr>
      </w:pPr>
      <w:r w:rsidRPr="002F6B23">
        <w:rPr>
          <w:rFonts w:ascii="Open Sans" w:hAnsi="Open Sans" w:cs="Open Sans"/>
          <w:smallCaps/>
          <w:color w:val="33006F"/>
        </w:rPr>
        <w:t>Introduction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828"/>
      </w:tblGrid>
      <w:tr w:rsidR="00EC4EFA" w:rsidRPr="002F6B23" w14:paraId="0306DB54" w14:textId="77777777" w:rsidTr="00EC4EFA">
        <w:trPr>
          <w:trHeight w:val="792"/>
        </w:trPr>
        <w:tc>
          <w:tcPr>
            <w:tcW w:w="4932" w:type="dxa"/>
          </w:tcPr>
          <w:p w14:paraId="20FF8FF1" w14:textId="58E662F1" w:rsidR="00EC4EFA" w:rsidRPr="002F6B23" w:rsidRDefault="00EC4EFA" w:rsidP="00EC4EFA">
            <w:pPr>
              <w:spacing w:before="120" w:after="120" w:line="360" w:lineRule="auto"/>
              <w:jc w:val="both"/>
              <w:rPr>
                <w:rFonts w:ascii="Open Sans" w:hAnsi="Open Sans" w:cs="Open Sans"/>
              </w:rPr>
            </w:pPr>
            <w:r w:rsidRPr="002F6B23">
              <w:rPr>
                <w:rFonts w:ascii="Open Sans" w:hAnsi="Open Sans" w:cs="Open Sans"/>
                <w:sz w:val="20"/>
              </w:rPr>
              <w:t>Before getting into the details of providing auditing and assurance services, we need to pause and ask ourselves</w:t>
            </w:r>
            <w:r w:rsidR="00EB02F2">
              <w:rPr>
                <w:rFonts w:ascii="Open Sans" w:hAnsi="Open Sans" w:cs="Open Sans"/>
                <w:sz w:val="20"/>
              </w:rPr>
              <w:t>: why do companies have audits?</w:t>
            </w:r>
          </w:p>
        </w:tc>
        <w:tc>
          <w:tcPr>
            <w:tcW w:w="4932" w:type="dxa"/>
            <w:vAlign w:val="center"/>
          </w:tcPr>
          <w:p w14:paraId="0741D14B" w14:textId="77777777" w:rsidR="00EC4EFA" w:rsidRPr="002F6B23" w:rsidRDefault="00EC4EFA" w:rsidP="00EC4EFA">
            <w:pPr>
              <w:pStyle w:val="Heading1"/>
              <w:spacing w:before="0"/>
              <w:jc w:val="center"/>
              <w:rPr>
                <w:rFonts w:ascii="Open Sans" w:hAnsi="Open Sans" w:cs="Open Sans"/>
                <w:b w:val="0"/>
              </w:rPr>
            </w:pPr>
            <w:r w:rsidRPr="002F6B23">
              <w:rPr>
                <w:rFonts w:ascii="Open Sans" w:hAnsi="Open Sans" w:cs="Open Sans"/>
                <w:smallCaps/>
                <w:color w:val="33006F"/>
              </w:rPr>
              <w:t>“Why do companies have audits?”</w:t>
            </w:r>
          </w:p>
        </w:tc>
      </w:tr>
    </w:tbl>
    <w:p w14:paraId="3918D805" w14:textId="65F11621" w:rsidR="00362597" w:rsidRDefault="00EC4EFA" w:rsidP="00EC4EFA">
      <w:pPr>
        <w:spacing w:before="120" w:after="120" w:line="360" w:lineRule="auto"/>
        <w:jc w:val="both"/>
        <w:rPr>
          <w:rFonts w:ascii="Open Sans" w:hAnsi="Open Sans" w:cs="Open Sans"/>
          <w:sz w:val="20"/>
          <w:szCs w:val="20"/>
        </w:rPr>
      </w:pPr>
      <w:r w:rsidRPr="00BA7107">
        <w:rPr>
          <w:rFonts w:ascii="Open Sans" w:hAnsi="Open Sans" w:cs="Open Sans"/>
          <w:sz w:val="20"/>
          <w:szCs w:val="20"/>
        </w:rPr>
        <w:t xml:space="preserve">In this case, we will discuss the role of the audit and assurance both historically and in today’s heavily regulated environment. At a high level, </w:t>
      </w:r>
      <w:r w:rsidR="002F6B23" w:rsidRPr="00BA7107">
        <w:rPr>
          <w:rFonts w:ascii="Open Sans" w:hAnsi="Open Sans" w:cs="Open Sans"/>
          <w:sz w:val="20"/>
          <w:szCs w:val="20"/>
        </w:rPr>
        <w:t xml:space="preserve">we will consider </w:t>
      </w:r>
      <w:r w:rsidRPr="00BA7107">
        <w:rPr>
          <w:rFonts w:ascii="Open Sans" w:hAnsi="Open Sans" w:cs="Open Sans"/>
          <w:sz w:val="20"/>
          <w:szCs w:val="20"/>
        </w:rPr>
        <w:t xml:space="preserve">auditing </w:t>
      </w:r>
      <w:r w:rsidR="002F6B23" w:rsidRPr="00BA7107">
        <w:rPr>
          <w:rFonts w:ascii="Open Sans" w:hAnsi="Open Sans" w:cs="Open Sans"/>
          <w:sz w:val="20"/>
          <w:szCs w:val="20"/>
        </w:rPr>
        <w:t xml:space="preserve">and assurance </w:t>
      </w:r>
      <w:r w:rsidRPr="00BA7107">
        <w:rPr>
          <w:rFonts w:ascii="Open Sans" w:hAnsi="Open Sans" w:cs="Open Sans"/>
          <w:sz w:val="20"/>
          <w:szCs w:val="20"/>
        </w:rPr>
        <w:t>as an economic service</w:t>
      </w:r>
      <w:r w:rsidR="002F6B23" w:rsidRPr="00BA7107">
        <w:rPr>
          <w:rFonts w:ascii="Open Sans" w:hAnsi="Open Sans" w:cs="Open Sans"/>
          <w:sz w:val="20"/>
          <w:szCs w:val="20"/>
        </w:rPr>
        <w:t xml:space="preserve"> and seek to understand the</w:t>
      </w:r>
      <w:r w:rsidR="00BA7107" w:rsidRPr="00BA7107">
        <w:rPr>
          <w:rFonts w:ascii="Open Sans" w:hAnsi="Open Sans" w:cs="Open Sans"/>
          <w:sz w:val="20"/>
          <w:szCs w:val="20"/>
        </w:rPr>
        <w:t xml:space="preserve"> sources of demand for audit and assurance services</w:t>
      </w:r>
      <w:r w:rsidRPr="00BA7107">
        <w:rPr>
          <w:rFonts w:ascii="Open Sans" w:hAnsi="Open Sans" w:cs="Open Sans"/>
          <w:sz w:val="20"/>
          <w:szCs w:val="20"/>
        </w:rPr>
        <w:t xml:space="preserve">. </w:t>
      </w:r>
      <w:r w:rsidR="00744929">
        <w:rPr>
          <w:rFonts w:ascii="Open Sans" w:hAnsi="Open Sans" w:cs="Open Sans"/>
          <w:sz w:val="20"/>
          <w:szCs w:val="20"/>
        </w:rPr>
        <w:t xml:space="preserve">To complete this case, </w:t>
      </w:r>
      <w:r w:rsidR="00816DFB">
        <w:rPr>
          <w:rFonts w:ascii="Open Sans" w:hAnsi="Open Sans" w:cs="Open Sans"/>
          <w:sz w:val="20"/>
          <w:szCs w:val="20"/>
        </w:rPr>
        <w:t>each group</w:t>
      </w:r>
      <w:r w:rsidR="00BA7107">
        <w:rPr>
          <w:rFonts w:ascii="Open Sans" w:hAnsi="Open Sans" w:cs="Open Sans"/>
          <w:sz w:val="20"/>
          <w:szCs w:val="20"/>
        </w:rPr>
        <w:t xml:space="preserve"> will examine one </w:t>
      </w:r>
      <w:r w:rsidR="00816DFB">
        <w:rPr>
          <w:rFonts w:ascii="Open Sans" w:hAnsi="Open Sans" w:cs="Open Sans"/>
          <w:sz w:val="20"/>
          <w:szCs w:val="20"/>
        </w:rPr>
        <w:t>private company</w:t>
      </w:r>
      <w:r w:rsidR="00BA7107">
        <w:rPr>
          <w:rFonts w:ascii="Open Sans" w:hAnsi="Open Sans" w:cs="Open Sans"/>
          <w:sz w:val="20"/>
          <w:szCs w:val="20"/>
        </w:rPr>
        <w:t xml:space="preserve"> headquartered in the Seattle metropolitan</w:t>
      </w:r>
      <w:r w:rsidR="007142E2">
        <w:rPr>
          <w:rFonts w:ascii="Open Sans" w:hAnsi="Open Sans" w:cs="Open Sans"/>
          <w:sz w:val="20"/>
          <w:szCs w:val="20"/>
        </w:rPr>
        <w:t>,</w:t>
      </w:r>
      <w:r w:rsidR="00744929">
        <w:rPr>
          <w:rFonts w:ascii="Open Sans" w:hAnsi="Open Sans" w:cs="Open Sans"/>
          <w:sz w:val="20"/>
          <w:szCs w:val="20"/>
        </w:rPr>
        <w:t xml:space="preserve"> Greater Seattle </w:t>
      </w:r>
      <w:r w:rsidR="00BA7107">
        <w:rPr>
          <w:rFonts w:ascii="Open Sans" w:hAnsi="Open Sans" w:cs="Open Sans"/>
          <w:sz w:val="20"/>
          <w:szCs w:val="20"/>
        </w:rPr>
        <w:t>area</w:t>
      </w:r>
      <w:r w:rsidR="007142E2">
        <w:rPr>
          <w:rFonts w:ascii="Open Sans" w:hAnsi="Open Sans" w:cs="Open Sans"/>
          <w:sz w:val="20"/>
          <w:szCs w:val="20"/>
        </w:rPr>
        <w:t>, or Washington State</w:t>
      </w:r>
      <w:r w:rsidR="00816DFB">
        <w:rPr>
          <w:rFonts w:ascii="Open Sans" w:hAnsi="Open Sans" w:cs="Open Sans"/>
          <w:sz w:val="20"/>
          <w:szCs w:val="20"/>
        </w:rPr>
        <w:t xml:space="preserve">. There are many large well-known private companies including </w:t>
      </w:r>
      <w:proofErr w:type="spellStart"/>
      <w:r w:rsidR="00BA7107" w:rsidRPr="00744929">
        <w:rPr>
          <w:rFonts w:ascii="Open Sans" w:hAnsi="Open Sans" w:cs="Open Sans"/>
          <w:sz w:val="20"/>
          <w:szCs w:val="20"/>
        </w:rPr>
        <w:t>SaltChuk</w:t>
      </w:r>
      <w:proofErr w:type="spellEnd"/>
      <w:r w:rsidR="00BA7107" w:rsidRPr="00744929">
        <w:rPr>
          <w:rFonts w:ascii="Open Sans" w:hAnsi="Open Sans" w:cs="Open Sans"/>
          <w:sz w:val="20"/>
          <w:szCs w:val="20"/>
        </w:rPr>
        <w:t xml:space="preserve">, </w:t>
      </w:r>
      <w:proofErr w:type="spellStart"/>
      <w:r w:rsidR="00BA7107" w:rsidRPr="00744929">
        <w:rPr>
          <w:rFonts w:ascii="Open Sans" w:hAnsi="Open Sans" w:cs="Open Sans"/>
          <w:sz w:val="20"/>
          <w:szCs w:val="20"/>
        </w:rPr>
        <w:t>Darigold</w:t>
      </w:r>
      <w:proofErr w:type="spellEnd"/>
      <w:r w:rsidR="00BA7107" w:rsidRPr="00744929">
        <w:rPr>
          <w:rFonts w:ascii="Open Sans" w:hAnsi="Open Sans" w:cs="Open Sans"/>
          <w:sz w:val="20"/>
          <w:szCs w:val="20"/>
        </w:rPr>
        <w:t xml:space="preserve">, REI, Intellectual Ventures, </w:t>
      </w:r>
      <w:r w:rsidR="00730FF5" w:rsidRPr="00730FF5">
        <w:rPr>
          <w:rFonts w:ascii="Open Sans" w:hAnsi="Open Sans" w:cs="Open Sans"/>
          <w:sz w:val="20"/>
          <w:szCs w:val="20"/>
        </w:rPr>
        <w:t>Bartell Drugs</w:t>
      </w:r>
      <w:r w:rsidR="00816DFB">
        <w:rPr>
          <w:rFonts w:ascii="Open Sans" w:hAnsi="Open Sans" w:cs="Open Sans"/>
          <w:sz w:val="20"/>
          <w:szCs w:val="20"/>
        </w:rPr>
        <w:t xml:space="preserve"> and many others in this region, pick a company that interests your team</w:t>
      </w:r>
      <w:r w:rsidR="00744929">
        <w:rPr>
          <w:rFonts w:ascii="Open Sans" w:hAnsi="Open Sans" w:cs="Open Sans"/>
          <w:sz w:val="20"/>
          <w:szCs w:val="20"/>
        </w:rPr>
        <w:t>. For each of these companies, consider the</w:t>
      </w:r>
      <w:r w:rsidR="007142E2">
        <w:rPr>
          <w:rFonts w:ascii="Open Sans" w:hAnsi="Open Sans" w:cs="Open Sans"/>
          <w:sz w:val="20"/>
          <w:szCs w:val="20"/>
        </w:rPr>
        <w:t xml:space="preserve"> information they disclose publicly </w:t>
      </w:r>
      <w:r w:rsidR="00744929">
        <w:rPr>
          <w:rFonts w:ascii="Open Sans" w:hAnsi="Open Sans" w:cs="Open Sans"/>
          <w:sz w:val="20"/>
          <w:szCs w:val="20"/>
        </w:rPr>
        <w:t xml:space="preserve">and whether </w:t>
      </w:r>
      <w:r w:rsidR="007142E2">
        <w:rPr>
          <w:rFonts w:ascii="Open Sans" w:hAnsi="Open Sans" w:cs="Open Sans"/>
          <w:sz w:val="20"/>
          <w:szCs w:val="20"/>
        </w:rPr>
        <w:t>you expect them</w:t>
      </w:r>
      <w:r w:rsidR="00744929">
        <w:rPr>
          <w:rFonts w:ascii="Open Sans" w:hAnsi="Open Sans" w:cs="Open Sans"/>
          <w:sz w:val="20"/>
          <w:szCs w:val="20"/>
        </w:rPr>
        <w:t xml:space="preserve"> to employ an external audit firm</w:t>
      </w:r>
      <w:r w:rsidR="007B5561">
        <w:rPr>
          <w:rFonts w:ascii="Open Sans" w:hAnsi="Open Sans" w:cs="Open Sans"/>
          <w:sz w:val="20"/>
          <w:szCs w:val="20"/>
        </w:rPr>
        <w:t xml:space="preserve">, if </w:t>
      </w:r>
      <w:r w:rsidR="007142E2">
        <w:rPr>
          <w:rFonts w:ascii="Open Sans" w:hAnsi="Open Sans" w:cs="Open Sans"/>
          <w:sz w:val="20"/>
          <w:szCs w:val="20"/>
        </w:rPr>
        <w:t>yes</w:t>
      </w:r>
      <w:r w:rsidR="007B5561">
        <w:rPr>
          <w:rFonts w:ascii="Open Sans" w:hAnsi="Open Sans" w:cs="Open Sans"/>
          <w:sz w:val="20"/>
          <w:szCs w:val="20"/>
        </w:rPr>
        <w:t>, why, and if no, why not? By asking these questions we can better understand the economic theory that has shaped the modern provision of audit and assurance services.</w:t>
      </w:r>
      <w:r w:rsidR="00EB02F2">
        <w:rPr>
          <w:rStyle w:val="EndnoteReference"/>
          <w:rFonts w:ascii="Open Sans" w:hAnsi="Open Sans" w:cs="Open Sans"/>
          <w:sz w:val="20"/>
          <w:szCs w:val="20"/>
        </w:rPr>
        <w:endnoteReference w:id="2"/>
      </w:r>
    </w:p>
    <w:p w14:paraId="0923FBA2" w14:textId="77777777" w:rsidR="00362597" w:rsidRDefault="00362597">
      <w:pPr>
        <w:spacing w:line="240" w:lineRule="auto"/>
        <w:rPr>
          <w:rFonts w:ascii="Open Sans" w:hAnsi="Open Sans" w:cs="Open Sans"/>
          <w:sz w:val="20"/>
          <w:szCs w:val="20"/>
        </w:rPr>
      </w:pPr>
      <w:r>
        <w:rPr>
          <w:rFonts w:ascii="Open Sans" w:hAnsi="Open Sans" w:cs="Open Sans"/>
          <w:sz w:val="20"/>
          <w:szCs w:val="20"/>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4"/>
        <w:gridCol w:w="2421"/>
        <w:gridCol w:w="2410"/>
        <w:gridCol w:w="2413"/>
      </w:tblGrid>
      <w:tr w:rsidR="007C0593" w14:paraId="465BFD32" w14:textId="77777777" w:rsidTr="000B4980">
        <w:trPr>
          <w:trHeight w:val="927"/>
          <w:jc w:val="center"/>
        </w:trPr>
        <w:tc>
          <w:tcPr>
            <w:tcW w:w="2466" w:type="dxa"/>
          </w:tcPr>
          <w:p w14:paraId="447928BA" w14:textId="77777777" w:rsidR="007C0593" w:rsidRDefault="007C0593" w:rsidP="000B4980">
            <w:pPr>
              <w:spacing w:before="120" w:after="120" w:line="360" w:lineRule="auto"/>
              <w:jc w:val="center"/>
              <w:rPr>
                <w:rFonts w:ascii="Open Sans" w:hAnsi="Open Sans" w:cs="Open Sans"/>
                <w:sz w:val="20"/>
                <w:szCs w:val="20"/>
              </w:rPr>
            </w:pPr>
            <w:r>
              <w:rPr>
                <w:rFonts w:ascii="Open Sans" w:eastAsiaTheme="majorEastAsia" w:hAnsi="Open Sans" w:cs="Open Sans"/>
                <w:b/>
                <w:bCs/>
                <w:smallCaps/>
                <w:noProof/>
                <w:color w:val="33006F"/>
                <w:szCs w:val="28"/>
              </w:rPr>
              <w:lastRenderedPageBreak/>
              <w:drawing>
                <wp:inline distT="0" distB="0" distL="0" distR="0" wp14:anchorId="09FFC823" wp14:editId="34ADAE7F">
                  <wp:extent cx="457200" cy="457200"/>
                  <wp:effectExtent l="0" t="0" r="0" b="0"/>
                  <wp:docPr id="6" name="Graphic 6" descr="Rob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provider=MicrosoftIcon&amp;fileName=Robber.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57200" cy="457200"/>
                          </a:xfrm>
                          <a:prstGeom prst="rect">
                            <a:avLst/>
                          </a:prstGeom>
                        </pic:spPr>
                      </pic:pic>
                    </a:graphicData>
                  </a:graphic>
                </wp:inline>
              </w:drawing>
            </w:r>
          </w:p>
        </w:tc>
        <w:tc>
          <w:tcPr>
            <w:tcW w:w="2466" w:type="dxa"/>
          </w:tcPr>
          <w:p w14:paraId="771C4E38" w14:textId="77777777" w:rsidR="007C0593" w:rsidRDefault="007C0593" w:rsidP="000B4980">
            <w:pPr>
              <w:spacing w:before="120" w:after="120" w:line="360" w:lineRule="auto"/>
              <w:jc w:val="center"/>
              <w:rPr>
                <w:rFonts w:ascii="Open Sans" w:hAnsi="Open Sans" w:cs="Open Sans"/>
                <w:sz w:val="20"/>
                <w:szCs w:val="20"/>
              </w:rPr>
            </w:pPr>
            <w:r>
              <w:rPr>
                <w:rFonts w:ascii="Open Sans" w:eastAsiaTheme="majorEastAsia" w:hAnsi="Open Sans" w:cs="Open Sans"/>
                <w:b/>
                <w:bCs/>
                <w:smallCaps/>
                <w:noProof/>
                <w:color w:val="33006F"/>
                <w:szCs w:val="28"/>
              </w:rPr>
              <w:drawing>
                <wp:inline distT="0" distB="0" distL="0" distR="0" wp14:anchorId="060C186E" wp14:editId="1911E2B8">
                  <wp:extent cx="457200" cy="457200"/>
                  <wp:effectExtent l="0" t="0" r="0" b="0"/>
                  <wp:docPr id="2" name="Graphic 2" descr="C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rovider=MicrosoftIcon&amp;fileName=Coins.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57200" cy="457200"/>
                          </a:xfrm>
                          <a:prstGeom prst="rect">
                            <a:avLst/>
                          </a:prstGeom>
                        </pic:spPr>
                      </pic:pic>
                    </a:graphicData>
                  </a:graphic>
                </wp:inline>
              </w:drawing>
            </w:r>
          </w:p>
        </w:tc>
        <w:tc>
          <w:tcPr>
            <w:tcW w:w="2466" w:type="dxa"/>
          </w:tcPr>
          <w:p w14:paraId="13F1B4B4" w14:textId="77777777" w:rsidR="007C0593" w:rsidRDefault="007C0593" w:rsidP="000B4980">
            <w:pPr>
              <w:spacing w:before="120" w:after="120" w:line="360" w:lineRule="auto"/>
              <w:jc w:val="center"/>
              <w:rPr>
                <w:rFonts w:ascii="Open Sans" w:hAnsi="Open Sans" w:cs="Open Sans"/>
                <w:sz w:val="20"/>
                <w:szCs w:val="20"/>
              </w:rPr>
            </w:pPr>
            <w:r>
              <w:rPr>
                <w:rFonts w:ascii="Open Sans" w:hAnsi="Open Sans" w:cs="Open Sans"/>
                <w:noProof/>
                <w:sz w:val="20"/>
                <w:szCs w:val="20"/>
              </w:rPr>
              <w:drawing>
                <wp:inline distT="0" distB="0" distL="0" distR="0" wp14:anchorId="5E336D81" wp14:editId="75FCE4B2">
                  <wp:extent cx="457200" cy="457200"/>
                  <wp:effectExtent l="0" t="0" r="0" b="0"/>
                  <wp:docPr id="7" name="Graphic 7"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provider=MicrosoftIcon&amp;fileName=Network.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57200" cy="457200"/>
                          </a:xfrm>
                          <a:prstGeom prst="rect">
                            <a:avLst/>
                          </a:prstGeom>
                        </pic:spPr>
                      </pic:pic>
                    </a:graphicData>
                  </a:graphic>
                </wp:inline>
              </w:drawing>
            </w:r>
          </w:p>
        </w:tc>
        <w:tc>
          <w:tcPr>
            <w:tcW w:w="2466" w:type="dxa"/>
          </w:tcPr>
          <w:p w14:paraId="3AAE28B2" w14:textId="77777777" w:rsidR="007C0593" w:rsidRDefault="007C0593" w:rsidP="000B4980">
            <w:pPr>
              <w:spacing w:before="120" w:after="120" w:line="360" w:lineRule="auto"/>
              <w:jc w:val="center"/>
              <w:rPr>
                <w:rFonts w:ascii="Open Sans" w:hAnsi="Open Sans" w:cs="Open Sans"/>
                <w:sz w:val="20"/>
                <w:szCs w:val="20"/>
              </w:rPr>
            </w:pPr>
            <w:r>
              <w:rPr>
                <w:rFonts w:ascii="Open Sans" w:eastAsiaTheme="majorEastAsia" w:hAnsi="Open Sans" w:cs="Open Sans"/>
                <w:b/>
                <w:bCs/>
                <w:smallCaps/>
                <w:noProof/>
                <w:color w:val="33006F"/>
                <w:szCs w:val="28"/>
              </w:rPr>
              <w:drawing>
                <wp:inline distT="0" distB="0" distL="0" distR="0" wp14:anchorId="01DE8404" wp14:editId="507B50F6">
                  <wp:extent cx="457200" cy="457200"/>
                  <wp:effectExtent l="0" t="0" r="0" b="0"/>
                  <wp:docPr id="5" name="Graphic 5" descr="Earth Globe Asia-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wnload?provider=MicrosoftIcon&amp;fileName=EarthGlobeAsiaAustralia.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457200" cy="457200"/>
                          </a:xfrm>
                          <a:prstGeom prst="rect">
                            <a:avLst/>
                          </a:prstGeom>
                        </pic:spPr>
                      </pic:pic>
                    </a:graphicData>
                  </a:graphic>
                </wp:inline>
              </w:drawing>
            </w:r>
          </w:p>
        </w:tc>
      </w:tr>
      <w:tr w:rsidR="007C0593" w14:paraId="63A3BF0A" w14:textId="77777777" w:rsidTr="000B4980">
        <w:trPr>
          <w:jc w:val="center"/>
        </w:trPr>
        <w:tc>
          <w:tcPr>
            <w:tcW w:w="2466" w:type="dxa"/>
          </w:tcPr>
          <w:p w14:paraId="520D3A69" w14:textId="2A30BB17" w:rsidR="007C0593" w:rsidRPr="007C0593" w:rsidRDefault="007C0593" w:rsidP="000B4980">
            <w:pPr>
              <w:spacing w:before="120" w:after="120" w:line="360" w:lineRule="auto"/>
              <w:jc w:val="center"/>
              <w:rPr>
                <w:rFonts w:ascii="Open Sans" w:eastAsiaTheme="majorEastAsia" w:hAnsi="Open Sans" w:cs="Open Sans"/>
                <w:b/>
                <w:bCs/>
                <w:smallCaps/>
                <w:color w:val="33006F"/>
                <w:szCs w:val="28"/>
              </w:rPr>
            </w:pPr>
            <w:r w:rsidRPr="007C0593">
              <w:rPr>
                <w:rFonts w:ascii="Open Sans" w:eastAsiaTheme="majorEastAsia" w:hAnsi="Open Sans" w:cs="Open Sans"/>
                <w:b/>
                <w:bCs/>
                <w:smallCaps/>
                <w:color w:val="33006F"/>
                <w:szCs w:val="28"/>
              </w:rPr>
              <w:t>Conflict</w:t>
            </w:r>
            <w:r w:rsidR="007142E2">
              <w:rPr>
                <w:rFonts w:ascii="Open Sans" w:eastAsiaTheme="majorEastAsia" w:hAnsi="Open Sans" w:cs="Open Sans"/>
                <w:b/>
                <w:bCs/>
                <w:smallCaps/>
                <w:color w:val="33006F"/>
                <w:szCs w:val="28"/>
              </w:rPr>
              <w:t>s</w:t>
            </w:r>
            <w:r w:rsidRPr="007C0593">
              <w:rPr>
                <w:rFonts w:ascii="Open Sans" w:eastAsiaTheme="majorEastAsia" w:hAnsi="Open Sans" w:cs="Open Sans"/>
                <w:b/>
                <w:bCs/>
                <w:smallCaps/>
                <w:color w:val="33006F"/>
                <w:szCs w:val="28"/>
              </w:rPr>
              <w:t xml:space="preserve"> </w:t>
            </w:r>
            <w:r>
              <w:rPr>
                <w:rFonts w:ascii="Open Sans" w:eastAsiaTheme="majorEastAsia" w:hAnsi="Open Sans" w:cs="Open Sans"/>
                <w:b/>
                <w:bCs/>
                <w:smallCaps/>
                <w:color w:val="33006F"/>
                <w:szCs w:val="28"/>
              </w:rPr>
              <w:t>of interest</w:t>
            </w:r>
          </w:p>
        </w:tc>
        <w:tc>
          <w:tcPr>
            <w:tcW w:w="2466" w:type="dxa"/>
          </w:tcPr>
          <w:p w14:paraId="6086A06A" w14:textId="77777777" w:rsidR="007C0593" w:rsidRPr="007C0593" w:rsidRDefault="007C0593" w:rsidP="000B4980">
            <w:pPr>
              <w:spacing w:before="120" w:after="120" w:line="360" w:lineRule="auto"/>
              <w:jc w:val="center"/>
              <w:rPr>
                <w:rFonts w:ascii="Open Sans" w:eastAsiaTheme="majorEastAsia" w:hAnsi="Open Sans" w:cs="Open Sans"/>
                <w:b/>
                <w:bCs/>
                <w:smallCaps/>
                <w:color w:val="33006F"/>
                <w:szCs w:val="28"/>
              </w:rPr>
            </w:pPr>
            <w:r w:rsidRPr="007C0593">
              <w:rPr>
                <w:rFonts w:ascii="Open Sans" w:eastAsiaTheme="majorEastAsia" w:hAnsi="Open Sans" w:cs="Open Sans"/>
                <w:b/>
                <w:bCs/>
                <w:smallCaps/>
                <w:color w:val="33006F"/>
                <w:szCs w:val="28"/>
              </w:rPr>
              <w:t>Consequence</w:t>
            </w:r>
          </w:p>
        </w:tc>
        <w:tc>
          <w:tcPr>
            <w:tcW w:w="2466" w:type="dxa"/>
          </w:tcPr>
          <w:p w14:paraId="27C4ED48" w14:textId="77777777" w:rsidR="007C0593" w:rsidRPr="007C0593" w:rsidRDefault="007C0593" w:rsidP="000B4980">
            <w:pPr>
              <w:spacing w:before="120" w:after="120" w:line="360" w:lineRule="auto"/>
              <w:jc w:val="center"/>
              <w:rPr>
                <w:rFonts w:ascii="Open Sans" w:eastAsiaTheme="majorEastAsia" w:hAnsi="Open Sans" w:cs="Open Sans"/>
                <w:b/>
                <w:bCs/>
                <w:smallCaps/>
                <w:color w:val="33006F"/>
                <w:szCs w:val="28"/>
              </w:rPr>
            </w:pPr>
            <w:r w:rsidRPr="007C0593">
              <w:rPr>
                <w:rFonts w:ascii="Open Sans" w:eastAsiaTheme="majorEastAsia" w:hAnsi="Open Sans" w:cs="Open Sans"/>
                <w:b/>
                <w:bCs/>
                <w:smallCaps/>
                <w:color w:val="33006F"/>
                <w:szCs w:val="28"/>
              </w:rPr>
              <w:t>Complexity</w:t>
            </w:r>
          </w:p>
        </w:tc>
        <w:tc>
          <w:tcPr>
            <w:tcW w:w="2466" w:type="dxa"/>
          </w:tcPr>
          <w:p w14:paraId="48CFB6C7" w14:textId="77777777" w:rsidR="007C0593" w:rsidRPr="007C0593" w:rsidRDefault="007C0593" w:rsidP="000B4980">
            <w:pPr>
              <w:spacing w:before="120" w:after="120" w:line="360" w:lineRule="auto"/>
              <w:jc w:val="center"/>
              <w:rPr>
                <w:rFonts w:ascii="Open Sans" w:eastAsiaTheme="majorEastAsia" w:hAnsi="Open Sans" w:cs="Open Sans"/>
                <w:b/>
                <w:bCs/>
                <w:smallCaps/>
                <w:color w:val="33006F"/>
                <w:szCs w:val="28"/>
              </w:rPr>
            </w:pPr>
            <w:r w:rsidRPr="007C0593">
              <w:rPr>
                <w:rFonts w:ascii="Open Sans" w:eastAsiaTheme="majorEastAsia" w:hAnsi="Open Sans" w:cs="Open Sans"/>
                <w:b/>
                <w:bCs/>
                <w:smallCaps/>
                <w:color w:val="33006F"/>
                <w:szCs w:val="28"/>
              </w:rPr>
              <w:t>Remoteness</w:t>
            </w:r>
          </w:p>
        </w:tc>
      </w:tr>
    </w:tbl>
    <w:p w14:paraId="1BE4DF2B" w14:textId="591D6DF0" w:rsidR="0017534F" w:rsidRDefault="0017534F" w:rsidP="0017534F">
      <w:pPr>
        <w:spacing w:before="120" w:after="120" w:line="360" w:lineRule="auto"/>
        <w:jc w:val="both"/>
        <w:rPr>
          <w:rFonts w:ascii="Open Sans" w:hAnsi="Open Sans" w:cs="Open Sans"/>
          <w:sz w:val="20"/>
          <w:szCs w:val="20"/>
        </w:rPr>
      </w:pPr>
      <w:r>
        <w:rPr>
          <w:rFonts w:ascii="Open Sans" w:eastAsiaTheme="majorEastAsia" w:hAnsi="Open Sans" w:cs="Open Sans"/>
          <w:b/>
          <w:bCs/>
          <w:smallCaps/>
          <w:color w:val="33006F"/>
          <w:szCs w:val="28"/>
        </w:rPr>
        <w:t>There are four general economic</w:t>
      </w:r>
      <w:r w:rsidRPr="0017534F">
        <w:rPr>
          <w:rFonts w:ascii="Open Sans" w:eastAsiaTheme="majorEastAsia" w:hAnsi="Open Sans" w:cs="Open Sans"/>
          <w:b/>
          <w:bCs/>
          <w:smallCaps/>
          <w:color w:val="33006F"/>
          <w:szCs w:val="28"/>
        </w:rPr>
        <w:t xml:space="preserve"> conditions</w:t>
      </w:r>
      <w:r w:rsidRPr="00744929">
        <w:rPr>
          <w:rFonts w:ascii="Open Sans" w:hAnsi="Open Sans" w:cs="Open Sans"/>
          <w:sz w:val="20"/>
          <w:szCs w:val="20"/>
        </w:rPr>
        <w:t xml:space="preserve"> that create a demand for auditing</w:t>
      </w:r>
      <w:r>
        <w:rPr>
          <w:rFonts w:ascii="Open Sans" w:hAnsi="Open Sans" w:cs="Open Sans"/>
          <w:sz w:val="20"/>
          <w:szCs w:val="20"/>
        </w:rPr>
        <w:t xml:space="preserve"> and assurance services. (</w:t>
      </w:r>
      <w:r w:rsidRPr="00744929">
        <w:rPr>
          <w:rFonts w:ascii="Open Sans" w:hAnsi="Open Sans" w:cs="Open Sans"/>
          <w:sz w:val="20"/>
          <w:szCs w:val="20"/>
        </w:rPr>
        <w:t>1</w:t>
      </w:r>
      <w:r>
        <w:rPr>
          <w:rFonts w:ascii="Open Sans" w:hAnsi="Open Sans" w:cs="Open Sans"/>
          <w:sz w:val="20"/>
          <w:szCs w:val="20"/>
        </w:rPr>
        <w:t>)</w:t>
      </w:r>
      <w:r w:rsidRPr="00744929">
        <w:rPr>
          <w:rFonts w:ascii="Open Sans" w:hAnsi="Open Sans" w:cs="Open Sans"/>
          <w:sz w:val="20"/>
          <w:szCs w:val="20"/>
        </w:rPr>
        <w:t xml:space="preserve"> </w:t>
      </w:r>
      <w:r>
        <w:rPr>
          <w:rFonts w:ascii="Open Sans" w:hAnsi="Open Sans" w:cs="Open Sans"/>
          <w:sz w:val="20"/>
          <w:szCs w:val="20"/>
        </w:rPr>
        <w:t>In many business environments there are c</w:t>
      </w:r>
      <w:r w:rsidRPr="00744929">
        <w:rPr>
          <w:rFonts w:ascii="Open Sans" w:hAnsi="Open Sans" w:cs="Open Sans"/>
          <w:sz w:val="20"/>
          <w:szCs w:val="20"/>
        </w:rPr>
        <w:t>onflict</w:t>
      </w:r>
      <w:r>
        <w:rPr>
          <w:rFonts w:ascii="Open Sans" w:hAnsi="Open Sans" w:cs="Open Sans"/>
          <w:sz w:val="20"/>
          <w:szCs w:val="20"/>
        </w:rPr>
        <w:t>s</w:t>
      </w:r>
      <w:r w:rsidRPr="00744929">
        <w:rPr>
          <w:rFonts w:ascii="Open Sans" w:hAnsi="Open Sans" w:cs="Open Sans"/>
          <w:sz w:val="20"/>
          <w:szCs w:val="20"/>
        </w:rPr>
        <w:t xml:space="preserve"> of </w:t>
      </w:r>
      <w:r>
        <w:rPr>
          <w:rFonts w:ascii="Open Sans" w:hAnsi="Open Sans" w:cs="Open Sans"/>
          <w:sz w:val="20"/>
          <w:szCs w:val="20"/>
        </w:rPr>
        <w:t>i</w:t>
      </w:r>
      <w:r w:rsidRPr="00744929">
        <w:rPr>
          <w:rFonts w:ascii="Open Sans" w:hAnsi="Open Sans" w:cs="Open Sans"/>
          <w:sz w:val="20"/>
          <w:szCs w:val="20"/>
        </w:rPr>
        <w:t>nterest between</w:t>
      </w:r>
      <w:r>
        <w:rPr>
          <w:rFonts w:ascii="Open Sans" w:hAnsi="Open Sans" w:cs="Open Sans"/>
          <w:sz w:val="20"/>
          <w:szCs w:val="20"/>
        </w:rPr>
        <w:t xml:space="preserve"> </w:t>
      </w:r>
      <w:r w:rsidRPr="00744929">
        <w:rPr>
          <w:rFonts w:ascii="Open Sans" w:hAnsi="Open Sans" w:cs="Open Sans"/>
          <w:sz w:val="20"/>
          <w:szCs w:val="20"/>
        </w:rPr>
        <w:t>a</w:t>
      </w:r>
      <w:r>
        <w:rPr>
          <w:rFonts w:ascii="Open Sans" w:hAnsi="Open Sans" w:cs="Open Sans"/>
          <w:sz w:val="20"/>
          <w:szCs w:val="20"/>
        </w:rPr>
        <w:t xml:space="preserve"> preparer of </w:t>
      </w:r>
      <w:r w:rsidRPr="00744929">
        <w:rPr>
          <w:rFonts w:ascii="Open Sans" w:hAnsi="Open Sans" w:cs="Open Sans"/>
          <w:sz w:val="20"/>
          <w:szCs w:val="20"/>
        </w:rPr>
        <w:t xml:space="preserve">information preparer and </w:t>
      </w:r>
      <w:r>
        <w:rPr>
          <w:rFonts w:ascii="Open Sans" w:hAnsi="Open Sans" w:cs="Open Sans"/>
          <w:sz w:val="20"/>
          <w:szCs w:val="20"/>
        </w:rPr>
        <w:t>the user of that information. This can result in the production of biased information. (</w:t>
      </w:r>
      <w:r w:rsidRPr="00744929">
        <w:rPr>
          <w:rFonts w:ascii="Open Sans" w:hAnsi="Open Sans" w:cs="Open Sans"/>
          <w:sz w:val="20"/>
          <w:szCs w:val="20"/>
        </w:rPr>
        <w:t>2</w:t>
      </w:r>
      <w:r>
        <w:rPr>
          <w:rFonts w:ascii="Open Sans" w:hAnsi="Open Sans" w:cs="Open Sans"/>
          <w:sz w:val="20"/>
          <w:szCs w:val="20"/>
        </w:rPr>
        <w:t>)</w:t>
      </w:r>
      <w:r w:rsidRPr="00744929">
        <w:rPr>
          <w:rFonts w:ascii="Open Sans" w:hAnsi="Open Sans" w:cs="Open Sans"/>
          <w:sz w:val="20"/>
          <w:szCs w:val="20"/>
        </w:rPr>
        <w:t xml:space="preserve"> </w:t>
      </w:r>
      <w:r>
        <w:rPr>
          <w:rFonts w:ascii="Open Sans" w:hAnsi="Open Sans" w:cs="Open Sans"/>
          <w:sz w:val="20"/>
          <w:szCs w:val="20"/>
        </w:rPr>
        <w:t>I</w:t>
      </w:r>
      <w:r w:rsidRPr="00744929">
        <w:rPr>
          <w:rFonts w:ascii="Open Sans" w:hAnsi="Open Sans" w:cs="Open Sans"/>
          <w:sz w:val="20"/>
          <w:szCs w:val="20"/>
        </w:rPr>
        <w:t>nformation</w:t>
      </w:r>
      <w:r>
        <w:rPr>
          <w:rFonts w:ascii="Open Sans" w:hAnsi="Open Sans" w:cs="Open Sans"/>
          <w:sz w:val="20"/>
          <w:szCs w:val="20"/>
        </w:rPr>
        <w:t>, especially financial information,</w:t>
      </w:r>
      <w:r w:rsidRPr="00744929">
        <w:rPr>
          <w:rFonts w:ascii="Open Sans" w:hAnsi="Open Sans" w:cs="Open Sans"/>
          <w:sz w:val="20"/>
          <w:szCs w:val="20"/>
        </w:rPr>
        <w:t xml:space="preserve"> can have</w:t>
      </w:r>
      <w:r>
        <w:rPr>
          <w:rFonts w:ascii="Open Sans" w:hAnsi="Open Sans" w:cs="Open Sans"/>
          <w:sz w:val="20"/>
          <w:szCs w:val="20"/>
        </w:rPr>
        <w:t xml:space="preserve"> </w:t>
      </w:r>
      <w:r w:rsidRPr="00744929">
        <w:rPr>
          <w:rFonts w:ascii="Open Sans" w:hAnsi="Open Sans" w:cs="Open Sans"/>
          <w:sz w:val="20"/>
          <w:szCs w:val="20"/>
        </w:rPr>
        <w:t>substantial economic consequences to</w:t>
      </w:r>
      <w:r>
        <w:rPr>
          <w:rFonts w:ascii="Open Sans" w:hAnsi="Open Sans" w:cs="Open Sans"/>
          <w:sz w:val="20"/>
          <w:szCs w:val="20"/>
        </w:rPr>
        <w:t xml:space="preserve"> </w:t>
      </w:r>
      <w:r w:rsidRPr="00744929">
        <w:rPr>
          <w:rFonts w:ascii="Open Sans" w:hAnsi="Open Sans" w:cs="Open Sans"/>
          <w:sz w:val="20"/>
          <w:szCs w:val="20"/>
        </w:rPr>
        <w:t xml:space="preserve">a </w:t>
      </w:r>
      <w:r>
        <w:rPr>
          <w:rFonts w:ascii="Open Sans" w:hAnsi="Open Sans" w:cs="Open Sans"/>
          <w:sz w:val="20"/>
          <w:szCs w:val="20"/>
        </w:rPr>
        <w:t xml:space="preserve">user of that information </w:t>
      </w:r>
      <w:r w:rsidR="00EC0614">
        <w:rPr>
          <w:rFonts w:ascii="Open Sans" w:hAnsi="Open Sans" w:cs="Open Sans"/>
          <w:sz w:val="20"/>
          <w:szCs w:val="20"/>
        </w:rPr>
        <w:t>especially when making important economic decisions. (</w:t>
      </w:r>
      <w:r w:rsidRPr="00744929">
        <w:rPr>
          <w:rFonts w:ascii="Open Sans" w:hAnsi="Open Sans" w:cs="Open Sans"/>
          <w:sz w:val="20"/>
          <w:szCs w:val="20"/>
        </w:rPr>
        <w:t>3</w:t>
      </w:r>
      <w:r w:rsidR="00EC0614">
        <w:rPr>
          <w:rFonts w:ascii="Open Sans" w:hAnsi="Open Sans" w:cs="Open Sans"/>
          <w:sz w:val="20"/>
          <w:szCs w:val="20"/>
        </w:rPr>
        <w:t xml:space="preserve">) Information can be complex and often expertise is </w:t>
      </w:r>
      <w:r w:rsidRPr="00744929">
        <w:rPr>
          <w:rFonts w:ascii="Open Sans" w:hAnsi="Open Sans" w:cs="Open Sans"/>
          <w:sz w:val="20"/>
          <w:szCs w:val="20"/>
        </w:rPr>
        <w:t>required</w:t>
      </w:r>
      <w:r w:rsidR="00EC0614">
        <w:rPr>
          <w:rFonts w:ascii="Open Sans" w:hAnsi="Open Sans" w:cs="Open Sans"/>
          <w:sz w:val="20"/>
          <w:szCs w:val="20"/>
        </w:rPr>
        <w:t xml:space="preserve"> both for the preparation </w:t>
      </w:r>
      <w:r w:rsidRPr="00744929">
        <w:rPr>
          <w:rFonts w:ascii="Open Sans" w:hAnsi="Open Sans" w:cs="Open Sans"/>
          <w:sz w:val="20"/>
          <w:szCs w:val="20"/>
        </w:rPr>
        <w:t>and</w:t>
      </w:r>
      <w:r w:rsidR="00EC0614">
        <w:rPr>
          <w:rFonts w:ascii="Open Sans" w:hAnsi="Open Sans" w:cs="Open Sans"/>
          <w:sz w:val="20"/>
          <w:szCs w:val="20"/>
        </w:rPr>
        <w:t xml:space="preserve"> the </w:t>
      </w:r>
      <w:r w:rsidRPr="00744929">
        <w:rPr>
          <w:rFonts w:ascii="Open Sans" w:hAnsi="Open Sans" w:cs="Open Sans"/>
          <w:sz w:val="20"/>
          <w:szCs w:val="20"/>
        </w:rPr>
        <w:t>verification</w:t>
      </w:r>
      <w:r w:rsidR="00EC0614">
        <w:rPr>
          <w:rFonts w:ascii="Open Sans" w:hAnsi="Open Sans" w:cs="Open Sans"/>
          <w:sz w:val="20"/>
          <w:szCs w:val="20"/>
        </w:rPr>
        <w:t xml:space="preserve"> of information. (</w:t>
      </w:r>
      <w:r w:rsidRPr="00744929">
        <w:rPr>
          <w:rFonts w:ascii="Open Sans" w:hAnsi="Open Sans" w:cs="Open Sans"/>
          <w:sz w:val="20"/>
          <w:szCs w:val="20"/>
        </w:rPr>
        <w:t>4</w:t>
      </w:r>
      <w:r w:rsidR="00EC0614">
        <w:rPr>
          <w:rFonts w:ascii="Open Sans" w:hAnsi="Open Sans" w:cs="Open Sans"/>
          <w:sz w:val="20"/>
          <w:szCs w:val="20"/>
        </w:rPr>
        <w:t>)</w:t>
      </w:r>
      <w:r w:rsidRPr="00744929">
        <w:rPr>
          <w:rFonts w:ascii="Open Sans" w:hAnsi="Open Sans" w:cs="Open Sans"/>
          <w:sz w:val="20"/>
          <w:szCs w:val="20"/>
        </w:rPr>
        <w:t xml:space="preserve"> </w:t>
      </w:r>
      <w:r w:rsidR="00EC0614">
        <w:rPr>
          <w:rFonts w:ascii="Open Sans" w:hAnsi="Open Sans" w:cs="Open Sans"/>
          <w:sz w:val="20"/>
          <w:szCs w:val="20"/>
        </w:rPr>
        <w:t xml:space="preserve">The </w:t>
      </w:r>
      <w:r w:rsidRPr="00744929">
        <w:rPr>
          <w:rFonts w:ascii="Open Sans" w:hAnsi="Open Sans" w:cs="Open Sans"/>
          <w:sz w:val="20"/>
          <w:szCs w:val="20"/>
        </w:rPr>
        <w:t xml:space="preserve">users </w:t>
      </w:r>
      <w:r w:rsidR="00EC0614">
        <w:rPr>
          <w:rFonts w:ascii="Open Sans" w:hAnsi="Open Sans" w:cs="Open Sans"/>
          <w:sz w:val="20"/>
          <w:szCs w:val="20"/>
        </w:rPr>
        <w:t>of information are often unable to directly assess</w:t>
      </w:r>
      <w:r w:rsidRPr="00744929">
        <w:rPr>
          <w:rFonts w:ascii="Open Sans" w:hAnsi="Open Sans" w:cs="Open Sans"/>
          <w:sz w:val="20"/>
          <w:szCs w:val="20"/>
        </w:rPr>
        <w:t xml:space="preserve"> the</w:t>
      </w:r>
      <w:r w:rsidR="00EC0614">
        <w:rPr>
          <w:rFonts w:ascii="Open Sans" w:hAnsi="Open Sans" w:cs="Open Sans"/>
          <w:sz w:val="20"/>
          <w:szCs w:val="20"/>
        </w:rPr>
        <w:t xml:space="preserve"> </w:t>
      </w:r>
      <w:r w:rsidRPr="00744929">
        <w:rPr>
          <w:rFonts w:ascii="Open Sans" w:hAnsi="Open Sans" w:cs="Open Sans"/>
          <w:sz w:val="20"/>
          <w:szCs w:val="20"/>
        </w:rPr>
        <w:t xml:space="preserve">quality of </w:t>
      </w:r>
      <w:r w:rsidR="007142E2">
        <w:rPr>
          <w:rFonts w:ascii="Open Sans" w:hAnsi="Open Sans" w:cs="Open Sans"/>
          <w:sz w:val="20"/>
          <w:szCs w:val="20"/>
        </w:rPr>
        <w:t xml:space="preserve">the </w:t>
      </w:r>
      <w:r w:rsidRPr="00744929">
        <w:rPr>
          <w:rFonts w:ascii="Open Sans" w:hAnsi="Open Sans" w:cs="Open Sans"/>
          <w:sz w:val="20"/>
          <w:szCs w:val="20"/>
        </w:rPr>
        <w:t>information.</w:t>
      </w:r>
    </w:p>
    <w:p w14:paraId="365223C0" w14:textId="77777777" w:rsidR="00EC0614" w:rsidRPr="00744929" w:rsidRDefault="00EC0614" w:rsidP="00EC0614">
      <w:pPr>
        <w:spacing w:before="120" w:after="120" w:line="360" w:lineRule="auto"/>
        <w:jc w:val="both"/>
        <w:rPr>
          <w:rFonts w:ascii="Open Sans" w:hAnsi="Open Sans" w:cs="Open Sans"/>
          <w:sz w:val="20"/>
          <w:szCs w:val="20"/>
        </w:rPr>
      </w:pPr>
      <w:r>
        <w:rPr>
          <w:rFonts w:ascii="Open Sans" w:hAnsi="Open Sans" w:cs="Open Sans"/>
          <w:sz w:val="20"/>
          <w:szCs w:val="20"/>
        </w:rPr>
        <w:t xml:space="preserve">These four conditions provide the foundations into </w:t>
      </w:r>
      <w:r w:rsidR="00730FF5">
        <w:rPr>
          <w:rFonts w:ascii="Open Sans" w:hAnsi="Open Sans" w:cs="Open Sans"/>
          <w:sz w:val="20"/>
          <w:szCs w:val="20"/>
        </w:rPr>
        <w:t xml:space="preserve">two theories that explain </w:t>
      </w:r>
      <w:r w:rsidR="0017534F">
        <w:rPr>
          <w:rFonts w:ascii="Open Sans" w:hAnsi="Open Sans" w:cs="Open Sans"/>
          <w:sz w:val="20"/>
          <w:szCs w:val="20"/>
        </w:rPr>
        <w:t xml:space="preserve">the demand for auditing and assurance services. They </w:t>
      </w:r>
      <w:r>
        <w:rPr>
          <w:rFonts w:ascii="Open Sans" w:hAnsi="Open Sans" w:cs="Open Sans"/>
          <w:sz w:val="20"/>
          <w:szCs w:val="20"/>
        </w:rPr>
        <w:t>can be considered as the demand to improve the stewardship of the firm and the demand to improve the informatio</w:t>
      </w:r>
      <w:r w:rsidR="00362597">
        <w:rPr>
          <w:rFonts w:ascii="Open Sans" w:hAnsi="Open Sans" w:cs="Open Sans"/>
          <w:sz w:val="20"/>
          <w:szCs w:val="20"/>
        </w:rPr>
        <w:t>n quality released by the firm.</w:t>
      </w:r>
    </w:p>
    <w:p w14:paraId="08326042" w14:textId="77777777" w:rsidR="00BA7107" w:rsidRPr="002F6B23" w:rsidRDefault="00BA7107" w:rsidP="00BA7107">
      <w:pPr>
        <w:pStyle w:val="Heading1"/>
        <w:rPr>
          <w:rFonts w:ascii="Open Sans" w:hAnsi="Open Sans" w:cs="Open Sans"/>
          <w:smallCaps/>
          <w:color w:val="33006F"/>
        </w:rPr>
      </w:pPr>
      <w:r>
        <w:rPr>
          <w:rFonts w:ascii="Open Sans" w:hAnsi="Open Sans" w:cs="Open Sans"/>
          <w:smallCaps/>
          <w:color w:val="33006F"/>
        </w:rPr>
        <w:t>A brief history lesson</w:t>
      </w:r>
    </w:p>
    <w:p w14:paraId="0FA37FD9" w14:textId="12A93F7E" w:rsidR="00C82B3D" w:rsidRDefault="00EC0614" w:rsidP="00C82B3D">
      <w:pPr>
        <w:spacing w:before="120" w:after="120" w:line="360" w:lineRule="auto"/>
        <w:jc w:val="both"/>
        <w:rPr>
          <w:rFonts w:ascii="Open Sans" w:hAnsi="Open Sans" w:cs="Open Sans"/>
          <w:sz w:val="20"/>
          <w:szCs w:val="20"/>
        </w:rPr>
      </w:pPr>
      <w:r>
        <w:rPr>
          <w:rFonts w:ascii="Open Sans" w:hAnsi="Open Sans" w:cs="Open Sans"/>
          <w:sz w:val="20"/>
          <w:szCs w:val="20"/>
        </w:rPr>
        <w:t xml:space="preserve">Auditing </w:t>
      </w:r>
      <w:r w:rsidR="00362597">
        <w:rPr>
          <w:rFonts w:ascii="Open Sans" w:hAnsi="Open Sans" w:cs="Open Sans"/>
          <w:sz w:val="20"/>
          <w:szCs w:val="20"/>
        </w:rPr>
        <w:t xml:space="preserve">dates to at least as early as 500 to 300 BCE with auditing and assurance practices in Athens, where three state accountants verified state revenues and expenditures. In the United States, prior to the passage of the Securities Acts in 1933 and 1934, which mandated audits for public companies, auditing was common practice. </w:t>
      </w:r>
      <w:r w:rsidR="00C82B3D">
        <w:rPr>
          <w:rFonts w:ascii="Open Sans" w:hAnsi="Open Sans" w:cs="Open Sans"/>
          <w:sz w:val="20"/>
          <w:szCs w:val="20"/>
        </w:rPr>
        <w:t xml:space="preserve">As early as the </w:t>
      </w:r>
      <w:r w:rsidR="00C82B3D" w:rsidRPr="00C82B3D">
        <w:rPr>
          <w:rFonts w:ascii="Open Sans" w:hAnsi="Open Sans" w:cs="Open Sans"/>
          <w:sz w:val="20"/>
          <w:szCs w:val="20"/>
        </w:rPr>
        <w:t>1880s and</w:t>
      </w:r>
      <w:r w:rsidR="00C82B3D">
        <w:rPr>
          <w:rFonts w:ascii="Open Sans" w:hAnsi="Open Sans" w:cs="Open Sans"/>
          <w:sz w:val="20"/>
          <w:szCs w:val="20"/>
        </w:rPr>
        <w:t xml:space="preserve"> 1890s sufficiently many companies were engaging audit and assurance services that the professionals providing t</w:t>
      </w:r>
      <w:r w:rsidR="00AD24E3">
        <w:rPr>
          <w:rFonts w:ascii="Open Sans" w:hAnsi="Open Sans" w:cs="Open Sans"/>
          <w:sz w:val="20"/>
          <w:szCs w:val="20"/>
        </w:rPr>
        <w:t>h</w:t>
      </w:r>
      <w:r w:rsidR="00C82B3D">
        <w:rPr>
          <w:rFonts w:ascii="Open Sans" w:hAnsi="Open Sans" w:cs="Open Sans"/>
          <w:sz w:val="20"/>
          <w:szCs w:val="20"/>
        </w:rPr>
        <w:t xml:space="preserve">is service self-organized to what is now known as the </w:t>
      </w:r>
      <w:r w:rsidR="00C82B3D" w:rsidRPr="00C82B3D">
        <w:rPr>
          <w:rFonts w:ascii="Open Sans" w:hAnsi="Open Sans" w:cs="Open Sans"/>
          <w:sz w:val="20"/>
          <w:szCs w:val="20"/>
        </w:rPr>
        <w:t>American Institute</w:t>
      </w:r>
      <w:r w:rsidR="00C82B3D">
        <w:rPr>
          <w:rFonts w:ascii="Open Sans" w:hAnsi="Open Sans" w:cs="Open Sans"/>
          <w:sz w:val="20"/>
          <w:szCs w:val="20"/>
        </w:rPr>
        <w:t xml:space="preserve"> </w:t>
      </w:r>
      <w:r w:rsidR="00C82B3D" w:rsidRPr="00C82B3D">
        <w:rPr>
          <w:rFonts w:ascii="Open Sans" w:hAnsi="Open Sans" w:cs="Open Sans"/>
          <w:sz w:val="20"/>
          <w:szCs w:val="20"/>
        </w:rPr>
        <w:t>of Certified Public Accountants</w:t>
      </w:r>
      <w:r w:rsidR="00BD360A">
        <w:rPr>
          <w:rFonts w:ascii="Open Sans" w:hAnsi="Open Sans" w:cs="Open Sans"/>
          <w:sz w:val="20"/>
          <w:szCs w:val="20"/>
        </w:rPr>
        <w:t xml:space="preserve"> (AICPA) was formed in 1886.</w:t>
      </w:r>
    </w:p>
    <w:p w14:paraId="0E6C6055" w14:textId="046860F6" w:rsidR="00C82B3D" w:rsidRDefault="00C82B3D" w:rsidP="00C82B3D">
      <w:pPr>
        <w:spacing w:before="120" w:after="120" w:line="360" w:lineRule="auto"/>
        <w:jc w:val="both"/>
        <w:rPr>
          <w:rFonts w:ascii="Open Sans" w:hAnsi="Open Sans" w:cs="Open Sans"/>
          <w:sz w:val="20"/>
          <w:szCs w:val="20"/>
        </w:rPr>
      </w:pPr>
      <w:r>
        <w:rPr>
          <w:rFonts w:ascii="Open Sans" w:eastAsiaTheme="majorEastAsia" w:hAnsi="Open Sans" w:cs="Open Sans"/>
          <w:b/>
          <w:bCs/>
          <w:smallCaps/>
          <w:color w:val="33006F"/>
          <w:szCs w:val="28"/>
        </w:rPr>
        <w:t>Despite the mandatory nature of audits</w:t>
      </w:r>
      <w:r w:rsidR="000E4A06">
        <w:rPr>
          <w:rFonts w:ascii="Open Sans" w:eastAsiaTheme="majorEastAsia" w:hAnsi="Open Sans" w:cs="Open Sans"/>
          <w:b/>
          <w:bCs/>
          <w:smallCaps/>
          <w:color w:val="33006F"/>
          <w:szCs w:val="28"/>
        </w:rPr>
        <w:t xml:space="preserve"> today</w:t>
      </w:r>
      <w:r w:rsidRPr="00744929">
        <w:rPr>
          <w:rFonts w:ascii="Open Sans" w:hAnsi="Open Sans" w:cs="Open Sans"/>
          <w:sz w:val="20"/>
          <w:szCs w:val="20"/>
        </w:rPr>
        <w:t xml:space="preserve"> </w:t>
      </w:r>
      <w:r w:rsidR="00AD24E3">
        <w:rPr>
          <w:rFonts w:ascii="Open Sans" w:hAnsi="Open Sans" w:cs="Open Sans"/>
          <w:sz w:val="20"/>
          <w:szCs w:val="20"/>
        </w:rPr>
        <w:t>this</w:t>
      </w:r>
      <w:r>
        <w:rPr>
          <w:rFonts w:ascii="Open Sans" w:hAnsi="Open Sans" w:cs="Open Sans"/>
          <w:sz w:val="20"/>
          <w:szCs w:val="20"/>
        </w:rPr>
        <w:t xml:space="preserve"> significant historical evidence </w:t>
      </w:r>
      <w:r w:rsidR="00AD24E3">
        <w:rPr>
          <w:rFonts w:ascii="Open Sans" w:hAnsi="Open Sans" w:cs="Open Sans"/>
          <w:sz w:val="20"/>
          <w:szCs w:val="20"/>
        </w:rPr>
        <w:t xml:space="preserve">of demand for </w:t>
      </w:r>
      <w:r>
        <w:rPr>
          <w:rFonts w:ascii="Open Sans" w:hAnsi="Open Sans" w:cs="Open Sans"/>
          <w:sz w:val="20"/>
          <w:szCs w:val="20"/>
        </w:rPr>
        <w:t xml:space="preserve">voluntary audits </w:t>
      </w:r>
      <w:r w:rsidR="00AD24E3">
        <w:rPr>
          <w:rFonts w:ascii="Open Sans" w:hAnsi="Open Sans" w:cs="Open Sans"/>
          <w:sz w:val="20"/>
          <w:szCs w:val="20"/>
        </w:rPr>
        <w:t xml:space="preserve">is </w:t>
      </w:r>
      <w:r w:rsidR="000E4A06">
        <w:rPr>
          <w:rFonts w:ascii="Open Sans" w:hAnsi="Open Sans" w:cs="Open Sans"/>
          <w:sz w:val="20"/>
          <w:szCs w:val="20"/>
        </w:rPr>
        <w:t xml:space="preserve">consistent with equity holders valuing audits. </w:t>
      </w:r>
      <w:r w:rsidR="00C74BEF">
        <w:rPr>
          <w:rFonts w:ascii="Open Sans" w:hAnsi="Open Sans" w:cs="Open Sans"/>
          <w:sz w:val="20"/>
          <w:szCs w:val="20"/>
        </w:rPr>
        <w:t>This begs the question, what features of the audit and assurance product are valued?</w:t>
      </w:r>
    </w:p>
    <w:p w14:paraId="6EB84EB4" w14:textId="77777777" w:rsidR="00BA7107" w:rsidRPr="002F6B23" w:rsidRDefault="00362597" w:rsidP="00BA7107">
      <w:pPr>
        <w:pStyle w:val="Heading1"/>
        <w:rPr>
          <w:rFonts w:ascii="Open Sans" w:hAnsi="Open Sans" w:cs="Open Sans"/>
          <w:smallCaps/>
          <w:color w:val="33006F"/>
        </w:rPr>
      </w:pPr>
      <w:r>
        <w:rPr>
          <w:rFonts w:ascii="Open Sans" w:hAnsi="Open Sans" w:cs="Open Sans"/>
          <w:smallCaps/>
          <w:color w:val="33006F"/>
        </w:rPr>
        <w:lastRenderedPageBreak/>
        <w:t>Improving Stewardship</w:t>
      </w:r>
    </w:p>
    <w:p w14:paraId="2FB04794" w14:textId="77BB415A" w:rsidR="009F1065" w:rsidRDefault="00BD360A" w:rsidP="003E2B1F">
      <w:pPr>
        <w:spacing w:before="120" w:after="120" w:line="360" w:lineRule="auto"/>
        <w:jc w:val="both"/>
        <w:rPr>
          <w:rFonts w:ascii="Open Sans" w:hAnsi="Open Sans" w:cs="Open Sans"/>
          <w:sz w:val="20"/>
          <w:szCs w:val="20"/>
        </w:rPr>
      </w:pPr>
      <w:r>
        <w:rPr>
          <w:rFonts w:ascii="Open Sans" w:hAnsi="Open Sans" w:cs="Open Sans"/>
          <w:sz w:val="20"/>
          <w:szCs w:val="20"/>
        </w:rPr>
        <w:t xml:space="preserve">It has long been recognized that most public companies have an </w:t>
      </w:r>
      <w:r w:rsidRPr="00CD207C">
        <w:rPr>
          <w:rFonts w:ascii="Open Sans" w:hAnsi="Open Sans" w:cs="Open Sans"/>
          <w:b/>
          <w:sz w:val="20"/>
          <w:szCs w:val="20"/>
        </w:rPr>
        <w:t>agency relationship</w:t>
      </w:r>
      <w:r>
        <w:rPr>
          <w:rFonts w:ascii="Open Sans" w:hAnsi="Open Sans" w:cs="Open Sans"/>
          <w:sz w:val="20"/>
          <w:szCs w:val="20"/>
        </w:rPr>
        <w:t xml:space="preserve"> between the managers and the providers of capital (such as lenders and equity investors). </w:t>
      </w:r>
      <w:r w:rsidRPr="00BD360A">
        <w:rPr>
          <w:rFonts w:ascii="Open Sans" w:hAnsi="Open Sans" w:cs="Open Sans"/>
          <w:sz w:val="20"/>
          <w:szCs w:val="20"/>
        </w:rPr>
        <w:t xml:space="preserve">An agency relationship </w:t>
      </w:r>
      <w:r>
        <w:rPr>
          <w:rFonts w:ascii="Open Sans" w:hAnsi="Open Sans" w:cs="Open Sans"/>
          <w:sz w:val="20"/>
          <w:szCs w:val="20"/>
        </w:rPr>
        <w:t xml:space="preserve">can be defined as </w:t>
      </w:r>
      <w:r w:rsidRPr="00BD360A">
        <w:rPr>
          <w:rFonts w:ascii="Open Sans" w:hAnsi="Open Sans" w:cs="Open Sans"/>
          <w:sz w:val="20"/>
          <w:szCs w:val="20"/>
        </w:rPr>
        <w:t>a contract</w:t>
      </w:r>
      <w:r>
        <w:rPr>
          <w:rFonts w:ascii="Open Sans" w:hAnsi="Open Sans" w:cs="Open Sans"/>
          <w:sz w:val="20"/>
          <w:szCs w:val="20"/>
        </w:rPr>
        <w:t xml:space="preserve"> </w:t>
      </w:r>
      <w:r w:rsidRPr="00BD360A">
        <w:rPr>
          <w:rFonts w:ascii="Open Sans" w:hAnsi="Open Sans" w:cs="Open Sans"/>
          <w:sz w:val="20"/>
          <w:szCs w:val="20"/>
        </w:rPr>
        <w:t xml:space="preserve">under which one or more </w:t>
      </w:r>
      <w:r>
        <w:rPr>
          <w:rFonts w:ascii="Open Sans" w:hAnsi="Open Sans" w:cs="Open Sans"/>
          <w:sz w:val="20"/>
          <w:szCs w:val="20"/>
        </w:rPr>
        <w:t xml:space="preserve">providers of capital (often called </w:t>
      </w:r>
      <w:r w:rsidRPr="00CD207C">
        <w:rPr>
          <w:rFonts w:ascii="Open Sans" w:hAnsi="Open Sans" w:cs="Open Sans"/>
          <w:b/>
          <w:sz w:val="20"/>
          <w:szCs w:val="20"/>
        </w:rPr>
        <w:t>principals</w:t>
      </w:r>
      <w:r>
        <w:rPr>
          <w:rFonts w:ascii="Open Sans" w:hAnsi="Open Sans" w:cs="Open Sans"/>
          <w:sz w:val="20"/>
          <w:szCs w:val="20"/>
        </w:rPr>
        <w:t>)</w:t>
      </w:r>
      <w:r w:rsidRPr="00BD360A">
        <w:rPr>
          <w:rFonts w:ascii="Open Sans" w:hAnsi="Open Sans" w:cs="Open Sans"/>
          <w:sz w:val="20"/>
          <w:szCs w:val="20"/>
        </w:rPr>
        <w:t xml:space="preserve"> engage another person </w:t>
      </w:r>
      <w:r>
        <w:rPr>
          <w:rFonts w:ascii="Open Sans" w:hAnsi="Open Sans" w:cs="Open Sans"/>
          <w:sz w:val="20"/>
          <w:szCs w:val="20"/>
        </w:rPr>
        <w:t xml:space="preserve">as </w:t>
      </w:r>
      <w:r w:rsidRPr="00BD360A">
        <w:rPr>
          <w:rFonts w:ascii="Open Sans" w:hAnsi="Open Sans" w:cs="Open Sans"/>
          <w:sz w:val="20"/>
          <w:szCs w:val="20"/>
        </w:rPr>
        <w:t xml:space="preserve">their steward </w:t>
      </w:r>
      <w:r>
        <w:rPr>
          <w:rFonts w:ascii="Open Sans" w:hAnsi="Open Sans" w:cs="Open Sans"/>
          <w:sz w:val="20"/>
          <w:szCs w:val="20"/>
        </w:rPr>
        <w:t xml:space="preserve">or manager </w:t>
      </w:r>
      <w:r w:rsidRPr="00BD360A">
        <w:rPr>
          <w:rFonts w:ascii="Open Sans" w:hAnsi="Open Sans" w:cs="Open Sans"/>
          <w:sz w:val="20"/>
          <w:szCs w:val="20"/>
        </w:rPr>
        <w:t>(</w:t>
      </w:r>
      <w:r>
        <w:rPr>
          <w:rFonts w:ascii="Open Sans" w:hAnsi="Open Sans" w:cs="Open Sans"/>
          <w:sz w:val="20"/>
          <w:szCs w:val="20"/>
        </w:rPr>
        <w:t xml:space="preserve">often call an </w:t>
      </w:r>
      <w:r w:rsidRPr="00CD207C">
        <w:rPr>
          <w:rFonts w:ascii="Open Sans" w:hAnsi="Open Sans" w:cs="Open Sans"/>
          <w:b/>
          <w:sz w:val="20"/>
          <w:szCs w:val="20"/>
        </w:rPr>
        <w:t>agent</w:t>
      </w:r>
      <w:r>
        <w:rPr>
          <w:rFonts w:ascii="Open Sans" w:hAnsi="Open Sans" w:cs="Open Sans"/>
          <w:sz w:val="20"/>
          <w:szCs w:val="20"/>
        </w:rPr>
        <w:t xml:space="preserve">) </w:t>
      </w:r>
      <w:r w:rsidRPr="00BD360A">
        <w:rPr>
          <w:rFonts w:ascii="Open Sans" w:hAnsi="Open Sans" w:cs="Open Sans"/>
          <w:sz w:val="20"/>
          <w:szCs w:val="20"/>
        </w:rPr>
        <w:t xml:space="preserve">to perform some service </w:t>
      </w:r>
      <w:r>
        <w:rPr>
          <w:rFonts w:ascii="Open Sans" w:hAnsi="Open Sans" w:cs="Open Sans"/>
          <w:sz w:val="20"/>
          <w:szCs w:val="20"/>
        </w:rPr>
        <w:t xml:space="preserve">(such as manage a company) </w:t>
      </w:r>
      <w:r w:rsidRPr="00BD360A">
        <w:rPr>
          <w:rFonts w:ascii="Open Sans" w:hAnsi="Open Sans" w:cs="Open Sans"/>
          <w:sz w:val="20"/>
          <w:szCs w:val="20"/>
        </w:rPr>
        <w:t>on their behalf</w:t>
      </w:r>
      <w:r>
        <w:rPr>
          <w:rFonts w:ascii="Open Sans" w:hAnsi="Open Sans" w:cs="Open Sans"/>
          <w:sz w:val="20"/>
          <w:szCs w:val="20"/>
        </w:rPr>
        <w:t>.</w:t>
      </w:r>
      <w:r w:rsidR="00AD24E3">
        <w:rPr>
          <w:rStyle w:val="EndnoteReference"/>
          <w:rFonts w:ascii="Open Sans" w:hAnsi="Open Sans" w:cs="Open Sans"/>
          <w:sz w:val="20"/>
          <w:szCs w:val="20"/>
        </w:rPr>
        <w:endnoteReference w:id="3"/>
      </w:r>
      <w:r>
        <w:rPr>
          <w:rFonts w:ascii="Open Sans" w:hAnsi="Open Sans" w:cs="Open Sans"/>
          <w:sz w:val="20"/>
          <w:szCs w:val="20"/>
        </w:rPr>
        <w:t xml:space="preserve"> In general, the </w:t>
      </w:r>
      <w:r w:rsidR="00AD24E3">
        <w:rPr>
          <w:rFonts w:ascii="Open Sans" w:hAnsi="Open Sans" w:cs="Open Sans"/>
          <w:sz w:val="20"/>
          <w:szCs w:val="20"/>
        </w:rPr>
        <w:t>operation</w:t>
      </w:r>
      <w:r w:rsidRPr="00BD360A">
        <w:rPr>
          <w:rFonts w:ascii="Open Sans" w:hAnsi="Open Sans" w:cs="Open Sans"/>
          <w:sz w:val="20"/>
          <w:szCs w:val="20"/>
        </w:rPr>
        <w:t xml:space="preserve"> of </w:t>
      </w:r>
      <w:r>
        <w:rPr>
          <w:rFonts w:ascii="Open Sans" w:hAnsi="Open Sans" w:cs="Open Sans"/>
          <w:sz w:val="20"/>
          <w:szCs w:val="20"/>
        </w:rPr>
        <w:t xml:space="preserve">the entity </w:t>
      </w:r>
      <w:r w:rsidRPr="00BD360A">
        <w:rPr>
          <w:rFonts w:ascii="Open Sans" w:hAnsi="Open Sans" w:cs="Open Sans"/>
          <w:sz w:val="20"/>
          <w:szCs w:val="20"/>
        </w:rPr>
        <w:t xml:space="preserve">requires </w:t>
      </w:r>
      <w:r w:rsidR="009F1065">
        <w:rPr>
          <w:rFonts w:ascii="Open Sans" w:hAnsi="Open Sans" w:cs="Open Sans"/>
          <w:sz w:val="20"/>
          <w:szCs w:val="20"/>
        </w:rPr>
        <w:t xml:space="preserve">both </w:t>
      </w:r>
      <w:r w:rsidRPr="00BD360A">
        <w:rPr>
          <w:rFonts w:ascii="Open Sans" w:hAnsi="Open Sans" w:cs="Open Sans"/>
          <w:sz w:val="20"/>
          <w:szCs w:val="20"/>
        </w:rPr>
        <w:t xml:space="preserve">the delegation of </w:t>
      </w:r>
      <w:r w:rsidR="009F1065">
        <w:rPr>
          <w:rFonts w:ascii="Open Sans" w:hAnsi="Open Sans" w:cs="Open Sans"/>
          <w:sz w:val="20"/>
          <w:szCs w:val="20"/>
        </w:rPr>
        <w:t xml:space="preserve">significant </w:t>
      </w:r>
      <w:r w:rsidR="009F1065" w:rsidRPr="00BD360A">
        <w:rPr>
          <w:rFonts w:ascii="Open Sans" w:hAnsi="Open Sans" w:cs="Open Sans"/>
          <w:sz w:val="20"/>
          <w:szCs w:val="20"/>
        </w:rPr>
        <w:t>decision-making</w:t>
      </w:r>
      <w:r w:rsidRPr="00BD360A">
        <w:rPr>
          <w:rFonts w:ascii="Open Sans" w:hAnsi="Open Sans" w:cs="Open Sans"/>
          <w:sz w:val="20"/>
          <w:szCs w:val="20"/>
        </w:rPr>
        <w:t xml:space="preserve"> authority to the </w:t>
      </w:r>
      <w:r w:rsidR="009F1065">
        <w:rPr>
          <w:rFonts w:ascii="Open Sans" w:hAnsi="Open Sans" w:cs="Open Sans"/>
          <w:sz w:val="20"/>
          <w:szCs w:val="20"/>
        </w:rPr>
        <w:t>manager, and the delegation of measurement and reporting of performance to the manager</w:t>
      </w:r>
      <w:r w:rsidRPr="00BD360A">
        <w:rPr>
          <w:rFonts w:ascii="Open Sans" w:hAnsi="Open Sans" w:cs="Open Sans"/>
          <w:sz w:val="20"/>
          <w:szCs w:val="20"/>
        </w:rPr>
        <w:t>.</w:t>
      </w:r>
    </w:p>
    <w:p w14:paraId="18B6B9BB" w14:textId="77777777" w:rsidR="00995ED2" w:rsidRDefault="00995ED2" w:rsidP="003E2B1F">
      <w:pPr>
        <w:spacing w:before="120" w:after="120" w:line="360" w:lineRule="auto"/>
        <w:jc w:val="both"/>
        <w:rPr>
          <w:rFonts w:ascii="Open Sans" w:hAnsi="Open Sans" w:cs="Open Sans"/>
          <w:sz w:val="20"/>
          <w:szCs w:val="20"/>
        </w:rPr>
      </w:pPr>
      <w:r>
        <w:rPr>
          <w:rFonts w:ascii="Open Sans" w:eastAsiaTheme="majorEastAsia" w:hAnsi="Open Sans" w:cs="Open Sans"/>
          <w:b/>
          <w:bCs/>
          <w:smallCaps/>
          <w:color w:val="33006F"/>
          <w:szCs w:val="28"/>
        </w:rPr>
        <w:t>W</w:t>
      </w:r>
      <w:r w:rsidR="009F1065">
        <w:rPr>
          <w:rFonts w:ascii="Open Sans" w:eastAsiaTheme="majorEastAsia" w:hAnsi="Open Sans" w:cs="Open Sans"/>
          <w:b/>
          <w:bCs/>
          <w:smallCaps/>
          <w:color w:val="33006F"/>
          <w:szCs w:val="28"/>
        </w:rPr>
        <w:t>hat’s the problem?</w:t>
      </w:r>
      <w:r w:rsidR="009F1065" w:rsidRPr="00744929">
        <w:rPr>
          <w:rFonts w:ascii="Open Sans" w:hAnsi="Open Sans" w:cs="Open Sans"/>
          <w:sz w:val="20"/>
          <w:szCs w:val="20"/>
        </w:rPr>
        <w:t xml:space="preserve"> </w:t>
      </w:r>
      <w:r w:rsidR="009F1065">
        <w:rPr>
          <w:rFonts w:ascii="Open Sans" w:hAnsi="Open Sans" w:cs="Open Sans"/>
          <w:sz w:val="20"/>
          <w:szCs w:val="20"/>
        </w:rPr>
        <w:t xml:space="preserve">Often the phrase </w:t>
      </w:r>
      <w:r w:rsidR="009F1065" w:rsidRPr="00CD207C">
        <w:rPr>
          <w:rFonts w:ascii="Open Sans" w:hAnsi="Open Sans" w:cs="Open Sans"/>
          <w:b/>
          <w:sz w:val="20"/>
          <w:szCs w:val="20"/>
        </w:rPr>
        <w:t>agency conflict</w:t>
      </w:r>
      <w:r w:rsidR="009F1065">
        <w:rPr>
          <w:rFonts w:ascii="Open Sans" w:hAnsi="Open Sans" w:cs="Open Sans"/>
          <w:sz w:val="20"/>
          <w:szCs w:val="20"/>
        </w:rPr>
        <w:t xml:space="preserve"> or </w:t>
      </w:r>
      <w:r w:rsidR="009F1065" w:rsidRPr="00CD207C">
        <w:rPr>
          <w:rFonts w:ascii="Open Sans" w:hAnsi="Open Sans" w:cs="Open Sans"/>
          <w:b/>
          <w:sz w:val="20"/>
          <w:szCs w:val="20"/>
        </w:rPr>
        <w:t>agency problem</w:t>
      </w:r>
      <w:r w:rsidR="009F1065">
        <w:rPr>
          <w:rFonts w:ascii="Open Sans" w:hAnsi="Open Sans" w:cs="Open Sans"/>
          <w:sz w:val="20"/>
          <w:szCs w:val="20"/>
        </w:rPr>
        <w:t xml:space="preserve"> is used to refer to the possible negative side-effects of the agency contract (often called negative externalities). Put simply, if we assume that both the providers of capital and the managers they hire are both interested in maximizing their own wealth, </w:t>
      </w:r>
      <w:r>
        <w:rPr>
          <w:rFonts w:ascii="Open Sans" w:hAnsi="Open Sans" w:cs="Open Sans"/>
          <w:sz w:val="20"/>
          <w:szCs w:val="20"/>
        </w:rPr>
        <w:t>and the providers of capital cannot perfectly monitor the manager’s performance, then a self-interested manager may not always act in the best interests of the providers of capital. Why not? Because sometimes human nature gets the better of us.</w:t>
      </w:r>
    </w:p>
    <w:p w14:paraId="350000EB" w14:textId="50A33307" w:rsidR="0015600E" w:rsidRDefault="00995ED2" w:rsidP="003E2B1F">
      <w:pPr>
        <w:spacing w:before="120" w:after="120" w:line="360" w:lineRule="auto"/>
        <w:jc w:val="both"/>
        <w:rPr>
          <w:rFonts w:ascii="Open Sans" w:hAnsi="Open Sans" w:cs="Open Sans"/>
          <w:sz w:val="20"/>
          <w:szCs w:val="20"/>
        </w:rPr>
      </w:pPr>
      <w:r>
        <w:rPr>
          <w:rFonts w:ascii="Open Sans" w:eastAsiaTheme="majorEastAsia" w:hAnsi="Open Sans" w:cs="Open Sans"/>
          <w:b/>
          <w:bCs/>
          <w:smallCaps/>
          <w:color w:val="33006F"/>
          <w:szCs w:val="28"/>
        </w:rPr>
        <w:t xml:space="preserve">Why can’t the providers of capital perfectly monitor the manager? </w:t>
      </w:r>
      <w:r>
        <w:rPr>
          <w:rFonts w:ascii="Open Sans" w:hAnsi="Open Sans" w:cs="Open Sans"/>
          <w:sz w:val="20"/>
          <w:szCs w:val="20"/>
        </w:rPr>
        <w:t>If the providers of capital had the ability to perfectly monitor the manager’s performance, that is, how the manager used the capital provided to them, then there would be no agency problem. But it isn’t rational for a capital provider to delegate responsibility to a manager and monitor every action that the manager undertakes, they would instead manage the company themselves</w:t>
      </w:r>
      <w:r w:rsidR="00E2356E">
        <w:rPr>
          <w:rFonts w:ascii="Open Sans" w:hAnsi="Open Sans" w:cs="Open Sans"/>
          <w:sz w:val="20"/>
          <w:szCs w:val="20"/>
        </w:rPr>
        <w:t xml:space="preserve"> (why incur the cost of hiring a manager if you oversee and correct all their actions)</w:t>
      </w:r>
      <w:r>
        <w:rPr>
          <w:rFonts w:ascii="Open Sans" w:hAnsi="Open Sans" w:cs="Open Sans"/>
          <w:sz w:val="20"/>
          <w:szCs w:val="20"/>
        </w:rPr>
        <w:t>.</w:t>
      </w:r>
      <w:r w:rsidR="0015600E">
        <w:rPr>
          <w:rStyle w:val="EndnoteReference"/>
          <w:rFonts w:ascii="Open Sans" w:hAnsi="Open Sans" w:cs="Open Sans"/>
          <w:sz w:val="20"/>
          <w:szCs w:val="20"/>
        </w:rPr>
        <w:endnoteReference w:id="4"/>
      </w:r>
      <w:r w:rsidR="0015600E">
        <w:rPr>
          <w:rFonts w:ascii="Open Sans" w:hAnsi="Open Sans" w:cs="Open Sans"/>
          <w:sz w:val="20"/>
          <w:szCs w:val="20"/>
        </w:rPr>
        <w:t xml:space="preserve"> Partial monitoring of the manager can include the provision of periodic performance reports from the manager to the provider(s) of capital. With partial monitoring, the provider of capital faces a different problem, often called an </w:t>
      </w:r>
      <w:r w:rsidR="0015600E" w:rsidRPr="00CD207C">
        <w:rPr>
          <w:rFonts w:ascii="Open Sans" w:hAnsi="Open Sans" w:cs="Open Sans"/>
          <w:b/>
          <w:sz w:val="20"/>
          <w:szCs w:val="20"/>
        </w:rPr>
        <w:t>information asymmetry</w:t>
      </w:r>
      <w:r w:rsidR="0015600E">
        <w:rPr>
          <w:rFonts w:ascii="Open Sans" w:hAnsi="Open Sans" w:cs="Open Sans"/>
          <w:sz w:val="20"/>
          <w:szCs w:val="20"/>
        </w:rPr>
        <w:t xml:space="preserve"> problem, in that the manager has access to more information that the summaries of performance that they are asked to provide to the capital provider.</w:t>
      </w:r>
    </w:p>
    <w:p w14:paraId="5C3003DF" w14:textId="2828F647" w:rsidR="0015600E" w:rsidRDefault="0015600E" w:rsidP="00EB08E9">
      <w:pPr>
        <w:spacing w:before="120" w:after="120" w:line="360" w:lineRule="auto"/>
        <w:jc w:val="both"/>
        <w:rPr>
          <w:rFonts w:ascii="Open Sans" w:hAnsi="Open Sans" w:cs="Open Sans"/>
          <w:sz w:val="20"/>
          <w:szCs w:val="20"/>
        </w:rPr>
      </w:pPr>
      <w:r>
        <w:rPr>
          <w:rFonts w:ascii="Open Sans" w:eastAsiaTheme="majorEastAsia" w:hAnsi="Open Sans" w:cs="Open Sans"/>
          <w:b/>
          <w:bCs/>
          <w:smallCaps/>
          <w:color w:val="33006F"/>
          <w:szCs w:val="28"/>
        </w:rPr>
        <w:t xml:space="preserve">Where does the auditor fit in? </w:t>
      </w:r>
      <w:r w:rsidRPr="002D169F">
        <w:rPr>
          <w:rFonts w:ascii="Open Sans" w:hAnsi="Open Sans" w:cs="Open Sans"/>
          <w:sz w:val="20"/>
          <w:szCs w:val="20"/>
        </w:rPr>
        <w:t>As</w:t>
      </w:r>
      <w:r>
        <w:rPr>
          <w:rFonts w:ascii="Open Sans" w:hAnsi="Open Sans" w:cs="Open Sans"/>
          <w:sz w:val="20"/>
          <w:szCs w:val="20"/>
        </w:rPr>
        <w:t xml:space="preserve"> the providers of capital consider where to invest their capital, and when to </w:t>
      </w:r>
      <w:r w:rsidR="00AD24E3">
        <w:rPr>
          <w:rFonts w:ascii="Open Sans" w:hAnsi="Open Sans" w:cs="Open Sans"/>
          <w:sz w:val="20"/>
          <w:szCs w:val="20"/>
        </w:rPr>
        <w:t>liquidate their investment</w:t>
      </w:r>
      <w:r>
        <w:rPr>
          <w:rFonts w:ascii="Open Sans" w:hAnsi="Open Sans" w:cs="Open Sans"/>
          <w:sz w:val="20"/>
          <w:szCs w:val="20"/>
        </w:rPr>
        <w:t xml:space="preserve">, they rely on the </w:t>
      </w:r>
      <w:r w:rsidRPr="002D169F">
        <w:rPr>
          <w:rFonts w:ascii="Open Sans" w:hAnsi="Open Sans" w:cs="Open Sans"/>
          <w:sz w:val="20"/>
          <w:szCs w:val="20"/>
        </w:rPr>
        <w:t xml:space="preserve">summary of </w:t>
      </w:r>
      <w:r>
        <w:rPr>
          <w:rFonts w:ascii="Open Sans" w:hAnsi="Open Sans" w:cs="Open Sans"/>
          <w:sz w:val="20"/>
          <w:szCs w:val="20"/>
        </w:rPr>
        <w:t xml:space="preserve">the firm’s performance that was measured and disclosed by the manager. Clearly, the provision of a performance measure alone doesn’t always remove the agency problem between the providers of capital and managers, as the manager can </w:t>
      </w:r>
      <w:r>
        <w:rPr>
          <w:rFonts w:ascii="Open Sans" w:hAnsi="Open Sans" w:cs="Open Sans"/>
          <w:sz w:val="20"/>
          <w:szCs w:val="20"/>
        </w:rPr>
        <w:lastRenderedPageBreak/>
        <w:t xml:space="preserve">choose how to measure and report their performance. To the provider of capital, this means that the reported performance may not be an accurate reflection of the achieved performance; increasing the risk associated with their investment. The capital provider would then rationally either lower the amount of capital they provide to the manager (increasing the cost of raising capital from the manager’s perspective) or they would lower the compensation paid to the manager (decreasing the reward from running the firm to the manager). Both actions are costly to the manager, so the manager will agree to a less costly option – </w:t>
      </w:r>
      <w:r w:rsidRPr="002D169F">
        <w:rPr>
          <w:rFonts w:ascii="Open Sans" w:hAnsi="Open Sans" w:cs="Open Sans"/>
          <w:sz w:val="20"/>
          <w:szCs w:val="20"/>
        </w:rPr>
        <w:t>to</w:t>
      </w:r>
      <w:r>
        <w:rPr>
          <w:rFonts w:ascii="Open Sans" w:hAnsi="Open Sans" w:cs="Open Sans"/>
          <w:sz w:val="20"/>
          <w:szCs w:val="20"/>
        </w:rPr>
        <w:t xml:space="preserve"> </w:t>
      </w:r>
      <w:r w:rsidRPr="002D169F">
        <w:rPr>
          <w:rFonts w:ascii="Open Sans" w:hAnsi="Open Sans" w:cs="Open Sans"/>
          <w:sz w:val="20"/>
          <w:szCs w:val="20"/>
        </w:rPr>
        <w:t xml:space="preserve">provide evidence that the reported </w:t>
      </w:r>
      <w:r>
        <w:rPr>
          <w:rFonts w:ascii="Open Sans" w:hAnsi="Open Sans" w:cs="Open Sans"/>
          <w:sz w:val="20"/>
          <w:szCs w:val="20"/>
        </w:rPr>
        <w:t xml:space="preserve">performance has been measured </w:t>
      </w:r>
      <w:r w:rsidRPr="002D169F">
        <w:rPr>
          <w:rFonts w:ascii="Open Sans" w:hAnsi="Open Sans" w:cs="Open Sans"/>
          <w:sz w:val="20"/>
          <w:szCs w:val="20"/>
        </w:rPr>
        <w:t xml:space="preserve">carefully to avoid accidental error and </w:t>
      </w:r>
      <w:r>
        <w:rPr>
          <w:rFonts w:ascii="Open Sans" w:hAnsi="Open Sans" w:cs="Open Sans"/>
          <w:sz w:val="20"/>
          <w:szCs w:val="20"/>
        </w:rPr>
        <w:t>is</w:t>
      </w:r>
      <w:r w:rsidRPr="002D169F">
        <w:rPr>
          <w:rFonts w:ascii="Open Sans" w:hAnsi="Open Sans" w:cs="Open Sans"/>
          <w:sz w:val="20"/>
          <w:szCs w:val="20"/>
        </w:rPr>
        <w:t xml:space="preserve"> free of material </w:t>
      </w:r>
      <w:r>
        <w:rPr>
          <w:rFonts w:ascii="Open Sans" w:hAnsi="Open Sans" w:cs="Open Sans"/>
          <w:sz w:val="20"/>
          <w:szCs w:val="20"/>
        </w:rPr>
        <w:t>errors or omissions</w:t>
      </w:r>
      <w:r w:rsidRPr="002D169F">
        <w:rPr>
          <w:rFonts w:ascii="Open Sans" w:hAnsi="Open Sans" w:cs="Open Sans"/>
          <w:sz w:val="20"/>
          <w:szCs w:val="20"/>
        </w:rPr>
        <w:t>. The product which provides this assurance</w:t>
      </w:r>
      <w:r>
        <w:rPr>
          <w:rFonts w:ascii="Open Sans" w:hAnsi="Open Sans" w:cs="Open Sans"/>
          <w:sz w:val="20"/>
          <w:szCs w:val="20"/>
        </w:rPr>
        <w:t xml:space="preserve"> to the capital provider</w:t>
      </w:r>
      <w:r w:rsidRPr="002D169F">
        <w:rPr>
          <w:rFonts w:ascii="Open Sans" w:hAnsi="Open Sans" w:cs="Open Sans"/>
          <w:sz w:val="20"/>
          <w:szCs w:val="20"/>
        </w:rPr>
        <w:t xml:space="preserve">, is </w:t>
      </w:r>
      <w:r>
        <w:rPr>
          <w:rFonts w:ascii="Open Sans" w:hAnsi="Open Sans" w:cs="Open Sans"/>
          <w:sz w:val="20"/>
          <w:szCs w:val="20"/>
        </w:rPr>
        <w:t xml:space="preserve">the </w:t>
      </w:r>
      <w:r w:rsidRPr="002D169F">
        <w:rPr>
          <w:rFonts w:ascii="Open Sans" w:hAnsi="Open Sans" w:cs="Open Sans"/>
          <w:sz w:val="20"/>
          <w:szCs w:val="20"/>
        </w:rPr>
        <w:t>independent audit.</w:t>
      </w:r>
      <w:r>
        <w:rPr>
          <w:rStyle w:val="EndnoteReference"/>
          <w:rFonts w:ascii="Open Sans" w:hAnsi="Open Sans" w:cs="Open Sans"/>
          <w:sz w:val="20"/>
          <w:szCs w:val="20"/>
        </w:rPr>
        <w:endnoteReference w:id="5"/>
      </w:r>
    </w:p>
    <w:p w14:paraId="39116D4F" w14:textId="77777777" w:rsidR="00BA7107" w:rsidRPr="002F6B23" w:rsidRDefault="00BA7107" w:rsidP="00BA7107">
      <w:pPr>
        <w:pStyle w:val="Heading1"/>
        <w:rPr>
          <w:rFonts w:ascii="Open Sans" w:hAnsi="Open Sans" w:cs="Open Sans"/>
          <w:smallCaps/>
          <w:color w:val="33006F"/>
        </w:rPr>
      </w:pPr>
      <w:r>
        <w:rPr>
          <w:rFonts w:ascii="Open Sans" w:hAnsi="Open Sans" w:cs="Open Sans"/>
          <w:smallCaps/>
          <w:color w:val="33006F"/>
        </w:rPr>
        <w:t>Improving information quality</w:t>
      </w:r>
    </w:p>
    <w:p w14:paraId="6C9B4DBB" w14:textId="5E701C50" w:rsidR="007B5561" w:rsidRDefault="00BA3629" w:rsidP="00BA3629">
      <w:pPr>
        <w:spacing w:before="120" w:after="120" w:line="360" w:lineRule="auto"/>
        <w:jc w:val="both"/>
        <w:rPr>
          <w:rFonts w:ascii="Open Sans" w:hAnsi="Open Sans" w:cs="Open Sans"/>
          <w:sz w:val="20"/>
          <w:szCs w:val="20"/>
        </w:rPr>
      </w:pPr>
      <w:r>
        <w:rPr>
          <w:rFonts w:ascii="Open Sans" w:hAnsi="Open Sans" w:cs="Open Sans"/>
          <w:sz w:val="20"/>
          <w:szCs w:val="20"/>
        </w:rPr>
        <w:t xml:space="preserve">An additional theory relating to the value from auditing is the argument that investors demand audited financial statements because they improve the quality of the information derived from financial statements. It has long been recognized that investors require timely information about the financial prospects of an investment to make purchasing decisions.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3826"/>
      </w:tblGrid>
      <w:tr w:rsidR="007B5561" w14:paraId="7BADCEF4" w14:textId="77777777" w:rsidTr="00B32215">
        <w:tc>
          <w:tcPr>
            <w:tcW w:w="5958" w:type="dxa"/>
            <w:tcBorders>
              <w:right w:val="single" w:sz="12" w:space="0" w:color="auto"/>
            </w:tcBorders>
          </w:tcPr>
          <w:p w14:paraId="1D01FD91" w14:textId="184B970C" w:rsidR="007B5561" w:rsidRDefault="007B5561" w:rsidP="00BA3629">
            <w:pPr>
              <w:spacing w:before="120" w:after="120" w:line="360" w:lineRule="auto"/>
              <w:jc w:val="both"/>
              <w:rPr>
                <w:rFonts w:ascii="Open Sans" w:hAnsi="Open Sans" w:cs="Open Sans"/>
                <w:sz w:val="20"/>
                <w:szCs w:val="20"/>
              </w:rPr>
            </w:pPr>
            <w:r>
              <w:rPr>
                <w:rFonts w:ascii="Open Sans" w:eastAsiaTheme="majorEastAsia" w:hAnsi="Open Sans" w:cs="Open Sans"/>
                <w:b/>
                <w:bCs/>
                <w:smallCaps/>
                <w:color w:val="33006F"/>
                <w:szCs w:val="28"/>
              </w:rPr>
              <w:t>What’s the problem?</w:t>
            </w:r>
            <w:r w:rsidRPr="00744929">
              <w:rPr>
                <w:rFonts w:ascii="Open Sans" w:hAnsi="Open Sans" w:cs="Open Sans"/>
                <w:sz w:val="20"/>
                <w:szCs w:val="20"/>
              </w:rPr>
              <w:t xml:space="preserve"> </w:t>
            </w:r>
            <w:r w:rsidR="00743D54">
              <w:rPr>
                <w:rFonts w:ascii="Open Sans" w:hAnsi="Open Sans" w:cs="Open Sans"/>
                <w:sz w:val="20"/>
                <w:szCs w:val="20"/>
              </w:rPr>
              <w:t xml:space="preserve">Investors gain three main benefits from access to information: (1) the risk of their investment decreases as they </w:t>
            </w:r>
            <w:r w:rsidR="00AD24E3">
              <w:rPr>
                <w:rFonts w:ascii="Open Sans" w:hAnsi="Open Sans" w:cs="Open Sans"/>
                <w:sz w:val="20"/>
                <w:szCs w:val="20"/>
              </w:rPr>
              <w:t>receive</w:t>
            </w:r>
            <w:r w:rsidR="00743D54">
              <w:rPr>
                <w:rFonts w:ascii="Open Sans" w:hAnsi="Open Sans" w:cs="Open Sans"/>
                <w:sz w:val="20"/>
                <w:szCs w:val="20"/>
              </w:rPr>
              <w:t xml:space="preserve"> higher quality information, (2) information improves decision-making, and (3) these features combined increase investors’ expected wealth. </w:t>
            </w:r>
          </w:p>
          <w:p w14:paraId="70695640" w14:textId="6664C9EB" w:rsidR="00743D54" w:rsidRDefault="00743D54" w:rsidP="00BA3629">
            <w:pPr>
              <w:spacing w:before="120" w:after="120" w:line="360" w:lineRule="auto"/>
              <w:jc w:val="both"/>
              <w:rPr>
                <w:rFonts w:ascii="Open Sans" w:hAnsi="Open Sans" w:cs="Open Sans"/>
                <w:sz w:val="20"/>
                <w:szCs w:val="20"/>
              </w:rPr>
            </w:pPr>
            <w:r>
              <w:rPr>
                <w:rFonts w:ascii="Open Sans" w:hAnsi="Open Sans" w:cs="Open Sans"/>
                <w:sz w:val="20"/>
                <w:szCs w:val="20"/>
              </w:rPr>
              <w:t xml:space="preserve">As investors will typically avoid taking on higher </w:t>
            </w:r>
            <w:r w:rsidR="007979E7">
              <w:rPr>
                <w:rFonts w:ascii="Open Sans" w:hAnsi="Open Sans" w:cs="Open Sans"/>
                <w:sz w:val="20"/>
                <w:szCs w:val="20"/>
              </w:rPr>
              <w:t xml:space="preserve">risk (in economics this is referred to as </w:t>
            </w:r>
            <w:r w:rsidR="007979E7" w:rsidRPr="007979E7">
              <w:rPr>
                <w:rFonts w:ascii="Open Sans" w:hAnsi="Open Sans" w:cs="Open Sans"/>
                <w:b/>
                <w:sz w:val="20"/>
                <w:szCs w:val="20"/>
              </w:rPr>
              <w:t>risk-avers</w:t>
            </w:r>
            <w:r w:rsidR="00AD24E3">
              <w:rPr>
                <w:rFonts w:ascii="Open Sans" w:hAnsi="Open Sans" w:cs="Open Sans"/>
                <w:b/>
                <w:sz w:val="20"/>
                <w:szCs w:val="20"/>
              </w:rPr>
              <w:t>ion</w:t>
            </w:r>
            <w:r w:rsidR="007979E7">
              <w:rPr>
                <w:rFonts w:ascii="Open Sans" w:hAnsi="Open Sans" w:cs="Open Sans"/>
                <w:sz w:val="20"/>
                <w:szCs w:val="20"/>
              </w:rPr>
              <w:t>), one way of viewing the value of auditing is from increasing an investor</w:t>
            </w:r>
            <w:r w:rsidR="00AD24E3">
              <w:rPr>
                <w:rFonts w:ascii="Open Sans" w:hAnsi="Open Sans" w:cs="Open Sans"/>
                <w:sz w:val="20"/>
                <w:szCs w:val="20"/>
              </w:rPr>
              <w:t>’</w:t>
            </w:r>
            <w:r w:rsidR="007979E7">
              <w:rPr>
                <w:rFonts w:ascii="Open Sans" w:hAnsi="Open Sans" w:cs="Open Sans"/>
                <w:sz w:val="20"/>
                <w:szCs w:val="20"/>
              </w:rPr>
              <w:t>s view of the risk of errors in the financial reports.</w:t>
            </w:r>
          </w:p>
        </w:tc>
        <w:tc>
          <w:tcPr>
            <w:tcW w:w="3906" w:type="dxa"/>
            <w:tcBorders>
              <w:top w:val="single" w:sz="12" w:space="0" w:color="auto"/>
              <w:left w:val="single" w:sz="12" w:space="0" w:color="auto"/>
              <w:bottom w:val="single" w:sz="12" w:space="0" w:color="auto"/>
              <w:right w:val="single" w:sz="12" w:space="0" w:color="auto"/>
            </w:tcBorders>
          </w:tcPr>
          <w:p w14:paraId="141EC665" w14:textId="77777777" w:rsidR="007B5561" w:rsidRDefault="007B5561" w:rsidP="007B5561">
            <w:pPr>
              <w:spacing w:before="120" w:after="120" w:line="240" w:lineRule="auto"/>
              <w:jc w:val="both"/>
              <w:rPr>
                <w:rFonts w:ascii="Open Sans" w:hAnsi="Open Sans" w:cs="Open Sans"/>
                <w:sz w:val="20"/>
                <w:szCs w:val="20"/>
              </w:rPr>
            </w:pPr>
            <w:r w:rsidRPr="007B5561">
              <w:rPr>
                <w:rFonts w:ascii="Open Sans" w:hAnsi="Open Sans" w:cs="Open Sans"/>
                <w:noProof/>
                <w:color w:val="37246A" w:themeColor="text2"/>
                <w:sz w:val="18"/>
                <w:szCs w:val="20"/>
              </w:rPr>
              <w:drawing>
                <wp:anchor distT="0" distB="0" distL="114300" distR="114300" simplePos="0" relativeHeight="251659264" behindDoc="1" locked="0" layoutInCell="1" allowOverlap="1" wp14:anchorId="734541C1" wp14:editId="42F881F9">
                  <wp:simplePos x="0" y="0"/>
                  <wp:positionH relativeFrom="column">
                    <wp:posOffset>-3810</wp:posOffset>
                  </wp:positionH>
                  <wp:positionV relativeFrom="paragraph">
                    <wp:posOffset>79375</wp:posOffset>
                  </wp:positionV>
                  <wp:extent cx="603504" cy="603504"/>
                  <wp:effectExtent l="0" t="0" r="0" b="0"/>
                  <wp:wrapSquare wrapText="bothSides"/>
                  <wp:docPr id="10" name="Graphic 10" descr="Head with G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wnload?provider=MicrosoftIcon&amp;fileName=HeadWithGears.svg"/>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03504" cy="603504"/>
                          </a:xfrm>
                          <a:prstGeom prst="rect">
                            <a:avLst/>
                          </a:prstGeom>
                        </pic:spPr>
                      </pic:pic>
                    </a:graphicData>
                  </a:graphic>
                  <wp14:sizeRelH relativeFrom="margin">
                    <wp14:pctWidth>0</wp14:pctWidth>
                  </wp14:sizeRelH>
                  <wp14:sizeRelV relativeFrom="margin">
                    <wp14:pctHeight>0</wp14:pctHeight>
                  </wp14:sizeRelV>
                </wp:anchor>
              </w:drawing>
            </w:r>
            <w:r w:rsidRPr="007B5561">
              <w:rPr>
                <w:rFonts w:ascii="Open Sans" w:hAnsi="Open Sans" w:cs="Open Sans"/>
                <w:color w:val="37246A" w:themeColor="text2"/>
                <w:sz w:val="18"/>
                <w:szCs w:val="20"/>
              </w:rPr>
              <w:t xml:space="preserve">Keep in mind that auditing became mandatory when the SEC was established. The SEC followed the 1929 stock crash, that fueled one of the worst depressions in U.S. history. The apparent extension of auditors’ responsibilities from a voluntary to mandatory service was in part justified by claims that "adequate disclosures" would preclude future stock market crashes. </w:t>
            </w:r>
            <w:r>
              <w:rPr>
                <w:rFonts w:ascii="Open Sans" w:hAnsi="Open Sans" w:cs="Open Sans"/>
                <w:color w:val="37246A" w:themeColor="text2"/>
                <w:sz w:val="18"/>
                <w:szCs w:val="20"/>
              </w:rPr>
              <w:t xml:space="preserve">At the time there was no evidence that </w:t>
            </w:r>
            <w:r w:rsidRPr="007B5561">
              <w:rPr>
                <w:rFonts w:ascii="Open Sans" w:hAnsi="Open Sans" w:cs="Open Sans"/>
                <w:color w:val="37246A" w:themeColor="text2"/>
                <w:sz w:val="18"/>
                <w:szCs w:val="20"/>
              </w:rPr>
              <w:t>inadequate disclosure practices</w:t>
            </w:r>
            <w:r>
              <w:rPr>
                <w:rFonts w:ascii="Open Sans" w:hAnsi="Open Sans" w:cs="Open Sans"/>
                <w:color w:val="37246A" w:themeColor="text2"/>
                <w:sz w:val="18"/>
                <w:szCs w:val="20"/>
              </w:rPr>
              <w:t xml:space="preserve"> </w:t>
            </w:r>
            <w:r w:rsidRPr="007B5561">
              <w:rPr>
                <w:rFonts w:ascii="Open Sans" w:hAnsi="Open Sans" w:cs="Open Sans"/>
                <w:color w:val="37246A" w:themeColor="text2"/>
                <w:sz w:val="18"/>
                <w:szCs w:val="20"/>
              </w:rPr>
              <w:t>caused the crash.</w:t>
            </w:r>
            <w:r>
              <w:rPr>
                <w:rFonts w:ascii="Open Sans" w:hAnsi="Open Sans" w:cs="Open Sans"/>
                <w:color w:val="37246A" w:themeColor="text2"/>
                <w:sz w:val="18"/>
                <w:szCs w:val="20"/>
              </w:rPr>
              <w:t xml:space="preserve"> You will notice, however, that in almost all major historical crashes, there is inevitably discussion of problems with accounting disclosures and auditing! </w:t>
            </w:r>
          </w:p>
        </w:tc>
      </w:tr>
    </w:tbl>
    <w:p w14:paraId="55E964AB" w14:textId="245A5B7C" w:rsidR="007B5561" w:rsidRDefault="007B5561" w:rsidP="007B5561">
      <w:pPr>
        <w:spacing w:before="120" w:after="120" w:line="360" w:lineRule="auto"/>
        <w:jc w:val="both"/>
        <w:rPr>
          <w:rFonts w:ascii="Open Sans" w:hAnsi="Open Sans" w:cs="Open Sans"/>
          <w:sz w:val="20"/>
          <w:szCs w:val="20"/>
        </w:rPr>
      </w:pPr>
      <w:r w:rsidRPr="0060351C">
        <w:rPr>
          <w:rFonts w:ascii="Open Sans" w:eastAsiaTheme="majorEastAsia" w:hAnsi="Open Sans" w:cs="Open Sans"/>
          <w:b/>
          <w:bCs/>
          <w:smallCaps/>
          <w:color w:val="33006F"/>
          <w:szCs w:val="28"/>
        </w:rPr>
        <w:t xml:space="preserve">An auditor can improve </w:t>
      </w:r>
      <w:r>
        <w:rPr>
          <w:rFonts w:ascii="Open Sans" w:eastAsiaTheme="majorEastAsia" w:hAnsi="Open Sans" w:cs="Open Sans"/>
          <w:b/>
          <w:bCs/>
          <w:smallCaps/>
          <w:color w:val="33006F"/>
          <w:szCs w:val="28"/>
        </w:rPr>
        <w:t xml:space="preserve">performance measurement </w:t>
      </w:r>
      <w:r w:rsidRPr="0060351C">
        <w:rPr>
          <w:rFonts w:ascii="Open Sans" w:hAnsi="Open Sans" w:cs="Open Sans"/>
          <w:sz w:val="20"/>
          <w:szCs w:val="20"/>
        </w:rPr>
        <w:t xml:space="preserve">either </w:t>
      </w:r>
      <w:r>
        <w:rPr>
          <w:rFonts w:ascii="Open Sans" w:hAnsi="Open Sans" w:cs="Open Sans"/>
          <w:sz w:val="20"/>
          <w:szCs w:val="20"/>
        </w:rPr>
        <w:t xml:space="preserve">explicitly by </w:t>
      </w:r>
      <w:r w:rsidRPr="0060351C">
        <w:rPr>
          <w:rFonts w:ascii="Open Sans" w:hAnsi="Open Sans" w:cs="Open Sans"/>
          <w:sz w:val="20"/>
          <w:szCs w:val="20"/>
        </w:rPr>
        <w:t>finding errors</w:t>
      </w:r>
      <w:r>
        <w:rPr>
          <w:rFonts w:ascii="Open Sans" w:hAnsi="Open Sans" w:cs="Open Sans"/>
          <w:sz w:val="20"/>
          <w:szCs w:val="20"/>
        </w:rPr>
        <w:t xml:space="preserve"> or implicitly </w:t>
      </w:r>
      <w:r w:rsidRPr="0060351C">
        <w:rPr>
          <w:rFonts w:ascii="Open Sans" w:hAnsi="Open Sans" w:cs="Open Sans"/>
          <w:sz w:val="20"/>
          <w:szCs w:val="20"/>
        </w:rPr>
        <w:t>by making employees more careful in preparing records in anticipation of an audit</w:t>
      </w:r>
      <w:r>
        <w:rPr>
          <w:rFonts w:ascii="Open Sans" w:hAnsi="Open Sans" w:cs="Open Sans"/>
          <w:sz w:val="20"/>
          <w:szCs w:val="20"/>
        </w:rPr>
        <w:t xml:space="preserve">. For the modern audit, the integration of </w:t>
      </w:r>
      <w:r w:rsidR="00AD24E3">
        <w:rPr>
          <w:rFonts w:ascii="Open Sans" w:hAnsi="Open Sans" w:cs="Open Sans"/>
          <w:sz w:val="20"/>
          <w:szCs w:val="20"/>
        </w:rPr>
        <w:t xml:space="preserve">internal </w:t>
      </w:r>
      <w:r>
        <w:rPr>
          <w:rFonts w:ascii="Open Sans" w:hAnsi="Open Sans" w:cs="Open Sans"/>
          <w:sz w:val="20"/>
          <w:szCs w:val="20"/>
        </w:rPr>
        <w:t xml:space="preserve">control testing within the audit product, often referred to as the </w:t>
      </w:r>
      <w:r w:rsidRPr="0060351C">
        <w:rPr>
          <w:rFonts w:ascii="Open Sans" w:hAnsi="Open Sans" w:cs="Open Sans"/>
          <w:b/>
          <w:sz w:val="20"/>
          <w:szCs w:val="20"/>
        </w:rPr>
        <w:t xml:space="preserve">integrated </w:t>
      </w:r>
      <w:r w:rsidRPr="0060351C">
        <w:rPr>
          <w:rFonts w:ascii="Open Sans" w:hAnsi="Open Sans" w:cs="Open Sans"/>
          <w:b/>
          <w:sz w:val="20"/>
          <w:szCs w:val="20"/>
        </w:rPr>
        <w:lastRenderedPageBreak/>
        <w:t>audit</w:t>
      </w:r>
      <w:r>
        <w:rPr>
          <w:rFonts w:ascii="Open Sans" w:hAnsi="Open Sans" w:cs="Open Sans"/>
          <w:sz w:val="20"/>
          <w:szCs w:val="20"/>
        </w:rPr>
        <w:t xml:space="preserve">, allows for the audit to improve performance measurement by finding weaknesses in internal company processes that can be improved. These processes can be both operational processes (such as supply chain and inventory management systems), and processes within the financial reporting function (such as not having appropriate reconciliation processes for major accounts). Thus, the modern audit adds value to the company which has a positive side-effect of creating more </w:t>
      </w:r>
      <w:r w:rsidRPr="0060351C">
        <w:rPr>
          <w:rFonts w:ascii="Open Sans" w:hAnsi="Open Sans" w:cs="Open Sans"/>
          <w:sz w:val="20"/>
          <w:szCs w:val="20"/>
        </w:rPr>
        <w:t xml:space="preserve">accurate data for </w:t>
      </w:r>
      <w:r>
        <w:rPr>
          <w:rFonts w:ascii="Open Sans" w:hAnsi="Open Sans" w:cs="Open Sans"/>
          <w:sz w:val="20"/>
          <w:szCs w:val="20"/>
        </w:rPr>
        <w:t>internal decision making in areas such as budgeting and forecasting</w:t>
      </w:r>
      <w:r w:rsidRPr="0060351C">
        <w:rPr>
          <w:rFonts w:ascii="Open Sans" w:hAnsi="Open Sans" w:cs="Open Sans"/>
          <w:sz w:val="20"/>
          <w:szCs w:val="20"/>
        </w:rPr>
        <w:t xml:space="preserve"> (as a basis for production and pricing decisions)</w:t>
      </w:r>
      <w:r>
        <w:rPr>
          <w:rFonts w:ascii="Open Sans" w:hAnsi="Open Sans" w:cs="Open Sans"/>
          <w:sz w:val="20"/>
          <w:szCs w:val="20"/>
        </w:rPr>
        <w:t>, that can lead to operational efficiencies in inventory management and supply chain</w:t>
      </w:r>
      <w:r w:rsidR="00460182">
        <w:rPr>
          <w:rFonts w:ascii="Open Sans" w:hAnsi="Open Sans" w:cs="Open Sans"/>
          <w:sz w:val="20"/>
          <w:szCs w:val="20"/>
        </w:rPr>
        <w:t xml:space="preserve"> decisions</w:t>
      </w:r>
      <w:r w:rsidRPr="0060351C">
        <w:rPr>
          <w:rFonts w:ascii="Open Sans" w:hAnsi="Open Sans" w:cs="Open Sans"/>
          <w:sz w:val="20"/>
          <w:szCs w:val="20"/>
        </w:rPr>
        <w:t>.</w:t>
      </w:r>
    </w:p>
    <w:p w14:paraId="75C7E20A" w14:textId="77777777" w:rsidR="007B5561" w:rsidRPr="002F6B23" w:rsidRDefault="007B5561" w:rsidP="007B5561">
      <w:pPr>
        <w:pStyle w:val="Heading1"/>
        <w:rPr>
          <w:rFonts w:ascii="Open Sans" w:hAnsi="Open Sans" w:cs="Open Sans"/>
          <w:smallCaps/>
          <w:color w:val="33006F"/>
        </w:rPr>
      </w:pPr>
      <w:r>
        <w:rPr>
          <w:rFonts w:ascii="Open Sans" w:hAnsi="Open Sans" w:cs="Open Sans"/>
          <w:smallCaps/>
          <w:color w:val="33006F"/>
        </w:rPr>
        <w:t>Application and analysis</w:t>
      </w:r>
    </w:p>
    <w:p w14:paraId="4C1848A3" w14:textId="12F4B2E8" w:rsidR="00476A32" w:rsidRDefault="00CD207C" w:rsidP="007979E7">
      <w:pPr>
        <w:spacing w:before="120" w:after="120" w:line="360" w:lineRule="auto"/>
        <w:jc w:val="both"/>
        <w:rPr>
          <w:rFonts w:ascii="Open Sans" w:hAnsi="Open Sans" w:cs="Open Sans"/>
          <w:sz w:val="20"/>
          <w:szCs w:val="20"/>
        </w:rPr>
      </w:pPr>
      <w:r>
        <w:rPr>
          <w:rFonts w:ascii="Open Sans" w:hAnsi="Open Sans" w:cs="Open Sans"/>
          <w:sz w:val="20"/>
          <w:szCs w:val="20"/>
        </w:rPr>
        <w:t xml:space="preserve">How well do these theories help us understand the demand for audit in the modern environment? </w:t>
      </w:r>
      <w:r w:rsidR="00476A32">
        <w:rPr>
          <w:rFonts w:ascii="Open Sans" w:hAnsi="Open Sans" w:cs="Open Sans"/>
          <w:sz w:val="20"/>
          <w:szCs w:val="20"/>
        </w:rPr>
        <w:t>Above, the theory suggests that the audit provides value to the company receiving it. We also know that prior to the audit becoming mandatory in the 1930s, many companies voluntarily undertook an audit.</w:t>
      </w:r>
      <w:r w:rsidR="00B075F4">
        <w:rPr>
          <w:rStyle w:val="EndnoteReference"/>
          <w:rFonts w:ascii="Open Sans" w:hAnsi="Open Sans" w:cs="Open Sans"/>
          <w:sz w:val="20"/>
          <w:szCs w:val="20"/>
        </w:rPr>
        <w:endnoteReference w:id="6"/>
      </w:r>
      <w:r w:rsidR="00476A32">
        <w:rPr>
          <w:rFonts w:ascii="Open Sans" w:hAnsi="Open Sans" w:cs="Open Sans"/>
          <w:sz w:val="20"/>
          <w:szCs w:val="20"/>
        </w:rPr>
        <w:t xml:space="preserve"> Intuitively, this means that there is a </w:t>
      </w:r>
      <w:r w:rsidR="00476A32" w:rsidRPr="00476A32">
        <w:rPr>
          <w:rFonts w:ascii="Open Sans" w:hAnsi="Open Sans" w:cs="Open Sans"/>
          <w:b/>
          <w:sz w:val="20"/>
          <w:szCs w:val="20"/>
        </w:rPr>
        <w:t>cost-benefit trade-off</w:t>
      </w:r>
      <w:r w:rsidR="00476A32">
        <w:rPr>
          <w:rFonts w:ascii="Open Sans" w:hAnsi="Open Sans" w:cs="Open Sans"/>
          <w:sz w:val="20"/>
          <w:szCs w:val="20"/>
        </w:rPr>
        <w:t xml:space="preserve"> to the audit, and if the audit was voluntary, we would expect companies to choose to be audited when the cost is lower than the value received from the audit. The cost of the audit, or </w:t>
      </w:r>
      <w:r w:rsidR="00476A32" w:rsidRPr="00476A32">
        <w:rPr>
          <w:rFonts w:ascii="Open Sans" w:hAnsi="Open Sans" w:cs="Open Sans"/>
          <w:b/>
          <w:sz w:val="20"/>
          <w:szCs w:val="20"/>
        </w:rPr>
        <w:t>audit fee</w:t>
      </w:r>
      <w:r w:rsidR="00476A32">
        <w:rPr>
          <w:rFonts w:ascii="Open Sans" w:hAnsi="Open Sans" w:cs="Open Sans"/>
          <w:sz w:val="20"/>
          <w:szCs w:val="20"/>
        </w:rPr>
        <w:t xml:space="preserve">, </w:t>
      </w:r>
      <w:r w:rsidR="00B32215">
        <w:rPr>
          <w:rFonts w:ascii="Open Sans" w:hAnsi="Open Sans" w:cs="Open Sans"/>
          <w:sz w:val="20"/>
          <w:szCs w:val="20"/>
        </w:rPr>
        <w:t>is the amount paid by the company to the audit firm.</w:t>
      </w:r>
      <w:r w:rsidR="00460182">
        <w:rPr>
          <w:rStyle w:val="EndnoteReference"/>
          <w:rFonts w:ascii="Open Sans" w:hAnsi="Open Sans" w:cs="Open Sans"/>
          <w:sz w:val="20"/>
          <w:szCs w:val="20"/>
        </w:rPr>
        <w:endnoteReference w:id="7"/>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3"/>
        <w:gridCol w:w="5320"/>
      </w:tblGrid>
      <w:tr w:rsidR="00B32215" w14:paraId="01034129" w14:textId="77777777" w:rsidTr="00B32215">
        <w:tc>
          <w:tcPr>
            <w:tcW w:w="4320" w:type="dxa"/>
            <w:tcBorders>
              <w:top w:val="single" w:sz="12" w:space="0" w:color="auto"/>
              <w:left w:val="single" w:sz="12" w:space="0" w:color="auto"/>
              <w:bottom w:val="single" w:sz="12" w:space="0" w:color="auto"/>
              <w:right w:val="single" w:sz="12" w:space="0" w:color="auto"/>
            </w:tcBorders>
          </w:tcPr>
          <w:p w14:paraId="46A3131C" w14:textId="77777777" w:rsidR="00B32215" w:rsidRDefault="00B32215" w:rsidP="00332A5B">
            <w:pPr>
              <w:spacing w:before="120" w:after="120" w:line="240" w:lineRule="auto"/>
              <w:jc w:val="both"/>
              <w:rPr>
                <w:rFonts w:ascii="Open Sans" w:hAnsi="Open Sans" w:cs="Open Sans"/>
                <w:sz w:val="20"/>
                <w:szCs w:val="20"/>
              </w:rPr>
            </w:pPr>
            <w:r>
              <w:rPr>
                <w:rFonts w:ascii="Open Sans" w:hAnsi="Open Sans" w:cs="Open Sans"/>
                <w:color w:val="37246A" w:themeColor="text2"/>
                <w:sz w:val="18"/>
                <w:szCs w:val="20"/>
              </w:rPr>
              <w:t xml:space="preserve">Why might one company pay more for their audit than another company? Consider Apple and Microsoft, what are the similarities and differences between their business models? </w:t>
            </w:r>
            <w:r>
              <w:rPr>
                <w:rFonts w:ascii="Open Sans" w:hAnsi="Open Sans" w:cs="Open Sans"/>
                <w:noProof/>
                <w:sz w:val="20"/>
                <w:szCs w:val="20"/>
              </w:rPr>
              <w:drawing>
                <wp:anchor distT="0" distB="0" distL="114300" distR="114300" simplePos="0" relativeHeight="251661312" behindDoc="0" locked="0" layoutInCell="1" allowOverlap="1" wp14:anchorId="74E77C43" wp14:editId="6F970349">
                  <wp:simplePos x="0" y="0"/>
                  <wp:positionH relativeFrom="column">
                    <wp:posOffset>0</wp:posOffset>
                  </wp:positionH>
                  <wp:positionV relativeFrom="paragraph">
                    <wp:posOffset>71755</wp:posOffset>
                  </wp:positionV>
                  <wp:extent cx="603504" cy="603504"/>
                  <wp:effectExtent l="0" t="0" r="0" b="6350"/>
                  <wp:wrapSquare wrapText="bothSides"/>
                  <wp:docPr id="4" name="Graphic 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provider=MicrosoftIcon&amp;fileName=Document.svg"/>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603504" cy="603504"/>
                          </a:xfrm>
                          <a:prstGeom prst="rect">
                            <a:avLst/>
                          </a:prstGeom>
                        </pic:spPr>
                      </pic:pic>
                    </a:graphicData>
                  </a:graphic>
                </wp:anchor>
              </w:drawing>
            </w:r>
            <w:r>
              <w:rPr>
                <w:rFonts w:ascii="Open Sans" w:hAnsi="Open Sans" w:cs="Open Sans"/>
                <w:color w:val="37246A" w:themeColor="text2"/>
                <w:sz w:val="18"/>
                <w:szCs w:val="20"/>
              </w:rPr>
              <w:t>Why would one company pay more for the audit than the other?</w:t>
            </w:r>
          </w:p>
        </w:tc>
        <w:tc>
          <w:tcPr>
            <w:tcW w:w="5328" w:type="dxa"/>
            <w:tcBorders>
              <w:left w:val="single" w:sz="12" w:space="0" w:color="auto"/>
            </w:tcBorders>
          </w:tcPr>
          <w:p w14:paraId="7920F927" w14:textId="0C2D7C5D" w:rsidR="00B32215" w:rsidRDefault="00B32215" w:rsidP="00B32215">
            <w:pPr>
              <w:spacing w:before="120" w:after="120" w:line="360" w:lineRule="auto"/>
              <w:jc w:val="both"/>
              <w:rPr>
                <w:rFonts w:ascii="Open Sans" w:hAnsi="Open Sans" w:cs="Open Sans"/>
                <w:sz w:val="20"/>
                <w:szCs w:val="20"/>
              </w:rPr>
            </w:pPr>
            <w:r w:rsidRPr="00B32215">
              <w:rPr>
                <w:rFonts w:ascii="Open Sans" w:hAnsi="Open Sans" w:cs="Open Sans"/>
                <w:sz w:val="20"/>
                <w:szCs w:val="20"/>
              </w:rPr>
              <w:t xml:space="preserve">Economics suggests that in a competitive equilibrium, audit fees should reflect the expected costs of auditor business (or engagement) risk. In the modern business environment, the audit fee will reflect (i) a base level of </w:t>
            </w:r>
          </w:p>
        </w:tc>
      </w:tr>
    </w:tbl>
    <w:p w14:paraId="10378562" w14:textId="4B92ABCF" w:rsidR="007979E7" w:rsidRDefault="00B32215" w:rsidP="00B32215">
      <w:pPr>
        <w:spacing w:before="120" w:after="120" w:line="360" w:lineRule="auto"/>
        <w:jc w:val="both"/>
        <w:rPr>
          <w:rFonts w:ascii="Open Sans" w:hAnsi="Open Sans" w:cs="Open Sans"/>
          <w:sz w:val="20"/>
          <w:szCs w:val="20"/>
        </w:rPr>
      </w:pPr>
      <w:r w:rsidRPr="00B32215">
        <w:rPr>
          <w:rFonts w:ascii="Open Sans" w:hAnsi="Open Sans" w:cs="Open Sans"/>
          <w:sz w:val="20"/>
          <w:szCs w:val="20"/>
        </w:rPr>
        <w:t>inherent risk associated with the audit, and (ii) the contracting firm’s assessment about the additional risks of the company.</w:t>
      </w:r>
      <w:r>
        <w:rPr>
          <w:rFonts w:ascii="Open Sans" w:hAnsi="Open Sans" w:cs="Open Sans"/>
          <w:sz w:val="20"/>
          <w:szCs w:val="20"/>
        </w:rPr>
        <w:t xml:space="preserve"> </w:t>
      </w:r>
      <w:r w:rsidR="00476A32" w:rsidRPr="00B32215">
        <w:rPr>
          <w:rFonts w:ascii="Open Sans" w:hAnsi="Open Sans" w:cs="Open Sans"/>
          <w:sz w:val="20"/>
          <w:szCs w:val="20"/>
        </w:rPr>
        <w:t>Intuitively, the inherent audit risk in the company reflects the work associated with obtaining reasonable assurance for a company. As such, the size of the firm is a logical determinant of audit fees as the size of the firm will determine the base level of work hours needed to audit the transactions and accounts of a firm</w:t>
      </w:r>
      <w:r w:rsidRPr="00B32215">
        <w:rPr>
          <w:rFonts w:ascii="Open Sans" w:hAnsi="Open Sans" w:cs="Open Sans"/>
          <w:sz w:val="20"/>
          <w:szCs w:val="20"/>
        </w:rPr>
        <w:t>. The complexity of the firm, as well as the potential for agency conflicts</w:t>
      </w:r>
      <w:r w:rsidR="00460182">
        <w:rPr>
          <w:rFonts w:ascii="Open Sans" w:hAnsi="Open Sans" w:cs="Open Sans"/>
          <w:sz w:val="20"/>
          <w:szCs w:val="20"/>
        </w:rPr>
        <w:t>,</w:t>
      </w:r>
      <w:r w:rsidRPr="00B32215">
        <w:rPr>
          <w:rFonts w:ascii="Open Sans" w:hAnsi="Open Sans" w:cs="Open Sans"/>
          <w:sz w:val="20"/>
          <w:szCs w:val="20"/>
        </w:rPr>
        <w:t xml:space="preserve"> increases the </w:t>
      </w:r>
      <w:r w:rsidR="00460182" w:rsidRPr="00B32215">
        <w:rPr>
          <w:rFonts w:ascii="Open Sans" w:hAnsi="Open Sans" w:cs="Open Sans"/>
          <w:sz w:val="20"/>
          <w:szCs w:val="20"/>
        </w:rPr>
        <w:t xml:space="preserve">additional audit hours required </w:t>
      </w:r>
      <w:r w:rsidRPr="00B32215">
        <w:rPr>
          <w:rFonts w:ascii="Open Sans" w:hAnsi="Open Sans" w:cs="Open Sans"/>
          <w:sz w:val="20"/>
          <w:szCs w:val="20"/>
        </w:rPr>
        <w:t>to obtain reasonable assurance.</w:t>
      </w:r>
    </w:p>
    <w:p w14:paraId="3D04BBDF" w14:textId="0CCD560C" w:rsidR="00BA3629" w:rsidRDefault="00B32215" w:rsidP="00B32215">
      <w:pPr>
        <w:spacing w:before="120" w:after="120" w:line="360" w:lineRule="auto"/>
        <w:jc w:val="both"/>
        <w:rPr>
          <w:rFonts w:ascii="Open Sans" w:hAnsi="Open Sans" w:cs="Open Sans"/>
          <w:sz w:val="20"/>
          <w:szCs w:val="20"/>
        </w:rPr>
      </w:pPr>
      <w:r>
        <w:rPr>
          <w:rFonts w:ascii="Open Sans" w:hAnsi="Open Sans" w:cs="Open Sans"/>
          <w:sz w:val="20"/>
          <w:szCs w:val="20"/>
        </w:rPr>
        <w:t>In addition, if the dem</w:t>
      </w:r>
      <w:r w:rsidR="00242057">
        <w:rPr>
          <w:rFonts w:ascii="Open Sans" w:hAnsi="Open Sans" w:cs="Open Sans"/>
          <w:sz w:val="20"/>
          <w:szCs w:val="20"/>
        </w:rPr>
        <w:t>and for audit services increases</w:t>
      </w:r>
      <w:r>
        <w:rPr>
          <w:rFonts w:ascii="Open Sans" w:hAnsi="Open Sans" w:cs="Open Sans"/>
          <w:sz w:val="20"/>
          <w:szCs w:val="20"/>
        </w:rPr>
        <w:t xml:space="preserve">, then </w:t>
      </w:r>
      <w:r w:rsidR="00242057">
        <w:rPr>
          <w:rFonts w:ascii="Open Sans" w:hAnsi="Open Sans" w:cs="Open Sans"/>
          <w:sz w:val="20"/>
          <w:szCs w:val="20"/>
        </w:rPr>
        <w:t xml:space="preserve">the amount of </w:t>
      </w:r>
      <w:r>
        <w:rPr>
          <w:rFonts w:ascii="Open Sans" w:hAnsi="Open Sans" w:cs="Open Sans"/>
          <w:sz w:val="20"/>
          <w:szCs w:val="20"/>
        </w:rPr>
        <w:t xml:space="preserve">audit fees </w:t>
      </w:r>
      <w:r w:rsidR="00242057">
        <w:rPr>
          <w:rFonts w:ascii="Open Sans" w:hAnsi="Open Sans" w:cs="Open Sans"/>
          <w:sz w:val="20"/>
          <w:szCs w:val="20"/>
        </w:rPr>
        <w:t>paid by each company is</w:t>
      </w:r>
      <w:r>
        <w:rPr>
          <w:rFonts w:ascii="Open Sans" w:hAnsi="Open Sans" w:cs="Open Sans"/>
          <w:sz w:val="20"/>
          <w:szCs w:val="20"/>
        </w:rPr>
        <w:t xml:space="preserve"> expected to increase. For example, </w:t>
      </w:r>
      <w:r w:rsidR="00523739">
        <w:rPr>
          <w:rFonts w:ascii="Open Sans" w:hAnsi="Open Sans" w:cs="Open Sans"/>
          <w:sz w:val="20"/>
          <w:szCs w:val="20"/>
        </w:rPr>
        <w:t xml:space="preserve">when </w:t>
      </w:r>
      <w:r>
        <w:rPr>
          <w:rFonts w:ascii="Open Sans" w:hAnsi="Open Sans" w:cs="Open Sans"/>
          <w:sz w:val="20"/>
          <w:szCs w:val="20"/>
        </w:rPr>
        <w:t xml:space="preserve">the regulator increases the required amount of </w:t>
      </w:r>
      <w:r>
        <w:rPr>
          <w:rFonts w:ascii="Open Sans" w:hAnsi="Open Sans" w:cs="Open Sans"/>
          <w:sz w:val="20"/>
          <w:szCs w:val="20"/>
        </w:rPr>
        <w:lastRenderedPageBreak/>
        <w:t xml:space="preserve">disclosure in public filings (like </w:t>
      </w:r>
      <w:r w:rsidR="00523739">
        <w:rPr>
          <w:rFonts w:ascii="Open Sans" w:hAnsi="Open Sans" w:cs="Open Sans"/>
          <w:sz w:val="20"/>
          <w:szCs w:val="20"/>
        </w:rPr>
        <w:t xml:space="preserve">the number of items required in </w:t>
      </w:r>
      <w:r w:rsidR="00242057">
        <w:rPr>
          <w:rFonts w:ascii="Open Sans" w:hAnsi="Open Sans" w:cs="Open Sans"/>
          <w:sz w:val="20"/>
          <w:szCs w:val="20"/>
        </w:rPr>
        <w:t>10-Ks and 10-Q</w:t>
      </w:r>
      <w:r>
        <w:rPr>
          <w:rFonts w:ascii="Open Sans" w:hAnsi="Open Sans" w:cs="Open Sans"/>
          <w:sz w:val="20"/>
          <w:szCs w:val="20"/>
        </w:rPr>
        <w:t>s</w:t>
      </w:r>
      <w:r w:rsidR="00523739">
        <w:rPr>
          <w:rFonts w:ascii="Open Sans" w:hAnsi="Open Sans" w:cs="Open Sans"/>
          <w:sz w:val="20"/>
          <w:szCs w:val="20"/>
        </w:rPr>
        <w:t>), then the demand for audit services increases.</w:t>
      </w:r>
    </w:p>
    <w:p w14:paraId="6770F527" w14:textId="77777777" w:rsidR="00AE4AA3" w:rsidRPr="00732C96" w:rsidRDefault="00AE4AA3" w:rsidP="00AE4AA3">
      <w:pPr>
        <w:pStyle w:val="Heading1"/>
        <w:rPr>
          <w:smallCaps/>
          <w:color w:val="33006F"/>
        </w:rPr>
      </w:pPr>
      <w:bookmarkStart w:id="1" w:name="_Toc477954627"/>
      <w:r>
        <w:rPr>
          <w:smallCaps/>
          <w:color w:val="33006F"/>
        </w:rPr>
        <w:t>Reference</w:t>
      </w:r>
      <w:r w:rsidRPr="00732C96">
        <w:rPr>
          <w:smallCaps/>
          <w:color w:val="33006F"/>
        </w:rPr>
        <w:t>s</w:t>
      </w:r>
      <w:bookmarkEnd w:id="1"/>
    </w:p>
    <w:p w14:paraId="3141FFDB" w14:textId="77777777" w:rsidR="00B075F4" w:rsidRPr="00B075F4" w:rsidRDefault="001A6E2C" w:rsidP="00B075F4">
      <w:pPr>
        <w:pStyle w:val="EndNoteBibliography"/>
        <w:ind w:left="720" w:hanging="720"/>
      </w:pPr>
      <w:r w:rsidRPr="007979E7">
        <w:rPr>
          <w:highlight w:val="yellow"/>
        </w:rPr>
        <w:fldChar w:fldCharType="begin"/>
      </w:r>
      <w:r w:rsidRPr="007979E7">
        <w:rPr>
          <w:highlight w:val="yellow"/>
        </w:rPr>
        <w:instrText xml:space="preserve"> ADDIN EN.REFLIST </w:instrText>
      </w:r>
      <w:r w:rsidRPr="007979E7">
        <w:rPr>
          <w:highlight w:val="yellow"/>
        </w:rPr>
        <w:fldChar w:fldCharType="end"/>
      </w:r>
      <w:r w:rsidR="00B075F4" w:rsidRPr="00B075F4">
        <w:t xml:space="preserve">Abdel-Khalik, A. R. 1993. Why Do Private Companies Demand Auditing? A Case for Organizational Loss of Control. </w:t>
      </w:r>
      <w:r w:rsidR="00B075F4" w:rsidRPr="00B075F4">
        <w:rPr>
          <w:i/>
        </w:rPr>
        <w:t>Journal of Accounting, Auditing &amp; Finance</w:t>
      </w:r>
      <w:r w:rsidR="00B075F4" w:rsidRPr="00B075F4">
        <w:t xml:space="preserve"> 8 (1):31-52.</w:t>
      </w:r>
    </w:p>
    <w:p w14:paraId="7C45C3CA" w14:textId="77777777" w:rsidR="00B075F4" w:rsidRPr="00B075F4" w:rsidRDefault="00B075F4" w:rsidP="00B075F4">
      <w:pPr>
        <w:pStyle w:val="EndNoteBibliography"/>
        <w:ind w:left="720" w:hanging="720"/>
      </w:pPr>
      <w:r w:rsidRPr="00B075F4">
        <w:t xml:space="preserve">Carey, P., R. Simnett, and G. Tanewski. 2000. Voluntary Demand for Internal and External Auditing by Family Businesses. </w:t>
      </w:r>
      <w:r w:rsidRPr="00B075F4">
        <w:rPr>
          <w:i/>
        </w:rPr>
        <w:t>AUDITING: A Journal of Practice &amp; Theory</w:t>
      </w:r>
      <w:r w:rsidRPr="00B075F4">
        <w:t xml:space="preserve"> 19 (s-1):37-51.</w:t>
      </w:r>
    </w:p>
    <w:p w14:paraId="76831C10" w14:textId="77777777" w:rsidR="00B075F4" w:rsidRPr="00B075F4" w:rsidRDefault="00B075F4" w:rsidP="00B075F4">
      <w:pPr>
        <w:pStyle w:val="EndNoteBibliography"/>
        <w:ind w:left="720" w:hanging="720"/>
      </w:pPr>
      <w:r w:rsidRPr="00B075F4">
        <w:t xml:space="preserve">Lennox, C. S., and J. A. Pittman. 2011. Voluntary Audits versus Mandatory Audits. </w:t>
      </w:r>
      <w:r w:rsidRPr="00B075F4">
        <w:rPr>
          <w:i/>
        </w:rPr>
        <w:t>The Accounting Review</w:t>
      </w:r>
      <w:r w:rsidRPr="00B075F4">
        <w:t xml:space="preserve"> 86 (5):1655-1678.</w:t>
      </w:r>
    </w:p>
    <w:p w14:paraId="5D96F99A" w14:textId="77777777" w:rsidR="00B075F4" w:rsidRPr="00B075F4" w:rsidRDefault="00B075F4" w:rsidP="00B075F4">
      <w:pPr>
        <w:pStyle w:val="EndNoteBibliography"/>
        <w:ind w:left="720" w:hanging="720"/>
      </w:pPr>
      <w:r w:rsidRPr="00B075F4">
        <w:t xml:space="preserve">Rennie, M., D. Senkow, R. Rennie, and J. Wong. 2003. DEREGULATION OF THE PRIVATE CORPORATION AUDIT IN CANADA: JUSTIFICATION, LOBBYING, AND OUTCOMES. </w:t>
      </w:r>
      <w:r w:rsidRPr="00B075F4">
        <w:rPr>
          <w:i/>
        </w:rPr>
        <w:t>Research in Accounting Regulation</w:t>
      </w:r>
      <w:r w:rsidRPr="00B075F4">
        <w:t xml:space="preserve"> 16 (Supplement C):227-241.</w:t>
      </w:r>
    </w:p>
    <w:p w14:paraId="097BD461" w14:textId="77777777" w:rsidR="00B075F4" w:rsidRPr="00B075F4" w:rsidRDefault="00B075F4" w:rsidP="00B075F4">
      <w:pPr>
        <w:pStyle w:val="EndNoteBibliography"/>
        <w:ind w:left="720" w:hanging="720"/>
      </w:pPr>
      <w:r w:rsidRPr="00B075F4">
        <w:t>Wallace, W. 1980. The economic role of the audit in free and regulated markets.</w:t>
      </w:r>
    </w:p>
    <w:p w14:paraId="54772AC6" w14:textId="77777777" w:rsidR="00B075F4" w:rsidRPr="00B075F4" w:rsidRDefault="00B075F4" w:rsidP="00B075F4">
      <w:pPr>
        <w:pStyle w:val="EndNoteBibliography"/>
        <w:ind w:left="720" w:hanging="720"/>
      </w:pPr>
      <w:r w:rsidRPr="00B075F4">
        <w:t xml:space="preserve">Wallace, W. A. 2004. THE ECONOMIC ROLE OF THE AUDIT IN FREE AND REGULATED MARKETS: A LOOK BACK AND A LOOK FORWARD. </w:t>
      </w:r>
      <w:r w:rsidRPr="00B075F4">
        <w:rPr>
          <w:i/>
        </w:rPr>
        <w:t>Research in Accounting Regulation</w:t>
      </w:r>
      <w:r w:rsidRPr="00B075F4">
        <w:t xml:space="preserve"> 17 (Supplement C):267-298.</w:t>
      </w:r>
    </w:p>
    <w:p w14:paraId="2D79A3C1" w14:textId="77777777" w:rsidR="002706F3" w:rsidRDefault="002706F3" w:rsidP="00BF2C70">
      <w:pPr>
        <w:spacing w:line="240" w:lineRule="auto"/>
      </w:pPr>
    </w:p>
    <w:p w14:paraId="485D71E0" w14:textId="26050760" w:rsidR="00C74BEF" w:rsidRDefault="00EB02F2" w:rsidP="00EB02F2">
      <w:pPr>
        <w:pStyle w:val="Heading1"/>
      </w:pPr>
      <w:r>
        <w:rPr>
          <w:smallCaps/>
          <w:color w:val="33006F"/>
        </w:rPr>
        <w:t>Endnotes</w:t>
      </w:r>
    </w:p>
    <w:p w14:paraId="43E68C85" w14:textId="77777777" w:rsidR="000B4980" w:rsidRDefault="000B4980">
      <w:pPr>
        <w:spacing w:line="240" w:lineRule="auto"/>
        <w:sectPr w:rsidR="000B4980" w:rsidSect="00512B97">
          <w:headerReference w:type="default" r:id="rId23"/>
          <w:footerReference w:type="default" r:id="rId24"/>
          <w:headerReference w:type="first" r:id="rId25"/>
          <w:footerReference w:type="first" r:id="rId26"/>
          <w:pgSz w:w="12240" w:h="15840" w:code="1"/>
          <w:pgMar w:top="1440" w:right="1440" w:bottom="1440" w:left="1152" w:header="907" w:footer="576" w:gutter="0"/>
          <w:cols w:space="720"/>
          <w:titlePg/>
          <w:docGrid w:linePitch="360"/>
        </w:sectPr>
      </w:pPr>
    </w:p>
    <w:p w14:paraId="7EA9A49A" w14:textId="77777777" w:rsidR="00C74BEF" w:rsidRDefault="000B4980" w:rsidP="00C74BEF">
      <w:pPr>
        <w:pStyle w:val="Heading1"/>
        <w:rPr>
          <w:smallCaps/>
          <w:color w:val="33006F"/>
        </w:rPr>
      </w:pPr>
      <w:r>
        <w:rPr>
          <w:smallCaps/>
          <w:color w:val="33006F"/>
        </w:rPr>
        <w:lastRenderedPageBreak/>
        <w:t>Focus</w:t>
      </w:r>
      <w:r w:rsidR="00C74BEF">
        <w:rPr>
          <w:smallCaps/>
          <w:color w:val="33006F"/>
        </w:rPr>
        <w:t xml:space="preserve"> Questions</w:t>
      </w:r>
    </w:p>
    <w:p w14:paraId="4D1CA36D" w14:textId="77777777" w:rsidR="00C74BEF" w:rsidRDefault="00C74BEF" w:rsidP="00C74BEF"/>
    <w:p w14:paraId="5EB6739F" w14:textId="77777777" w:rsidR="00C74BEF" w:rsidRDefault="00C74BEF" w:rsidP="00C74BEF">
      <w:r>
        <w:t>This case will be discussed over two class periods. To prepare for these classes you need to download and activate Tableau. See Canvas for details. In addition, on Canvas you will find the following resources:</w:t>
      </w:r>
    </w:p>
    <w:p w14:paraId="187E919A" w14:textId="77777777" w:rsidR="00C74BEF" w:rsidRDefault="00C74BEF" w:rsidP="00C74BEF">
      <w:pPr>
        <w:pStyle w:val="ListParagraph"/>
        <w:numPr>
          <w:ilvl w:val="0"/>
          <w:numId w:val="19"/>
        </w:numPr>
      </w:pPr>
      <w:r>
        <w:t>A Tableau Packaged Workbook “</w:t>
      </w:r>
      <w:proofErr w:type="spellStart"/>
      <w:r>
        <w:t>WA_Private_Firms_List</w:t>
      </w:r>
      <w:proofErr w:type="spellEnd"/>
      <w:r>
        <w:t xml:space="preserve">” with basic information about private firms in the Seattle and Greater Seattle region. </w:t>
      </w:r>
    </w:p>
    <w:p w14:paraId="4AA47791" w14:textId="77777777" w:rsidR="00F12B3A" w:rsidRPr="00F12B3A" w:rsidRDefault="00F12B3A" w:rsidP="00270317">
      <w:pPr>
        <w:pStyle w:val="ListParagraph"/>
        <w:numPr>
          <w:ilvl w:val="0"/>
          <w:numId w:val="19"/>
        </w:numPr>
        <w:autoSpaceDE w:val="0"/>
        <w:autoSpaceDN w:val="0"/>
        <w:adjustRightInd w:val="0"/>
        <w:spacing w:line="240" w:lineRule="auto"/>
      </w:pPr>
      <w:r w:rsidRPr="00F12B3A">
        <w:t xml:space="preserve">Required reading: </w:t>
      </w:r>
      <w:r w:rsidR="00C74BEF" w:rsidRPr="00F12B3A">
        <w:t>“Microsoft pays more than Apple for its audit, and why investors should care.”</w:t>
      </w:r>
      <w:r w:rsidRPr="00F12B3A">
        <w:t xml:space="preserve"> </w:t>
      </w:r>
      <w:r w:rsidRPr="00F12B3A">
        <w:rPr>
          <w:i/>
        </w:rPr>
        <w:t>Fortune</w:t>
      </w:r>
      <w:r w:rsidRPr="00F12B3A">
        <w:t>.</w:t>
      </w:r>
    </w:p>
    <w:p w14:paraId="228BDF7A" w14:textId="77777777" w:rsidR="00C74BEF" w:rsidRPr="00F12B3A" w:rsidRDefault="00AD5579" w:rsidP="00F12B3A">
      <w:pPr>
        <w:pStyle w:val="ListParagraph"/>
        <w:numPr>
          <w:ilvl w:val="0"/>
          <w:numId w:val="19"/>
        </w:numPr>
        <w:autoSpaceDE w:val="0"/>
        <w:autoSpaceDN w:val="0"/>
        <w:adjustRightInd w:val="0"/>
        <w:spacing w:line="240" w:lineRule="auto"/>
      </w:pPr>
      <w:r w:rsidRPr="00F12B3A">
        <w:t xml:space="preserve">Background readings (additional, not required readings). </w:t>
      </w:r>
      <w:r w:rsidR="00F12B3A" w:rsidRPr="00F12B3A">
        <w:t xml:space="preserve">1) </w:t>
      </w:r>
      <w:r w:rsidRPr="00F12B3A">
        <w:t>Wanda Wallace “</w:t>
      </w:r>
      <w:r w:rsidR="00F12B3A" w:rsidRPr="00F12B3A">
        <w:t>The Economic Role of the Audit in Free and Regulated Markets</w:t>
      </w:r>
      <w:r w:rsidRPr="00F12B3A">
        <w:t xml:space="preserve">” </w:t>
      </w:r>
      <w:r w:rsidR="00F12B3A" w:rsidRPr="00F12B3A">
        <w:t xml:space="preserve">2) </w:t>
      </w:r>
      <w:r w:rsidR="00F12B3A">
        <w:t>Joe Paperman</w:t>
      </w:r>
      <w:r w:rsidR="00F12B3A" w:rsidRPr="00F12B3A">
        <w:t xml:space="preserve"> </w:t>
      </w:r>
      <w:r w:rsidR="00F12B3A">
        <w:t xml:space="preserve">and Asher Curtis </w:t>
      </w:r>
      <w:r w:rsidR="00F12B3A" w:rsidRPr="00F12B3A">
        <w:t>“</w:t>
      </w:r>
      <w:r w:rsidR="00F12B3A">
        <w:t xml:space="preserve">A summary of your biases in </w:t>
      </w:r>
      <w:r w:rsidR="00F12B3A" w:rsidRPr="00F12B3A">
        <w:t>Judgment and Decision Making</w:t>
      </w:r>
      <w:r w:rsidR="00F12B3A">
        <w:t>.”</w:t>
      </w:r>
    </w:p>
    <w:p w14:paraId="6B091114" w14:textId="77777777" w:rsidR="00C74BEF" w:rsidRDefault="00C74BEF" w:rsidP="00C74BEF"/>
    <w:p w14:paraId="55E10A3A" w14:textId="77777777" w:rsidR="00C74BEF" w:rsidRDefault="000B4980" w:rsidP="00C74BEF">
      <w:r>
        <w:rPr>
          <w:rFonts w:ascii="Open Sans" w:eastAsiaTheme="majorEastAsia" w:hAnsi="Open Sans" w:cs="Open Sans"/>
          <w:b/>
          <w:bCs/>
          <w:smallCaps/>
          <w:color w:val="33006F"/>
          <w:szCs w:val="28"/>
        </w:rPr>
        <w:t>Preparation</w:t>
      </w:r>
    </w:p>
    <w:p w14:paraId="35522485" w14:textId="77777777" w:rsidR="00C74BEF" w:rsidRPr="00C74BEF" w:rsidRDefault="00C74BEF" w:rsidP="00C74BEF"/>
    <w:p w14:paraId="2B4FC6CD" w14:textId="77777777" w:rsidR="00C74BEF" w:rsidRDefault="000B4980" w:rsidP="000B4980">
      <w:pPr>
        <w:pStyle w:val="ListParagraph"/>
        <w:numPr>
          <w:ilvl w:val="0"/>
          <w:numId w:val="20"/>
        </w:numPr>
        <w:spacing w:line="240" w:lineRule="auto"/>
      </w:pPr>
      <w:r>
        <w:t>As a team, pick a company from the list of private firms that you can find a website for (which should be most if not all on the list).</w:t>
      </w:r>
    </w:p>
    <w:p w14:paraId="2E8A8110" w14:textId="5116DEC0" w:rsidR="000B4980" w:rsidRDefault="000B4980" w:rsidP="000B4980">
      <w:pPr>
        <w:pStyle w:val="ListParagraph"/>
        <w:numPr>
          <w:ilvl w:val="1"/>
          <w:numId w:val="20"/>
        </w:numPr>
        <w:spacing w:line="240" w:lineRule="auto"/>
      </w:pPr>
      <w:r w:rsidRPr="000B4980">
        <w:rPr>
          <w:b/>
        </w:rPr>
        <w:t>REQUIRED</w:t>
      </w:r>
      <w:r>
        <w:t xml:space="preserve">: email the company website </w:t>
      </w:r>
      <w:r w:rsidR="009618EE">
        <w:t xml:space="preserve">URL </w:t>
      </w:r>
      <w:r>
        <w:t>to Asher Curtis (</w:t>
      </w:r>
      <w:hyperlink r:id="rId27" w:history="1">
        <w:r w:rsidRPr="005F5B36">
          <w:rPr>
            <w:rStyle w:val="Hyperlink"/>
          </w:rPr>
          <w:t>abcurtis@uw.edu</w:t>
        </w:r>
      </w:hyperlink>
      <w:r>
        <w:t>)</w:t>
      </w:r>
      <w:r w:rsidR="00451C41">
        <w:t xml:space="preserve"> </w:t>
      </w:r>
      <w:r w:rsidR="00451C41" w:rsidRPr="00451C41">
        <w:rPr>
          <w:b/>
        </w:rPr>
        <w:t>ASAP</w:t>
      </w:r>
      <w:r w:rsidR="00451C41">
        <w:t>.</w:t>
      </w:r>
    </w:p>
    <w:p w14:paraId="12860D72" w14:textId="77777777" w:rsidR="003C55E8" w:rsidRDefault="003C55E8" w:rsidP="000B4980">
      <w:pPr>
        <w:pStyle w:val="ListParagraph"/>
        <w:numPr>
          <w:ilvl w:val="1"/>
          <w:numId w:val="20"/>
        </w:numPr>
        <w:spacing w:line="240" w:lineRule="auto"/>
      </w:pPr>
      <w:r>
        <w:rPr>
          <w:b/>
        </w:rPr>
        <w:t xml:space="preserve">Before moving to any of the questions below </w:t>
      </w:r>
      <w:r>
        <w:t>what do you expect about this company in terms of the information they provide to the public?</w:t>
      </w:r>
    </w:p>
    <w:p w14:paraId="3BBE7E98" w14:textId="77777777" w:rsidR="000B4980" w:rsidRDefault="000B4980" w:rsidP="000B4980">
      <w:pPr>
        <w:pStyle w:val="ListParagraph"/>
        <w:numPr>
          <w:ilvl w:val="0"/>
          <w:numId w:val="20"/>
        </w:numPr>
        <w:spacing w:line="240" w:lineRule="auto"/>
      </w:pPr>
      <w:r>
        <w:t>Go to the firm’s website and do background research on the company, note down an answer to as many of the following as you can find:</w:t>
      </w:r>
    </w:p>
    <w:p w14:paraId="160B5F31" w14:textId="77777777" w:rsidR="000B4980" w:rsidRDefault="000B4980" w:rsidP="000B4980">
      <w:pPr>
        <w:pStyle w:val="ListParagraph"/>
        <w:numPr>
          <w:ilvl w:val="1"/>
          <w:numId w:val="20"/>
        </w:numPr>
        <w:spacing w:line="240" w:lineRule="auto"/>
      </w:pPr>
      <w:r>
        <w:t>What industry is the company in?</w:t>
      </w:r>
    </w:p>
    <w:p w14:paraId="4D4FA9B3" w14:textId="77777777" w:rsidR="000B4980" w:rsidRDefault="000B4980" w:rsidP="000B4980">
      <w:pPr>
        <w:pStyle w:val="ListParagraph"/>
        <w:numPr>
          <w:ilvl w:val="1"/>
          <w:numId w:val="20"/>
        </w:numPr>
        <w:spacing w:line="240" w:lineRule="auto"/>
      </w:pPr>
      <w:r>
        <w:t>What is the main product or service that the company engages in?</w:t>
      </w:r>
    </w:p>
    <w:p w14:paraId="042E1C23" w14:textId="649F1846" w:rsidR="000B4980" w:rsidRDefault="00242057" w:rsidP="000B4980">
      <w:pPr>
        <w:pStyle w:val="ListParagraph"/>
        <w:numPr>
          <w:ilvl w:val="1"/>
          <w:numId w:val="20"/>
        </w:numPr>
        <w:spacing w:line="240" w:lineRule="auto"/>
      </w:pPr>
      <w:r>
        <w:t xml:space="preserve">What is the ownership structure? </w:t>
      </w:r>
      <w:r w:rsidR="000B4980">
        <w:t>Is the company backed by venture capitalists? Is it a family-owned firm? Is the founder of the company still running the company?</w:t>
      </w:r>
    </w:p>
    <w:p w14:paraId="77FA1199" w14:textId="77777777" w:rsidR="000B4980" w:rsidRDefault="000B4980" w:rsidP="000B4980">
      <w:pPr>
        <w:pStyle w:val="ListParagraph"/>
        <w:numPr>
          <w:ilvl w:val="0"/>
          <w:numId w:val="20"/>
        </w:numPr>
        <w:spacing w:line="240" w:lineRule="auto"/>
      </w:pPr>
      <w:r>
        <w:t>The next task is to describe the disclosure environment of the firm. As private firms they are not required to provide financial accounting disclosures (income statements and balance sheets) to the public. But that doesn’t mean that the firm will not provide any information. Find out as much as you can about the company’s disclosure of information, such as:</w:t>
      </w:r>
    </w:p>
    <w:p w14:paraId="4F822533" w14:textId="77777777" w:rsidR="000B4980" w:rsidRDefault="000B4980" w:rsidP="000B4980">
      <w:pPr>
        <w:pStyle w:val="ListParagraph"/>
        <w:numPr>
          <w:ilvl w:val="1"/>
          <w:numId w:val="20"/>
        </w:numPr>
        <w:spacing w:line="240" w:lineRule="auto"/>
      </w:pPr>
      <w:r>
        <w:t xml:space="preserve">Does the firm disclose any financial information? If so, what? </w:t>
      </w:r>
    </w:p>
    <w:p w14:paraId="4ED9F0DD" w14:textId="77777777" w:rsidR="000B4980" w:rsidRDefault="00451C41" w:rsidP="000B4980">
      <w:pPr>
        <w:pStyle w:val="ListParagraph"/>
        <w:numPr>
          <w:ilvl w:val="1"/>
          <w:numId w:val="20"/>
        </w:numPr>
        <w:spacing w:line="240" w:lineRule="auto"/>
      </w:pPr>
      <w:r>
        <w:t>Does the firm provide any kinds of reports to stakeholders? If so, what is the topic? Do they include metrics in these reports? Pick one or more of the metrics that seem interesting and describe it.</w:t>
      </w:r>
    </w:p>
    <w:p w14:paraId="19FA383D" w14:textId="77777777" w:rsidR="00451C41" w:rsidRDefault="00451C41" w:rsidP="000B4980">
      <w:pPr>
        <w:pStyle w:val="ListParagraph"/>
        <w:numPr>
          <w:ilvl w:val="1"/>
          <w:numId w:val="20"/>
        </w:numPr>
        <w:spacing w:line="240" w:lineRule="auto"/>
      </w:pPr>
      <w:r>
        <w:t>Can you find any information that the firm is being audited by a CPA firm? (hint: if there is nothing obvious on the website, try searching for phrases with the combination of the company name and various CPA firm names).</w:t>
      </w:r>
    </w:p>
    <w:p w14:paraId="2F4C297E" w14:textId="77777777" w:rsidR="00451C41" w:rsidRDefault="00451C41" w:rsidP="00451C41">
      <w:pPr>
        <w:pStyle w:val="ListParagraph"/>
        <w:numPr>
          <w:ilvl w:val="2"/>
          <w:numId w:val="20"/>
        </w:numPr>
        <w:spacing w:line="240" w:lineRule="auto"/>
      </w:pPr>
      <w:r>
        <w:t>What reasons do you think drive the firm’s choice to have (or not have) an audit?</w:t>
      </w:r>
    </w:p>
    <w:p w14:paraId="1EE05FD2" w14:textId="77777777" w:rsidR="00451C41" w:rsidRDefault="00451C41">
      <w:pPr>
        <w:spacing w:line="240" w:lineRule="auto"/>
        <w:rPr>
          <w:rFonts w:ascii="Open Sans" w:eastAsiaTheme="majorEastAsia" w:hAnsi="Open Sans" w:cs="Open Sans"/>
          <w:b/>
          <w:bCs/>
          <w:smallCaps/>
          <w:color w:val="33006F"/>
          <w:szCs w:val="28"/>
        </w:rPr>
      </w:pPr>
      <w:r>
        <w:rPr>
          <w:rFonts w:ascii="Open Sans" w:eastAsiaTheme="majorEastAsia" w:hAnsi="Open Sans" w:cs="Open Sans"/>
          <w:b/>
          <w:bCs/>
          <w:smallCaps/>
          <w:color w:val="33006F"/>
          <w:szCs w:val="28"/>
        </w:rPr>
        <w:br w:type="page"/>
      </w:r>
    </w:p>
    <w:p w14:paraId="20C8D129" w14:textId="77777777" w:rsidR="000B4980" w:rsidRDefault="000B4980" w:rsidP="000B4980">
      <w:r>
        <w:rPr>
          <w:rFonts w:ascii="Open Sans" w:eastAsiaTheme="majorEastAsia" w:hAnsi="Open Sans" w:cs="Open Sans"/>
          <w:b/>
          <w:bCs/>
          <w:smallCaps/>
          <w:color w:val="33006F"/>
          <w:szCs w:val="28"/>
        </w:rPr>
        <w:lastRenderedPageBreak/>
        <w:t>In-class Discussion Questions</w:t>
      </w:r>
      <w:r w:rsidR="00451C41">
        <w:rPr>
          <w:rFonts w:ascii="Open Sans" w:eastAsiaTheme="majorEastAsia" w:hAnsi="Open Sans" w:cs="Open Sans"/>
          <w:b/>
          <w:bCs/>
          <w:smallCaps/>
          <w:color w:val="33006F"/>
          <w:szCs w:val="28"/>
        </w:rPr>
        <w:t xml:space="preserve"> and Activities</w:t>
      </w:r>
    </w:p>
    <w:p w14:paraId="530CCB83" w14:textId="77777777" w:rsidR="000B4980" w:rsidRDefault="00451C41" w:rsidP="00BF2C70">
      <w:pPr>
        <w:spacing w:line="240" w:lineRule="auto"/>
        <w:rPr>
          <w:u w:val="single"/>
        </w:rPr>
      </w:pPr>
      <w:r w:rsidRPr="00451C41">
        <w:rPr>
          <w:u w:val="single"/>
        </w:rPr>
        <w:t>Exercise 1</w:t>
      </w:r>
    </w:p>
    <w:p w14:paraId="2CE85495" w14:textId="2F105A84" w:rsidR="00451C41" w:rsidRPr="00451C41" w:rsidRDefault="00451C41" w:rsidP="00BF2C70">
      <w:pPr>
        <w:spacing w:line="240" w:lineRule="auto"/>
      </w:pPr>
      <w:r w:rsidRPr="00451C41">
        <w:t xml:space="preserve">In class you will be asked to split into your teams (please sit together). </w:t>
      </w:r>
      <w:r w:rsidR="00E7753F">
        <w:t>You will</w:t>
      </w:r>
      <w:r w:rsidR="004E4ED7">
        <w:t xml:space="preserve"> have</w:t>
      </w:r>
      <w:r w:rsidR="00E7753F">
        <w:t xml:space="preserve"> 20 min</w:t>
      </w:r>
      <w:r w:rsidR="00242057">
        <w:t>ute</w:t>
      </w:r>
      <w:r w:rsidR="00E7753F">
        <w:t xml:space="preserve">s </w:t>
      </w:r>
      <w:r w:rsidR="003C55E8">
        <w:t xml:space="preserve">in class to discuss and prepare your team’s </w:t>
      </w:r>
      <w:r w:rsidR="00E7753F">
        <w:t>answer</w:t>
      </w:r>
      <w:r w:rsidR="00242057">
        <w:t>s to</w:t>
      </w:r>
      <w:r w:rsidR="00E7753F">
        <w:t xml:space="preserve"> the following questions</w:t>
      </w:r>
      <w:r w:rsidR="003C55E8">
        <w:t>, which one team member will summarize and report back to the class</w:t>
      </w:r>
      <w:r w:rsidR="00E7753F">
        <w:t>:</w:t>
      </w:r>
    </w:p>
    <w:p w14:paraId="6801927F" w14:textId="77777777" w:rsidR="000B4980" w:rsidRDefault="003C55E8" w:rsidP="00451C41">
      <w:pPr>
        <w:pStyle w:val="ListParagraph"/>
        <w:numPr>
          <w:ilvl w:val="0"/>
          <w:numId w:val="21"/>
        </w:numPr>
        <w:spacing w:line="240" w:lineRule="auto"/>
      </w:pPr>
      <w:r>
        <w:t xml:space="preserve">Based on your preparation, did you have any biases relating to the type of information you would expect to find? </w:t>
      </w:r>
    </w:p>
    <w:p w14:paraId="1F5DFF16" w14:textId="77777777" w:rsidR="003C55E8" w:rsidRDefault="003C55E8" w:rsidP="00451C41">
      <w:pPr>
        <w:pStyle w:val="ListParagraph"/>
        <w:numPr>
          <w:ilvl w:val="0"/>
          <w:numId w:val="21"/>
        </w:numPr>
        <w:spacing w:line="240" w:lineRule="auto"/>
      </w:pPr>
      <w:r>
        <w:t xml:space="preserve">Formulate a brief but effective description of the company that covers: </w:t>
      </w:r>
    </w:p>
    <w:p w14:paraId="740FA683" w14:textId="77777777" w:rsidR="00451C41" w:rsidRDefault="003C55E8" w:rsidP="003C55E8">
      <w:pPr>
        <w:pStyle w:val="ListParagraph"/>
        <w:numPr>
          <w:ilvl w:val="1"/>
          <w:numId w:val="21"/>
        </w:numPr>
        <w:spacing w:line="240" w:lineRule="auto"/>
      </w:pPr>
      <w:r>
        <w:t>The industry the firm is in and the main products/services it offers.</w:t>
      </w:r>
    </w:p>
    <w:p w14:paraId="1773E049" w14:textId="77777777" w:rsidR="003C55E8" w:rsidRDefault="003C55E8" w:rsidP="003C55E8">
      <w:pPr>
        <w:pStyle w:val="ListParagraph"/>
        <w:numPr>
          <w:ilvl w:val="1"/>
          <w:numId w:val="21"/>
        </w:numPr>
        <w:spacing w:line="240" w:lineRule="auto"/>
      </w:pPr>
      <w:r>
        <w:t xml:space="preserve">The information you </w:t>
      </w:r>
      <w:r w:rsidR="004E4ED7">
        <w:t>could</w:t>
      </w:r>
      <w:r>
        <w:t xml:space="preserve"> </w:t>
      </w:r>
      <w:r w:rsidR="004E4ED7">
        <w:t>obtain from the company.</w:t>
      </w:r>
    </w:p>
    <w:p w14:paraId="53700B30" w14:textId="77777777" w:rsidR="003C55E8" w:rsidRDefault="003C55E8" w:rsidP="00451C41">
      <w:pPr>
        <w:pStyle w:val="ListParagraph"/>
        <w:numPr>
          <w:ilvl w:val="0"/>
          <w:numId w:val="21"/>
        </w:numPr>
        <w:spacing w:line="240" w:lineRule="auto"/>
      </w:pPr>
      <w:r>
        <w:t xml:space="preserve">Finally, choose one metric that the firm reports and discuss the potential flexibility in the metric. Is it something that is easy or difficult to measure? Do managers have flexibility in how they report this measure? </w:t>
      </w:r>
    </w:p>
    <w:p w14:paraId="0C6A12E6" w14:textId="77777777" w:rsidR="00E7753F" w:rsidRDefault="00E7753F" w:rsidP="00E7753F">
      <w:pPr>
        <w:spacing w:line="240" w:lineRule="auto"/>
      </w:pPr>
    </w:p>
    <w:p w14:paraId="5C63A897" w14:textId="77777777" w:rsidR="00E7753F" w:rsidRDefault="00E7753F" w:rsidP="00E7753F">
      <w:pPr>
        <w:spacing w:line="240" w:lineRule="auto"/>
        <w:rPr>
          <w:u w:val="single"/>
        </w:rPr>
      </w:pPr>
      <w:r w:rsidRPr="00451C41">
        <w:rPr>
          <w:u w:val="single"/>
        </w:rPr>
        <w:t xml:space="preserve">Exercise </w:t>
      </w:r>
      <w:r>
        <w:rPr>
          <w:u w:val="single"/>
        </w:rPr>
        <w:t>2</w:t>
      </w:r>
    </w:p>
    <w:p w14:paraId="76479B0B" w14:textId="77777777" w:rsidR="00E7753F" w:rsidRDefault="00E7753F" w:rsidP="00E7753F">
      <w:pPr>
        <w:spacing w:line="240" w:lineRule="auto"/>
      </w:pPr>
      <w:r w:rsidRPr="00451C41">
        <w:t xml:space="preserve">In class you will be asked to </w:t>
      </w:r>
      <w:r>
        <w:t xml:space="preserve">consider making a bet on an uncertain outcome. There will be two versions of this game. We will play the game with real money. </w:t>
      </w:r>
    </w:p>
    <w:p w14:paraId="3413EE4E" w14:textId="77777777" w:rsidR="00E7753F" w:rsidRDefault="00E7753F" w:rsidP="00E7753F">
      <w:pPr>
        <w:spacing w:line="240" w:lineRule="auto"/>
      </w:pPr>
    </w:p>
    <w:p w14:paraId="7BAA032B" w14:textId="77777777" w:rsidR="00E7753F" w:rsidRPr="00E7753F" w:rsidRDefault="00E7753F" w:rsidP="00E7753F">
      <w:pPr>
        <w:spacing w:line="240" w:lineRule="auto"/>
        <w:rPr>
          <w:u w:val="single"/>
        </w:rPr>
      </w:pPr>
      <w:r w:rsidRPr="00E7753F">
        <w:rPr>
          <w:u w:val="single"/>
        </w:rPr>
        <w:t>Exercise 3</w:t>
      </w:r>
    </w:p>
    <w:p w14:paraId="44488AD9" w14:textId="77777777" w:rsidR="00471475" w:rsidRPr="00451C41" w:rsidRDefault="004E4ED7" w:rsidP="00471475">
      <w:pPr>
        <w:spacing w:line="240" w:lineRule="auto"/>
      </w:pPr>
      <w:r>
        <w:t>Remaining in your teams y</w:t>
      </w:r>
      <w:r w:rsidR="00471475">
        <w:t xml:space="preserve">ou </w:t>
      </w:r>
      <w:r>
        <w:t>will have 20 mins in class to discuss and prepare your team’s answer the following questions, which one team member will summarize and report back to the class:</w:t>
      </w:r>
    </w:p>
    <w:p w14:paraId="2E0374FC" w14:textId="77777777" w:rsidR="00471475" w:rsidRDefault="004E4ED7" w:rsidP="00471475">
      <w:pPr>
        <w:pStyle w:val="ListParagraph"/>
        <w:numPr>
          <w:ilvl w:val="0"/>
          <w:numId w:val="22"/>
        </w:numPr>
        <w:spacing w:line="240" w:lineRule="auto"/>
      </w:pPr>
      <w:r>
        <w:t>What financial information were you able to find about your firm?</w:t>
      </w:r>
    </w:p>
    <w:p w14:paraId="55ABAC54" w14:textId="77777777" w:rsidR="004E4ED7" w:rsidRDefault="004E4ED7" w:rsidP="004E4ED7">
      <w:pPr>
        <w:pStyle w:val="ListParagraph"/>
        <w:numPr>
          <w:ilvl w:val="1"/>
          <w:numId w:val="22"/>
        </w:numPr>
        <w:spacing w:line="240" w:lineRule="auto"/>
      </w:pPr>
      <w:r>
        <w:t xml:space="preserve">Could you find any evidence that the financial information was audited? </w:t>
      </w:r>
    </w:p>
    <w:p w14:paraId="35FF08FA" w14:textId="77777777" w:rsidR="00471475" w:rsidRDefault="004E4ED7" w:rsidP="004E4ED7">
      <w:pPr>
        <w:pStyle w:val="ListParagraph"/>
        <w:numPr>
          <w:ilvl w:val="1"/>
          <w:numId w:val="22"/>
        </w:numPr>
        <w:spacing w:line="240" w:lineRule="auto"/>
      </w:pPr>
      <w:r>
        <w:t>If the information wasn’t audited, how else could you verify the accuracy of the information disclosed on the website?</w:t>
      </w:r>
    </w:p>
    <w:p w14:paraId="14083F55" w14:textId="5B607E5C" w:rsidR="004E4ED7" w:rsidRDefault="004E4ED7" w:rsidP="004E4ED7">
      <w:pPr>
        <w:pStyle w:val="ListParagraph"/>
        <w:numPr>
          <w:ilvl w:val="0"/>
          <w:numId w:val="22"/>
        </w:numPr>
        <w:spacing w:line="240" w:lineRule="auto"/>
      </w:pPr>
      <w:r>
        <w:t>What additional information you would request if you were planning on purchasing a large equity stake in the firm?</w:t>
      </w:r>
    </w:p>
    <w:p w14:paraId="1FDC7926" w14:textId="3008F4EB" w:rsidR="009618EE" w:rsidRDefault="009618EE" w:rsidP="004E4ED7">
      <w:pPr>
        <w:pStyle w:val="ListParagraph"/>
        <w:numPr>
          <w:ilvl w:val="0"/>
          <w:numId w:val="22"/>
        </w:numPr>
        <w:spacing w:line="240" w:lineRule="auto"/>
      </w:pPr>
      <w:r>
        <w:t>What do you believe would happen if audits were no longer mandatory for publicly listed companies?</w:t>
      </w:r>
    </w:p>
    <w:p w14:paraId="62A8B043" w14:textId="378AA1AC" w:rsidR="00242057" w:rsidRDefault="00242057" w:rsidP="00242057">
      <w:pPr>
        <w:spacing w:line="240" w:lineRule="auto"/>
      </w:pPr>
    </w:p>
    <w:p w14:paraId="5C691F0C" w14:textId="3B6308D3" w:rsidR="00242057" w:rsidRPr="00242057" w:rsidRDefault="00242057" w:rsidP="00242057">
      <w:pPr>
        <w:spacing w:line="240" w:lineRule="auto"/>
        <w:rPr>
          <w:b/>
          <w:i/>
        </w:rPr>
      </w:pPr>
      <w:r>
        <w:rPr>
          <w:b/>
          <w:i/>
        </w:rPr>
        <w:t>**</w:t>
      </w:r>
      <w:r w:rsidRPr="00242057">
        <w:rPr>
          <w:b/>
          <w:i/>
        </w:rPr>
        <w:t>Please note that there are no required subm</w:t>
      </w:r>
      <w:r>
        <w:rPr>
          <w:b/>
          <w:i/>
        </w:rPr>
        <w:t>issions for this case.</w:t>
      </w:r>
    </w:p>
    <w:sectPr w:rsidR="00242057" w:rsidRPr="00242057" w:rsidSect="00974D75">
      <w:headerReference w:type="default" r:id="rId28"/>
      <w:footerReference w:type="default" r:id="rId29"/>
      <w:headerReference w:type="first" r:id="rId30"/>
      <w:footerReference w:type="first" r:id="rId31"/>
      <w:pgSz w:w="12240" w:h="15840" w:code="1"/>
      <w:pgMar w:top="1440" w:right="1440" w:bottom="1440" w:left="1152" w:header="907"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B60652" w14:textId="77777777" w:rsidR="006D5D5E" w:rsidRDefault="006D5D5E" w:rsidP="00046408">
      <w:pPr>
        <w:spacing w:line="240" w:lineRule="auto"/>
      </w:pPr>
      <w:r>
        <w:separator/>
      </w:r>
    </w:p>
  </w:endnote>
  <w:endnote w:type="continuationSeparator" w:id="0">
    <w:p w14:paraId="4AE62C4B" w14:textId="77777777" w:rsidR="006D5D5E" w:rsidRDefault="006D5D5E" w:rsidP="00046408">
      <w:pPr>
        <w:spacing w:line="240" w:lineRule="auto"/>
      </w:pPr>
      <w:r>
        <w:continuationSeparator/>
      </w:r>
    </w:p>
  </w:endnote>
  <w:endnote w:id="1">
    <w:p w14:paraId="239EFD35" w14:textId="32767268" w:rsidR="007142E2" w:rsidRPr="007142E2" w:rsidRDefault="007142E2">
      <w:pPr>
        <w:pStyle w:val="EndnoteText"/>
        <w:rPr>
          <w:rFonts w:ascii="Open Sans" w:hAnsi="Open Sans" w:cs="Open Sans"/>
        </w:rPr>
      </w:pPr>
      <w:r w:rsidRPr="007142E2">
        <w:rPr>
          <w:rStyle w:val="EndnoteReference"/>
          <w:rFonts w:ascii="Open Sans" w:hAnsi="Open Sans" w:cs="Open Sans"/>
        </w:rPr>
        <w:endnoteRef/>
      </w:r>
      <w:r w:rsidRPr="007142E2">
        <w:rPr>
          <w:rFonts w:ascii="Open Sans" w:hAnsi="Open Sans" w:cs="Open Sans"/>
        </w:rPr>
        <w:t xml:space="preserve"> </w:t>
      </w:r>
      <w:r w:rsidRPr="007142E2">
        <w:rPr>
          <w:rFonts w:ascii="Open Sans" w:hAnsi="Open Sans" w:cs="Open Sans"/>
          <w:b/>
          <w:color w:val="33006F"/>
        </w:rPr>
        <w:t xml:space="preserve">Acknowledgements: </w:t>
      </w:r>
      <w:r w:rsidRPr="007142E2">
        <w:rPr>
          <w:rFonts w:ascii="Open Sans" w:hAnsi="Open Sans" w:cs="Open Sans"/>
        </w:rPr>
        <w:t xml:space="preserve">This case was prepared by Asher Curtis in the Autumn of 2017. Thanks to Andy </w:t>
      </w:r>
      <w:proofErr w:type="spellStart"/>
      <w:r w:rsidRPr="007142E2">
        <w:rPr>
          <w:rFonts w:ascii="Open Sans" w:hAnsi="Open Sans" w:cs="Open Sans"/>
        </w:rPr>
        <w:t>Kitto</w:t>
      </w:r>
      <w:proofErr w:type="spellEnd"/>
      <w:r w:rsidRPr="007142E2">
        <w:rPr>
          <w:rFonts w:ascii="Open Sans" w:hAnsi="Open Sans" w:cs="Open Sans"/>
        </w:rPr>
        <w:t xml:space="preserve"> and Joe Paperman for suggestions and comments.</w:t>
      </w:r>
    </w:p>
  </w:endnote>
  <w:endnote w:id="2">
    <w:p w14:paraId="5D49FD24" w14:textId="03F3B217" w:rsidR="00EB02F2" w:rsidRPr="00EB02F2" w:rsidRDefault="00EB02F2">
      <w:pPr>
        <w:pStyle w:val="EndnoteText"/>
        <w:rPr>
          <w:rFonts w:ascii="Open Sans" w:hAnsi="Open Sans" w:cs="Open Sans"/>
        </w:rPr>
      </w:pPr>
      <w:r w:rsidRPr="00EB02F2">
        <w:rPr>
          <w:rStyle w:val="EndnoteReference"/>
          <w:rFonts w:ascii="Open Sans" w:hAnsi="Open Sans" w:cs="Open Sans"/>
        </w:rPr>
        <w:endnoteRef/>
      </w:r>
      <w:r w:rsidRPr="00EB02F2">
        <w:rPr>
          <w:rFonts w:ascii="Open Sans" w:hAnsi="Open Sans" w:cs="Open Sans"/>
        </w:rPr>
        <w:t xml:space="preserve"> </w:t>
      </w:r>
      <w:r>
        <w:rPr>
          <w:rFonts w:ascii="Open Sans" w:hAnsi="Open Sans" w:cs="Open Sans"/>
        </w:rPr>
        <w:t xml:space="preserve">This case draws heavily from </w:t>
      </w:r>
      <w:r>
        <w:rPr>
          <w:rFonts w:ascii="Open Sans" w:hAnsi="Open Sans" w:cs="Open Sans"/>
        </w:rPr>
        <w:fldChar w:fldCharType="begin"/>
      </w:r>
      <w:r>
        <w:rPr>
          <w:rFonts w:ascii="Open Sans" w:hAnsi="Open Sans" w:cs="Open Sans"/>
        </w:rPr>
        <w:instrText xml:space="preserve"> ADDIN EN.CITE &lt;EndNote&gt;&lt;Cite AuthorYear="1"&gt;&lt;Author&gt;Wallace&lt;/Author&gt;&lt;Year&gt;1980&lt;/Year&gt;&lt;RecNum&gt;794&lt;/RecNum&gt;&lt;DisplayText&gt;Wallace (1980)&lt;/DisplayText&gt;&lt;record&gt;&lt;rec-number&gt;794&lt;/rec-number&gt;&lt;foreign-keys&gt;&lt;key app="EN" db-id="5wddtwtdltavvheer5vvrda5pftspd2zre9e" timestamp="1506300688"&gt;794&lt;/key&gt;&lt;/foreign-keys&gt;&lt;ref-type name="Journal Article"&gt;17&lt;/ref-type&gt;&lt;contributors&gt;&lt;authors&gt;&lt;author&gt;Wallace, Wanda&lt;/author&gt;&lt;/authors&gt;&lt;/contributors&gt;&lt;titles&gt;&lt;title&gt;The economic role of the audit in free and regulated markets&lt;/title&gt;&lt;/titles&gt;&lt;dates&gt;&lt;year&gt;1980&lt;/year&gt;&lt;/dates&gt;&lt;urls&gt;&lt;/urls&gt;&lt;/record&gt;&lt;/Cite&gt;&lt;/EndNote&gt;</w:instrText>
      </w:r>
      <w:r>
        <w:rPr>
          <w:rFonts w:ascii="Open Sans" w:hAnsi="Open Sans" w:cs="Open Sans"/>
        </w:rPr>
        <w:fldChar w:fldCharType="separate"/>
      </w:r>
      <w:r>
        <w:rPr>
          <w:rFonts w:ascii="Open Sans" w:hAnsi="Open Sans" w:cs="Open Sans"/>
          <w:noProof/>
        </w:rPr>
        <w:t>Wallace (1980)</w:t>
      </w:r>
      <w:r>
        <w:rPr>
          <w:rFonts w:ascii="Open Sans" w:hAnsi="Open Sans" w:cs="Open Sans"/>
        </w:rPr>
        <w:fldChar w:fldCharType="end"/>
      </w:r>
      <w:r>
        <w:rPr>
          <w:rFonts w:ascii="Open Sans" w:hAnsi="Open Sans" w:cs="Open Sans"/>
        </w:rPr>
        <w:t xml:space="preserve"> and </w:t>
      </w:r>
      <w:r>
        <w:rPr>
          <w:rFonts w:ascii="Open Sans" w:hAnsi="Open Sans" w:cs="Open Sans"/>
        </w:rPr>
        <w:fldChar w:fldCharType="begin"/>
      </w:r>
      <w:r>
        <w:rPr>
          <w:rFonts w:ascii="Open Sans" w:hAnsi="Open Sans" w:cs="Open Sans"/>
        </w:rPr>
        <w:instrText xml:space="preserve"> ADDIN EN.CITE &lt;EndNote&gt;&lt;Cite AuthorYear="1"&gt;&lt;Author&gt;Wallace&lt;/Author&gt;&lt;Year&gt;2004&lt;/Year&gt;&lt;RecNum&gt;797&lt;/RecNum&gt;&lt;DisplayText&gt;Wallace (2004)&lt;/DisplayText&gt;&lt;record&gt;&lt;rec-number&gt;797&lt;/rec-number&gt;&lt;foreign-keys&gt;&lt;key app="EN" db-id="5wddtwtdltavvheer5vvrda5pftspd2zre9e" timestamp="1506301622"&gt;797&lt;/key&gt;&lt;/foreign-keys&gt;&lt;ref-type name="Journal Article"&gt;17&lt;/ref-type&gt;&lt;contributors&gt;&lt;authors&gt;&lt;author&gt;Wallace, Wanda A.&lt;/author&gt;&lt;/authors&gt;&lt;/contributors&gt;&lt;titles&gt;&lt;title&gt;THE ECONOMIC ROLE OF THE AUDIT IN FREE AND REGULATED MARKETS: A LOOK BACK AND A LOOK FORWARD&lt;/title&gt;&lt;secondary-title&gt;Research in Accounting Regulation&lt;/secondary-title&gt;&lt;/titles&gt;&lt;periodical&gt;&lt;full-title&gt;Research in Accounting Regulation&lt;/full-title&gt;&lt;/periodical&gt;&lt;pages&gt;267-298&lt;/pages&gt;&lt;volume&gt;17&lt;/volume&gt;&lt;number&gt;Supplement C&lt;/number&gt;&lt;dates&gt;&lt;year&gt;2004&lt;/year&gt;&lt;pub-dates&gt;&lt;date&gt;2004/01/01/&lt;/date&gt;&lt;/pub-dates&gt;&lt;/dates&gt;&lt;isbn&gt;1052-0457&lt;/isbn&gt;&lt;urls&gt;&lt;related-urls&gt;&lt;url&gt;http://www.sciencedirect.com/science/article/pii/S1052045704170124&lt;/url&gt;&lt;/related-urls&gt;&lt;/urls&gt;&lt;electronic-resource-num&gt;https://doi.org/10.1016/S1052-0457(04)17012-4&lt;/electronic-resource-num&gt;&lt;/record&gt;&lt;/Cite&gt;&lt;/EndNote&gt;</w:instrText>
      </w:r>
      <w:r>
        <w:rPr>
          <w:rFonts w:ascii="Open Sans" w:hAnsi="Open Sans" w:cs="Open Sans"/>
        </w:rPr>
        <w:fldChar w:fldCharType="separate"/>
      </w:r>
      <w:r>
        <w:rPr>
          <w:rFonts w:ascii="Open Sans" w:hAnsi="Open Sans" w:cs="Open Sans"/>
          <w:noProof/>
        </w:rPr>
        <w:t>Wallace (2004)</w:t>
      </w:r>
      <w:r>
        <w:rPr>
          <w:rFonts w:ascii="Open Sans" w:hAnsi="Open Sans" w:cs="Open Sans"/>
        </w:rPr>
        <w:fldChar w:fldCharType="end"/>
      </w:r>
      <w:r>
        <w:rPr>
          <w:rFonts w:ascii="Open Sans" w:hAnsi="Open Sans" w:cs="Open Sans"/>
        </w:rPr>
        <w:t>.</w:t>
      </w:r>
    </w:p>
  </w:endnote>
  <w:endnote w:id="3">
    <w:p w14:paraId="26826558" w14:textId="3EF30FC0" w:rsidR="00AD24E3" w:rsidRPr="00AD24E3" w:rsidRDefault="00AD24E3">
      <w:pPr>
        <w:pStyle w:val="EndnoteText"/>
        <w:rPr>
          <w:rFonts w:ascii="Open Sans" w:hAnsi="Open Sans" w:cs="Open Sans"/>
        </w:rPr>
      </w:pPr>
      <w:r w:rsidRPr="00AD24E3">
        <w:rPr>
          <w:rStyle w:val="EndnoteReference"/>
          <w:rFonts w:ascii="Open Sans" w:hAnsi="Open Sans" w:cs="Open Sans"/>
        </w:rPr>
        <w:endnoteRef/>
      </w:r>
      <w:r w:rsidRPr="00AD24E3">
        <w:rPr>
          <w:rFonts w:ascii="Open Sans" w:hAnsi="Open Sans" w:cs="Open Sans"/>
        </w:rPr>
        <w:t xml:space="preserve"> </w:t>
      </w:r>
      <w:r>
        <w:rPr>
          <w:rFonts w:ascii="Open Sans" w:hAnsi="Open Sans" w:cs="Open Sans"/>
        </w:rPr>
        <w:t xml:space="preserve">Often these contracts will include the terms of compensation, which include bonus pay for meeting a performance target or targets. </w:t>
      </w:r>
    </w:p>
  </w:endnote>
  <w:endnote w:id="4">
    <w:p w14:paraId="479D93F7" w14:textId="428425D6" w:rsidR="0015600E" w:rsidRPr="00EB02F2" w:rsidRDefault="0015600E">
      <w:pPr>
        <w:pStyle w:val="EndnoteText"/>
        <w:rPr>
          <w:rFonts w:ascii="Open Sans" w:hAnsi="Open Sans" w:cs="Open Sans"/>
        </w:rPr>
      </w:pPr>
      <w:r w:rsidRPr="00EB02F2">
        <w:rPr>
          <w:rStyle w:val="EndnoteReference"/>
          <w:rFonts w:ascii="Open Sans" w:hAnsi="Open Sans" w:cs="Open Sans"/>
        </w:rPr>
        <w:endnoteRef/>
      </w:r>
      <w:r w:rsidRPr="00EB02F2">
        <w:rPr>
          <w:rFonts w:ascii="Open Sans" w:hAnsi="Open Sans" w:cs="Open Sans"/>
        </w:rPr>
        <w:t xml:space="preserve"> </w:t>
      </w:r>
      <w:r w:rsidRPr="00EB02F2">
        <w:rPr>
          <w:rFonts w:ascii="Open Sans" w:hAnsi="Open Sans" w:cs="Open Sans"/>
        </w:rPr>
        <w:fldChar w:fldCharType="begin"/>
      </w:r>
      <w:r w:rsidRPr="00EB02F2">
        <w:rPr>
          <w:rFonts w:ascii="Open Sans" w:hAnsi="Open Sans" w:cs="Open Sans"/>
        </w:rPr>
        <w:instrText xml:space="preserve"> ADDIN EN.CITE &lt;EndNote&gt;&lt;Cite AuthorYear="1"&gt;&lt;Author&gt;Abdel-Khalik&lt;/Author&gt;&lt;Year&gt;1993&lt;/Year&gt;&lt;RecNum&gt;795&lt;/RecNum&gt;&lt;DisplayText&gt;Abdel-Khalik (1993)&lt;/DisplayText&gt;&lt;record&gt;&lt;rec-number&gt;795&lt;/rec-number&gt;&lt;foreign-keys&gt;&lt;key app="EN" db-id="5wddtwtdltavvheer5vvrda5pftspd2zre9e" timestamp="1506301030"&gt;795&lt;/key&gt;&lt;/foreign-keys&gt;&lt;ref-type name="Journal Article"&gt;17&lt;/ref-type&gt;&lt;contributors&gt;&lt;authors&gt;&lt;author&gt;A. Rashad Abdel-Khalik&lt;/author&gt;&lt;/authors&gt;&lt;/contributors&gt;&lt;titles&gt;&lt;title&gt;Why Do Private Companies Demand Auditing? A Case for Organizational Loss of Control&lt;/title&gt;&lt;secondary-title&gt;Journal of Accounting, Auditing &amp;amp; Finance&lt;/secondary-title&gt;&lt;/titles&gt;&lt;periodical&gt;&lt;full-title&gt;Journal of Accounting, Auditing &amp;amp; Finance&lt;/full-title&gt;&lt;/periodical&gt;&lt;pages&gt;31-52&lt;/pages&gt;&lt;volume&gt;8&lt;/volume&gt;&lt;number&gt;1&lt;/number&gt;&lt;dates&gt;&lt;year&gt;1993&lt;/year&gt;&lt;/dates&gt;&lt;urls&gt;&lt;related-urls&gt;&lt;url&gt;http://journals.sagepub.com/doi/abs/10.1177/0148558X9300800103&lt;/url&gt;&lt;/related-urls&gt;&lt;/urls&gt;&lt;electronic-resource-num&gt;10.1177/0148558x9300800103&lt;/electronic-resource-num&gt;&lt;/record&gt;&lt;/Cite&gt;&lt;/EndNote&gt;</w:instrText>
      </w:r>
      <w:r w:rsidRPr="00EB02F2">
        <w:rPr>
          <w:rFonts w:ascii="Open Sans" w:hAnsi="Open Sans" w:cs="Open Sans"/>
        </w:rPr>
        <w:fldChar w:fldCharType="separate"/>
      </w:r>
      <w:r w:rsidRPr="00EB02F2">
        <w:rPr>
          <w:rFonts w:ascii="Open Sans" w:hAnsi="Open Sans" w:cs="Open Sans"/>
          <w:noProof/>
        </w:rPr>
        <w:t>Abdel-Khalik (1993)</w:t>
      </w:r>
      <w:r w:rsidRPr="00EB02F2">
        <w:rPr>
          <w:rFonts w:ascii="Open Sans" w:hAnsi="Open Sans" w:cs="Open Sans"/>
        </w:rPr>
        <w:fldChar w:fldCharType="end"/>
      </w:r>
      <w:r w:rsidRPr="00EB02F2">
        <w:rPr>
          <w:rFonts w:ascii="Open Sans" w:hAnsi="Open Sans" w:cs="Open Sans"/>
        </w:rPr>
        <w:t xml:space="preserve"> provides evidence that private firms use audits to compensate for the manager’s lack of control over the company’s operations. </w:t>
      </w:r>
      <w:r w:rsidRPr="00EB02F2">
        <w:rPr>
          <w:rFonts w:ascii="Open Sans" w:hAnsi="Open Sans" w:cs="Open Sans"/>
        </w:rPr>
        <w:fldChar w:fldCharType="begin"/>
      </w:r>
      <w:r w:rsidRPr="00EB02F2">
        <w:rPr>
          <w:rFonts w:ascii="Open Sans" w:hAnsi="Open Sans" w:cs="Open Sans"/>
        </w:rPr>
        <w:instrText xml:space="preserve"> ADDIN EN.CITE &lt;EndNote&gt;&lt;Cite AuthorYear="1"&gt;&lt;Author&gt;Carey&lt;/Author&gt;&lt;Year&gt;2000&lt;/Year&gt;&lt;RecNum&gt;796&lt;/RecNum&gt;&lt;DisplayText&gt;Carey et al. (2000)&lt;/DisplayText&gt;&lt;record&gt;&lt;rec-number&gt;796&lt;/rec-number&gt;&lt;foreign-keys&gt;&lt;key app="EN" db-id="5wddtwtdltavvheer5vvrda5pftspd2zre9e" timestamp="1506301259"&gt;796&lt;/key&gt;&lt;/foreign-keys&gt;&lt;ref-type name="Journal Article"&gt;17&lt;/ref-type&gt;&lt;contributors&gt;&lt;authors&gt;&lt;author&gt;Peter Carey&lt;/author&gt;&lt;author&gt;Roger Simnett&lt;/author&gt;&lt;author&gt;George Tanewski&lt;/author&gt;&lt;/authors&gt;&lt;/contributors&gt;&lt;titles&gt;&lt;title&gt;Voluntary Demand for Internal and External Auditing by Family Businesses&lt;/title&gt;&lt;secondary-title&gt;AUDITING: A Journal of Practice &amp;amp; Theory&lt;/secondary-title&gt;&lt;/titles&gt;&lt;periodical&gt;&lt;full-title&gt;AUDITING: A Journal of Practice &amp;amp; Theory&lt;/full-title&gt;&lt;/periodical&gt;&lt;pages&gt;37-51&lt;/pages&gt;&lt;volume&gt;19&lt;/volume&gt;&lt;number&gt;s-1&lt;/number&gt;&lt;dates&gt;&lt;year&gt;2000&lt;/year&gt;&lt;/dates&gt;&lt;urls&gt;&lt;related-urls&gt;&lt;url&gt;http://www.aaajournals.org/doi/abs/10.2308/aud.2000.19.s-1.37&lt;/url&gt;&lt;/related-urls&gt;&lt;/urls&gt;&lt;electronic-resource-num&gt;10.2308/aud.2000.19.s-1.37&lt;/electronic-resource-num&gt;&lt;/record&gt;&lt;/Cite&gt;&lt;/EndNote&gt;</w:instrText>
      </w:r>
      <w:r w:rsidRPr="00EB02F2">
        <w:rPr>
          <w:rFonts w:ascii="Open Sans" w:hAnsi="Open Sans" w:cs="Open Sans"/>
        </w:rPr>
        <w:fldChar w:fldCharType="separate"/>
      </w:r>
      <w:r w:rsidRPr="00EB02F2">
        <w:rPr>
          <w:rFonts w:ascii="Open Sans" w:hAnsi="Open Sans" w:cs="Open Sans"/>
          <w:noProof/>
        </w:rPr>
        <w:t>Carey et al. (2000)</w:t>
      </w:r>
      <w:r w:rsidRPr="00EB02F2">
        <w:rPr>
          <w:rFonts w:ascii="Open Sans" w:hAnsi="Open Sans" w:cs="Open Sans"/>
        </w:rPr>
        <w:fldChar w:fldCharType="end"/>
      </w:r>
      <w:r w:rsidRPr="00EB02F2">
        <w:rPr>
          <w:rFonts w:ascii="Open Sans" w:hAnsi="Open Sans" w:cs="Open Sans"/>
        </w:rPr>
        <w:t xml:space="preserve"> find similar results for family-owned firms, and find that internal audit of family firms is used as a substitute for an external audit in many cases.</w:t>
      </w:r>
    </w:p>
  </w:endnote>
  <w:endnote w:id="5">
    <w:p w14:paraId="162F48FF" w14:textId="388418C7" w:rsidR="0015600E" w:rsidRPr="00EB02F2" w:rsidRDefault="0015600E">
      <w:pPr>
        <w:pStyle w:val="EndnoteText"/>
        <w:rPr>
          <w:rFonts w:ascii="Open Sans" w:hAnsi="Open Sans" w:cs="Open Sans"/>
        </w:rPr>
      </w:pPr>
      <w:r w:rsidRPr="00EB02F2">
        <w:rPr>
          <w:rStyle w:val="EndnoteReference"/>
          <w:rFonts w:ascii="Open Sans" w:hAnsi="Open Sans" w:cs="Open Sans"/>
        </w:rPr>
        <w:endnoteRef/>
      </w:r>
      <w:r w:rsidRPr="00EB02F2">
        <w:rPr>
          <w:rFonts w:ascii="Open Sans" w:hAnsi="Open Sans" w:cs="Open Sans"/>
        </w:rPr>
        <w:t xml:space="preserve"> Importantly independent audits always come with acknowledged limitations regarding the ability of the independent auditor to discover fraud.</w:t>
      </w:r>
    </w:p>
  </w:endnote>
  <w:endnote w:id="6">
    <w:p w14:paraId="6BB50CE6" w14:textId="245724F5" w:rsidR="00B075F4" w:rsidRPr="00B075F4" w:rsidRDefault="00B075F4">
      <w:pPr>
        <w:pStyle w:val="EndnoteText"/>
        <w:rPr>
          <w:rFonts w:ascii="Open Sans" w:hAnsi="Open Sans" w:cs="Open Sans"/>
        </w:rPr>
      </w:pPr>
      <w:r w:rsidRPr="00B075F4">
        <w:rPr>
          <w:rStyle w:val="EndnoteReference"/>
          <w:rFonts w:ascii="Open Sans" w:hAnsi="Open Sans" w:cs="Open Sans"/>
        </w:rPr>
        <w:endnoteRef/>
      </w:r>
      <w:r w:rsidRPr="00B075F4">
        <w:rPr>
          <w:rFonts w:ascii="Open Sans" w:hAnsi="Open Sans" w:cs="Open Sans"/>
        </w:rPr>
        <w:t xml:space="preserve"> </w:t>
      </w:r>
      <w:r>
        <w:rPr>
          <w:rFonts w:ascii="Open Sans" w:hAnsi="Open Sans" w:cs="Open Sans"/>
        </w:rPr>
        <w:t xml:space="preserve">In both Canada and the United Kingdom, </w:t>
      </w:r>
      <w:r w:rsidRPr="00B075F4">
        <w:rPr>
          <w:rFonts w:ascii="Open Sans" w:hAnsi="Open Sans" w:cs="Open Sans"/>
        </w:rPr>
        <w:t xml:space="preserve">mandatory </w:t>
      </w:r>
      <w:r>
        <w:rPr>
          <w:rFonts w:ascii="Open Sans" w:hAnsi="Open Sans" w:cs="Open Sans"/>
        </w:rPr>
        <w:t xml:space="preserve">audit requirements for private firms </w:t>
      </w:r>
      <w:r w:rsidRPr="00B075F4">
        <w:rPr>
          <w:rFonts w:ascii="Open Sans" w:hAnsi="Open Sans" w:cs="Open Sans"/>
        </w:rPr>
        <w:t xml:space="preserve">have </w:t>
      </w:r>
      <w:r>
        <w:rPr>
          <w:rFonts w:ascii="Open Sans" w:hAnsi="Open Sans" w:cs="Open Sans"/>
        </w:rPr>
        <w:t xml:space="preserve">been made voluntary. </w:t>
      </w:r>
      <w:r>
        <w:rPr>
          <w:rFonts w:ascii="Open Sans" w:hAnsi="Open Sans" w:cs="Open Sans"/>
        </w:rPr>
        <w:fldChar w:fldCharType="begin"/>
      </w:r>
      <w:r>
        <w:rPr>
          <w:rFonts w:ascii="Open Sans" w:hAnsi="Open Sans" w:cs="Open Sans"/>
        </w:rPr>
        <w:instrText xml:space="preserve"> ADDIN EN.CITE &lt;EndNote&gt;&lt;Cite AuthorYear="1"&gt;&lt;Author&gt;Rennie&lt;/Author&gt;&lt;Year&gt;2003&lt;/Year&gt;&lt;RecNum&gt;799&lt;/RecNum&gt;&lt;DisplayText&gt;Rennie et al. (2003)&lt;/DisplayText&gt;&lt;record&gt;&lt;rec-number&gt;799&lt;/rec-number&gt;&lt;foreign-keys&gt;&lt;key app="EN" db-id="5wddtwtdltavvheer5vvrda5pftspd2zre9e" timestamp="1506302273"&gt;799&lt;/key&gt;&lt;/foreign-keys&gt;&lt;ref-type name="Journal Article"&gt;17&lt;/ref-type&gt;&lt;contributors&gt;&lt;authors&gt;&lt;author&gt;Rennie, Morina&lt;/author&gt;&lt;author&gt;Senkow, David&lt;/author&gt;&lt;author&gt;Rennie, Richard&lt;/author&gt;&lt;author&gt;Wong, Jonathan&lt;/author&gt;&lt;/authors&gt;&lt;/contributors&gt;&lt;titles&gt;&lt;title&gt;DEREGULATION OF THE PRIVATE CORPORATION AUDIT IN CANADA: JUSTIFICATION, LOBBYING, AND OUTCOMES&lt;/title&gt;&lt;secondary-title&gt;Research in Accounting Regulation&lt;/secondary-title&gt;&lt;/titles&gt;&lt;periodical&gt;&lt;full-title&gt;Research in Accounting Regulation&lt;/full-title&gt;&lt;/periodical&gt;&lt;pages&gt;227-241&lt;/pages&gt;&lt;volume&gt;16&lt;/volume&gt;&lt;number&gt;Supplement C&lt;/number&gt;&lt;dates&gt;&lt;year&gt;2003&lt;/year&gt;&lt;pub-dates&gt;&lt;date&gt;2003/01/01/&lt;/date&gt;&lt;/pub-dates&gt;&lt;/dates&gt;&lt;isbn&gt;1052-0457&lt;/isbn&gt;&lt;urls&gt;&lt;related-urls&gt;&lt;url&gt;http://www.sciencedirect.com/science/article/pii/S1052045702160140&lt;/url&gt;&lt;/related-urls&gt;&lt;/urls&gt;&lt;electronic-resource-num&gt;https://doi.org/10.1016/S1052-0457(02)16014-0&lt;/electronic-resource-num&gt;&lt;/record&gt;&lt;/Cite&gt;&lt;/EndNote&gt;</w:instrText>
      </w:r>
      <w:r>
        <w:rPr>
          <w:rFonts w:ascii="Open Sans" w:hAnsi="Open Sans" w:cs="Open Sans"/>
        </w:rPr>
        <w:fldChar w:fldCharType="separate"/>
      </w:r>
      <w:r>
        <w:rPr>
          <w:rFonts w:ascii="Open Sans" w:hAnsi="Open Sans" w:cs="Open Sans"/>
          <w:noProof/>
        </w:rPr>
        <w:t>Rennie et al. (2003)</w:t>
      </w:r>
      <w:r>
        <w:rPr>
          <w:rFonts w:ascii="Open Sans" w:hAnsi="Open Sans" w:cs="Open Sans"/>
        </w:rPr>
        <w:fldChar w:fldCharType="end"/>
      </w:r>
      <w:r>
        <w:rPr>
          <w:rFonts w:ascii="Open Sans" w:hAnsi="Open Sans" w:cs="Open Sans"/>
        </w:rPr>
        <w:t xml:space="preserve"> find that around 73% of Canadian private firms continued to undertake an audit after the change. In the UK, </w:t>
      </w:r>
      <w:r>
        <w:rPr>
          <w:rFonts w:ascii="Open Sans" w:hAnsi="Open Sans" w:cs="Open Sans"/>
        </w:rPr>
        <w:fldChar w:fldCharType="begin"/>
      </w:r>
      <w:r>
        <w:rPr>
          <w:rFonts w:ascii="Open Sans" w:hAnsi="Open Sans" w:cs="Open Sans"/>
        </w:rPr>
        <w:instrText xml:space="preserve"> ADDIN EN.CITE &lt;EndNote&gt;&lt;Cite AuthorYear="1"&gt;&lt;Author&gt;Lennox&lt;/Author&gt;&lt;Year&gt;2011&lt;/Year&gt;&lt;RecNum&gt;798&lt;/RecNum&gt;&lt;DisplayText&gt;Lennox and Pittman (2011)&lt;/DisplayText&gt;&lt;record&gt;&lt;rec-number&gt;798&lt;/rec-number&gt;&lt;foreign-keys&gt;&lt;key app="EN" db-id="5wddtwtdltavvheer5vvrda5pftspd2zre9e" timestamp="1506301984"&gt;798&lt;/key&gt;&lt;/foreign-keys&gt;&lt;ref-type name="Journal Article"&gt;17&lt;/ref-type&gt;&lt;contributors&gt;&lt;authors&gt;&lt;author&gt;Lennox, Clive S.&lt;/author&gt;&lt;author&gt;Pittman, Jeffrey A.&lt;/author&gt;&lt;/authors&gt;&lt;/contributors&gt;&lt;titles&gt;&lt;title&gt;Voluntary Audits versus Mandatory Audits&lt;/title&gt;&lt;secondary-title&gt;The Accounting Review&lt;/secondary-title&gt;&lt;/titles&gt;&lt;periodical&gt;&lt;full-title&gt;The Accounting Review&lt;/full-title&gt;&lt;/periodical&gt;&lt;pages&gt;1655-1678&lt;/pages&gt;&lt;volume&gt;86&lt;/volume&gt;&lt;number&gt;5&lt;/number&gt;&lt;dates&gt;&lt;year&gt;2011&lt;/year&gt;&lt;/dates&gt;&lt;publisher&gt;American Accounting Association&lt;/publisher&gt;&lt;isbn&gt;00014826&lt;/isbn&gt;&lt;urls&gt;&lt;related-urls&gt;&lt;url&gt;http://www.jstor.org/stable/23045583&lt;/url&gt;&lt;/related-urls&gt;&lt;/urls&gt;&lt;custom1&gt;Full publication date: SEPTEMBER 2011&lt;/custom1&gt;&lt;/record&gt;&lt;/Cite&gt;&lt;/EndNote&gt;</w:instrText>
      </w:r>
      <w:r>
        <w:rPr>
          <w:rFonts w:ascii="Open Sans" w:hAnsi="Open Sans" w:cs="Open Sans"/>
        </w:rPr>
        <w:fldChar w:fldCharType="separate"/>
      </w:r>
      <w:r>
        <w:rPr>
          <w:rFonts w:ascii="Open Sans" w:hAnsi="Open Sans" w:cs="Open Sans"/>
          <w:noProof/>
        </w:rPr>
        <w:t>Lennox and Pittman (2011)</w:t>
      </w:r>
      <w:r>
        <w:rPr>
          <w:rFonts w:ascii="Open Sans" w:hAnsi="Open Sans" w:cs="Open Sans"/>
        </w:rPr>
        <w:fldChar w:fldCharType="end"/>
      </w:r>
      <w:r>
        <w:rPr>
          <w:rFonts w:ascii="Open Sans" w:hAnsi="Open Sans" w:cs="Open Sans"/>
        </w:rPr>
        <w:t xml:space="preserve"> find that the private firms that undertook voluntary audits obtained better credit ratings, consistent with the audit adding value through assurance over the financial reports.  </w:t>
      </w:r>
    </w:p>
  </w:endnote>
  <w:endnote w:id="7">
    <w:p w14:paraId="50803024" w14:textId="1878EEDA" w:rsidR="00460182" w:rsidRPr="00460182" w:rsidRDefault="00460182">
      <w:pPr>
        <w:pStyle w:val="EndnoteText"/>
        <w:rPr>
          <w:rFonts w:ascii="Open Sans" w:hAnsi="Open Sans" w:cs="Open Sans"/>
        </w:rPr>
      </w:pPr>
      <w:r w:rsidRPr="00460182">
        <w:rPr>
          <w:rStyle w:val="EndnoteReference"/>
          <w:rFonts w:ascii="Open Sans" w:hAnsi="Open Sans" w:cs="Open Sans"/>
        </w:rPr>
        <w:endnoteRef/>
      </w:r>
      <w:r w:rsidRPr="00460182">
        <w:rPr>
          <w:rFonts w:ascii="Open Sans" w:hAnsi="Open Sans" w:cs="Open Sans"/>
        </w:rPr>
        <w:t xml:space="preserve"> Firms also face an economic cost from the audit due to the amount of time that company employees (these days often both in accounting roles and in IT systems roles) deal with requests from the auditor.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937D914C-DAC0-449A-BB38-82D98DC3B4B2}"/>
    <w:embedBold r:id="rId2" w:fontKey="{F12E8F03-BD02-4839-881E-A47E1E5D8AEA}"/>
    <w:embedItalic r:id="rId3" w:fontKey="{1C4EB9A4-C00C-471A-BF75-67742A9224D1}"/>
    <w:embedBoldItalic r:id="rId4" w:fontKey="{63BE2752-2E8A-454D-94C3-418D6F94DBEF}"/>
  </w:font>
  <w:font w:name="Tahoma">
    <w:panose1 w:val="020B0604030504040204"/>
    <w:charset w:val="00"/>
    <w:family w:val="swiss"/>
    <w:pitch w:val="variable"/>
    <w:sig w:usb0="E1002EFF" w:usb1="C000605B" w:usb2="00000029" w:usb3="00000000" w:csb0="000101FF" w:csb1="00000000"/>
    <w:embedRegular r:id="rId5" w:fontKey="{D25E1B34-9A72-4DA8-A197-4FB714A429A0}"/>
  </w:font>
  <w:font w:name="Open Sans">
    <w:panose1 w:val="020B0606030504020204"/>
    <w:charset w:val="00"/>
    <w:family w:val="swiss"/>
    <w:pitch w:val="variable"/>
    <w:sig w:usb0="E00002EF" w:usb1="4000205B" w:usb2="00000028" w:usb3="00000000" w:csb0="0000019F" w:csb1="00000000"/>
    <w:embedRegular r:id="rId6" w:fontKey="{51AF4A73-DC49-4B1E-ADC9-330A7AD81EE4}"/>
    <w:embedBold r:id="rId7" w:fontKey="{B23C26B9-E3D6-43D7-BD8C-48F0E06AC4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0558761"/>
      <w:docPartObj>
        <w:docPartGallery w:val="Page Numbers (Bottom of Page)"/>
        <w:docPartUnique/>
      </w:docPartObj>
    </w:sdtPr>
    <w:sdtEndPr>
      <w:rPr>
        <w:color w:val="33006F"/>
        <w:spacing w:val="60"/>
      </w:rPr>
    </w:sdtEndPr>
    <w:sdtContent>
      <w:p w14:paraId="01388F3E" w14:textId="7EC53744" w:rsidR="000B4980" w:rsidRDefault="000B4980">
        <w:pPr>
          <w:pStyle w:val="Footer"/>
          <w:pBdr>
            <w:top w:val="single" w:sz="4" w:space="1" w:color="D9D9D9" w:themeColor="background1" w:themeShade="D9"/>
          </w:pBdr>
          <w:jc w:val="right"/>
        </w:pPr>
        <w:r w:rsidRPr="005951C3">
          <w:rPr>
            <w:color w:val="33006F"/>
          </w:rPr>
          <w:fldChar w:fldCharType="begin"/>
        </w:r>
        <w:r w:rsidRPr="005951C3">
          <w:rPr>
            <w:color w:val="33006F"/>
          </w:rPr>
          <w:instrText xml:space="preserve"> PAGE   \* MERGEFORMAT </w:instrText>
        </w:r>
        <w:r w:rsidRPr="005951C3">
          <w:rPr>
            <w:color w:val="33006F"/>
          </w:rPr>
          <w:fldChar w:fldCharType="separate"/>
        </w:r>
        <w:r w:rsidR="00432CA9">
          <w:rPr>
            <w:noProof/>
            <w:color w:val="33006F"/>
          </w:rPr>
          <w:t>2</w:t>
        </w:r>
        <w:r w:rsidRPr="005951C3">
          <w:rPr>
            <w:noProof/>
            <w:color w:val="33006F"/>
          </w:rPr>
          <w:fldChar w:fldCharType="end"/>
        </w:r>
        <w:r w:rsidRPr="005951C3">
          <w:rPr>
            <w:color w:val="33006F"/>
          </w:rPr>
          <w:t xml:space="preserve"> | </w:t>
        </w:r>
        <w:r w:rsidRPr="005951C3">
          <w:rPr>
            <w:color w:val="33006F"/>
            <w:spacing w:val="60"/>
          </w:rPr>
          <w:t>Page</w:t>
        </w:r>
      </w:p>
    </w:sdtContent>
  </w:sdt>
  <w:p w14:paraId="71DBF63E" w14:textId="77777777" w:rsidR="000B4980" w:rsidRDefault="000B49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gridCol w:w="1890"/>
    </w:tblGrid>
    <w:tr w:rsidR="000B4980" w:rsidRPr="005951C3" w14:paraId="578E8AC1" w14:textId="77777777" w:rsidTr="00E423D7">
      <w:tc>
        <w:tcPr>
          <w:tcW w:w="8298" w:type="dxa"/>
        </w:tcPr>
        <w:p w14:paraId="5931A6B0" w14:textId="77777777" w:rsidR="000B4980" w:rsidRPr="005951C3" w:rsidRDefault="000B4980" w:rsidP="00993A4F">
          <w:pPr>
            <w:spacing w:line="276" w:lineRule="auto"/>
            <w:jc w:val="both"/>
            <w:rPr>
              <w:rFonts w:ascii="Calibri" w:eastAsia="Calibri" w:hAnsi="Calibri" w:cs="Times New Roman"/>
              <w:caps/>
              <w:color w:val="37246A"/>
              <w:sz w:val="18"/>
            </w:rPr>
          </w:pPr>
          <w:r w:rsidRPr="005951C3">
            <w:rPr>
              <w:rFonts w:ascii="Calibri" w:eastAsia="Calibri" w:hAnsi="Calibri" w:cs="Times New Roman"/>
              <w:caps/>
              <w:color w:val="37246A"/>
              <w:sz w:val="18"/>
            </w:rPr>
            <w:t xml:space="preserve">© </w:t>
          </w:r>
          <w:r w:rsidRPr="005951C3">
            <w:rPr>
              <w:rFonts w:ascii="Calibri" w:eastAsia="Calibri" w:hAnsi="Calibri" w:cs="Times New Roman"/>
              <w:color w:val="37246A"/>
              <w:sz w:val="18"/>
            </w:rPr>
            <w:t>The Author(s). This case was prepared solely to facilitate class discussion. This case is not intended to serve as an endorsement, source of primary data, or illustrations of effective or ineffective handling of a business situation. All financial data and other information in this case are collected from publicly available information.</w:t>
          </w:r>
        </w:p>
      </w:tc>
      <w:tc>
        <w:tcPr>
          <w:tcW w:w="1890" w:type="dxa"/>
        </w:tcPr>
        <w:p w14:paraId="60D49CC1" w14:textId="77777777" w:rsidR="000B4980" w:rsidRPr="005951C3" w:rsidRDefault="000B4980" w:rsidP="005951C3">
          <w:pPr>
            <w:tabs>
              <w:tab w:val="center" w:pos="972"/>
            </w:tabs>
            <w:spacing w:line="276" w:lineRule="auto"/>
            <w:jc w:val="center"/>
            <w:rPr>
              <w:rFonts w:ascii="Calibri" w:eastAsia="Calibri" w:hAnsi="Calibri" w:cs="Times New Roman"/>
              <w:caps/>
              <w:color w:val="37246A"/>
              <w:sz w:val="18"/>
            </w:rPr>
          </w:pPr>
          <w:r w:rsidRPr="005951C3">
            <w:rPr>
              <w:rFonts w:ascii="Calibri" w:eastAsia="Calibri" w:hAnsi="Calibri" w:cs="Times New Roman"/>
              <w:caps/>
              <w:noProof/>
              <w:color w:val="37246A"/>
              <w:sz w:val="18"/>
            </w:rPr>
            <w:drawing>
              <wp:inline distT="0" distB="0" distL="0" distR="0" wp14:anchorId="5FCA8163" wp14:editId="76D2987D">
                <wp:extent cx="621665" cy="4203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665" cy="420370"/>
                        </a:xfrm>
                        <a:prstGeom prst="rect">
                          <a:avLst/>
                        </a:prstGeom>
                        <a:noFill/>
                      </pic:spPr>
                    </pic:pic>
                  </a:graphicData>
                </a:graphic>
              </wp:inline>
            </w:drawing>
          </w:r>
        </w:p>
      </w:tc>
    </w:tr>
  </w:tbl>
  <w:p w14:paraId="126DE482" w14:textId="77777777" w:rsidR="000B4980" w:rsidRDefault="000B49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3294606"/>
      <w:docPartObj>
        <w:docPartGallery w:val="Page Numbers (Bottom of Page)"/>
        <w:docPartUnique/>
      </w:docPartObj>
    </w:sdtPr>
    <w:sdtEndPr>
      <w:rPr>
        <w:noProof/>
      </w:rPr>
    </w:sdtEndPr>
    <w:sdtContent>
      <w:p w14:paraId="5F500E5D" w14:textId="39892B75" w:rsidR="00974D75" w:rsidRDefault="00974D75">
        <w:pPr>
          <w:pStyle w:val="Footer"/>
          <w:jc w:val="right"/>
        </w:pPr>
        <w:r>
          <w:fldChar w:fldCharType="begin"/>
        </w:r>
        <w:r>
          <w:instrText xml:space="preserve"> PAGE   \* MERGEFORMAT </w:instrText>
        </w:r>
        <w:r>
          <w:fldChar w:fldCharType="separate"/>
        </w:r>
        <w:r w:rsidR="00432CA9">
          <w:rPr>
            <w:noProof/>
          </w:rPr>
          <w:t>2</w:t>
        </w:r>
        <w:r>
          <w:rPr>
            <w:noProof/>
          </w:rPr>
          <w:fldChar w:fldCharType="end"/>
        </w:r>
      </w:p>
    </w:sdtContent>
  </w:sdt>
  <w:p w14:paraId="1D43E8EB" w14:textId="77777777" w:rsidR="008F6B05" w:rsidRDefault="008F6B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2F205" w14:textId="77777777" w:rsidR="00451C41" w:rsidRDefault="00451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57646E" w14:textId="77777777" w:rsidR="006D5D5E" w:rsidRDefault="006D5D5E" w:rsidP="00046408">
      <w:pPr>
        <w:spacing w:line="240" w:lineRule="auto"/>
      </w:pPr>
      <w:r>
        <w:separator/>
      </w:r>
    </w:p>
  </w:footnote>
  <w:footnote w:type="continuationSeparator" w:id="0">
    <w:p w14:paraId="3DAA4B48" w14:textId="77777777" w:rsidR="006D5D5E" w:rsidRDefault="006D5D5E" w:rsidP="000464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DFBA1" w14:textId="77777777" w:rsidR="000B4980" w:rsidRDefault="000B4980" w:rsidP="006F33FC">
    <w:pPr>
      <w:pStyle w:val="FBLogo"/>
      <w:spacing w:after="120"/>
    </w:pPr>
  </w:p>
  <w:p w14:paraId="23BB2B5A" w14:textId="77777777" w:rsidR="000B4980" w:rsidRPr="001F60E1" w:rsidRDefault="000B4980" w:rsidP="001F60E1">
    <w:pPr>
      <w:jc w:val="right"/>
      <w:rPr>
        <w:color w:val="33006F"/>
      </w:rPr>
    </w:pPr>
    <w:proofErr w:type="spellStart"/>
    <w:r>
      <w:rPr>
        <w:color w:val="33006F"/>
      </w:rPr>
      <w:t>MPAcc</w:t>
    </w:r>
    <w:proofErr w:type="spellEnd"/>
    <w:r w:rsidRPr="001F60E1">
      <w:rPr>
        <w:color w:val="33006F"/>
      </w:rPr>
      <w:t xml:space="preserve"> Case</w:t>
    </w:r>
    <w:r>
      <w:rPr>
        <w:color w:val="33006F"/>
      </w:rPr>
      <w:t xml:space="preserve"> #17-01</w:t>
    </w:r>
  </w:p>
  <w:p w14:paraId="5E7AE9B2" w14:textId="77777777" w:rsidR="000B4980" w:rsidRDefault="000B4980" w:rsidP="001F60E1">
    <w:pPr>
      <w:jc w:val="right"/>
      <w:rPr>
        <w:color w:val="33006F"/>
      </w:rPr>
    </w:pPr>
    <w:r>
      <w:rPr>
        <w:color w:val="33006F"/>
      </w:rPr>
      <w:t>Economics of Audit</w:t>
    </w:r>
  </w:p>
  <w:p w14:paraId="2C642EE0" w14:textId="77777777" w:rsidR="000B4980" w:rsidRPr="001F60E1" w:rsidRDefault="000B4980" w:rsidP="001F60E1">
    <w:pPr>
      <w:jc w:val="right"/>
      <w:rPr>
        <w:color w:val="33006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B2C5C3" w14:textId="77777777" w:rsidR="000B4980" w:rsidRDefault="000B4980" w:rsidP="00793977">
    <w:pPr>
      <w:pStyle w:val="FBLogo"/>
      <w:spacing w:after="240"/>
      <w:jc w:val="left"/>
    </w:pPr>
    <w:r>
      <w:rPr>
        <w:noProof/>
      </w:rPr>
      <w:drawing>
        <wp:inline distT="0" distB="0" distL="0" distR="0" wp14:anchorId="3DE8308E" wp14:editId="0F9B9C5E">
          <wp:extent cx="2569464" cy="914400"/>
          <wp:effectExtent l="0" t="0" r="2540" b="0"/>
          <wp:docPr id="3" name="Picture 3" descr="C:\Users\abcurtis\AppData\Local\Temp\wz884a\Foster_logo_MPAcc_UW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curtis\AppData\Local\Temp\wz884a\Foster_logo_MPAcc_UW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9464" cy="9144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C3C87B" w14:textId="77777777" w:rsidR="00974D75" w:rsidRDefault="00974D75" w:rsidP="006F33FC">
    <w:pPr>
      <w:pStyle w:val="FBLogo"/>
      <w:spacing w:after="120"/>
    </w:pPr>
  </w:p>
  <w:p w14:paraId="15EEFA0B" w14:textId="77777777" w:rsidR="00974D75" w:rsidRPr="001F60E1" w:rsidRDefault="00974D75" w:rsidP="001F60E1">
    <w:pPr>
      <w:jc w:val="right"/>
      <w:rPr>
        <w:color w:val="33006F"/>
      </w:rPr>
    </w:pPr>
    <w:r>
      <w:rPr>
        <w:color w:val="33006F"/>
      </w:rPr>
      <w:t xml:space="preserve">Questions to Accompany </w:t>
    </w:r>
    <w:proofErr w:type="spellStart"/>
    <w:r>
      <w:rPr>
        <w:color w:val="33006F"/>
      </w:rPr>
      <w:t>MPAcc</w:t>
    </w:r>
    <w:proofErr w:type="spellEnd"/>
    <w:r w:rsidRPr="001F60E1">
      <w:rPr>
        <w:color w:val="33006F"/>
      </w:rPr>
      <w:t xml:space="preserve"> Case</w:t>
    </w:r>
    <w:r>
      <w:rPr>
        <w:color w:val="33006F"/>
      </w:rPr>
      <w:t xml:space="preserve"> #17-01</w:t>
    </w:r>
  </w:p>
  <w:p w14:paraId="0BFB2615" w14:textId="77777777" w:rsidR="00974D75" w:rsidRDefault="00974D75" w:rsidP="001F60E1">
    <w:pPr>
      <w:jc w:val="right"/>
      <w:rPr>
        <w:color w:val="33006F"/>
      </w:rPr>
    </w:pPr>
    <w:r>
      <w:rPr>
        <w:color w:val="33006F"/>
      </w:rPr>
      <w:t>Economics of Audit</w:t>
    </w:r>
  </w:p>
  <w:p w14:paraId="3CF09BF1" w14:textId="77777777" w:rsidR="00974D75" w:rsidRPr="001F60E1" w:rsidRDefault="00974D75" w:rsidP="001F60E1">
    <w:pPr>
      <w:jc w:val="right"/>
      <w:rPr>
        <w:color w:val="33006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B38BF1" w14:textId="77777777" w:rsidR="000B4980" w:rsidRPr="001F60E1" w:rsidRDefault="000B4980" w:rsidP="000B4980">
    <w:pPr>
      <w:jc w:val="right"/>
      <w:rPr>
        <w:color w:val="33006F"/>
      </w:rPr>
    </w:pPr>
    <w:r>
      <w:rPr>
        <w:color w:val="33006F"/>
      </w:rPr>
      <w:t xml:space="preserve">Questions to Accompany </w:t>
    </w:r>
    <w:proofErr w:type="spellStart"/>
    <w:r>
      <w:rPr>
        <w:color w:val="33006F"/>
      </w:rPr>
      <w:t>MPAcc</w:t>
    </w:r>
    <w:proofErr w:type="spellEnd"/>
    <w:r w:rsidRPr="001F60E1">
      <w:rPr>
        <w:color w:val="33006F"/>
      </w:rPr>
      <w:t xml:space="preserve"> Case</w:t>
    </w:r>
    <w:r>
      <w:rPr>
        <w:color w:val="33006F"/>
      </w:rPr>
      <w:t xml:space="preserve"> #17-01</w:t>
    </w:r>
  </w:p>
  <w:p w14:paraId="590C72DE" w14:textId="77777777" w:rsidR="000B4980" w:rsidRDefault="000B4980" w:rsidP="000B4980">
    <w:pPr>
      <w:jc w:val="right"/>
      <w:rPr>
        <w:color w:val="33006F"/>
      </w:rPr>
    </w:pPr>
    <w:r>
      <w:rPr>
        <w:color w:val="33006F"/>
      </w:rPr>
      <w:t>Economics of Audit</w:t>
    </w:r>
  </w:p>
  <w:p w14:paraId="4D9F9214" w14:textId="77777777" w:rsidR="000B4980" w:rsidRPr="000B4980" w:rsidRDefault="000B4980" w:rsidP="000B49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C01BC"/>
    <w:multiLevelType w:val="hybridMultilevel"/>
    <w:tmpl w:val="741CD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84A9C"/>
    <w:multiLevelType w:val="hybridMultilevel"/>
    <w:tmpl w:val="C89EE8A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18510F64"/>
    <w:multiLevelType w:val="hybridMultilevel"/>
    <w:tmpl w:val="4CBA0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BB05D2"/>
    <w:multiLevelType w:val="hybridMultilevel"/>
    <w:tmpl w:val="DCEE1960"/>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78060D"/>
    <w:multiLevelType w:val="hybridMultilevel"/>
    <w:tmpl w:val="85720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091951"/>
    <w:multiLevelType w:val="hybridMultilevel"/>
    <w:tmpl w:val="9ADA1C8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7" w15:restartNumberingAfterBreak="0">
    <w:nsid w:val="43123CC4"/>
    <w:multiLevelType w:val="hybridMultilevel"/>
    <w:tmpl w:val="BC8A71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8A3C47"/>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C747B1"/>
    <w:multiLevelType w:val="hybridMultilevel"/>
    <w:tmpl w:val="2AF8E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937B33"/>
    <w:multiLevelType w:val="hybridMultilevel"/>
    <w:tmpl w:val="85720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B12E7E"/>
    <w:multiLevelType w:val="hybridMultilevel"/>
    <w:tmpl w:val="9678D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C62FA1"/>
    <w:multiLevelType w:val="hybridMultilevel"/>
    <w:tmpl w:val="DC68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922635"/>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0206AF"/>
    <w:multiLevelType w:val="hybridMultilevel"/>
    <w:tmpl w:val="4EE0801A"/>
    <w:lvl w:ilvl="0" w:tplc="FFFFFFFF">
      <w:start w:val="1"/>
      <w:numFmt w:val="bullet"/>
      <w:lvlText w:val="o"/>
      <w:lvlJc w:val="left"/>
      <w:pPr>
        <w:tabs>
          <w:tab w:val="num" w:pos="720"/>
        </w:tabs>
        <w:ind w:left="72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6F51DC0"/>
    <w:multiLevelType w:val="hybridMultilevel"/>
    <w:tmpl w:val="7BE21EA0"/>
    <w:lvl w:ilvl="0" w:tplc="22F8ED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911E3B"/>
    <w:multiLevelType w:val="hybridMultilevel"/>
    <w:tmpl w:val="CA42B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F567D9"/>
    <w:multiLevelType w:val="hybridMultilevel"/>
    <w:tmpl w:val="6774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1538AB"/>
    <w:multiLevelType w:val="hybridMultilevel"/>
    <w:tmpl w:val="B0EA80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9B508B"/>
    <w:multiLevelType w:val="hybridMultilevel"/>
    <w:tmpl w:val="DAA8DD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3E0602"/>
    <w:multiLevelType w:val="hybridMultilevel"/>
    <w:tmpl w:val="5AA0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DA1CDB"/>
    <w:multiLevelType w:val="hybridMultilevel"/>
    <w:tmpl w:val="7BEE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7"/>
  </w:num>
  <w:num w:numId="3">
    <w:abstractNumId w:val="8"/>
  </w:num>
  <w:num w:numId="4">
    <w:abstractNumId w:val="13"/>
  </w:num>
  <w:num w:numId="5">
    <w:abstractNumId w:val="21"/>
  </w:num>
  <w:num w:numId="6">
    <w:abstractNumId w:val="9"/>
  </w:num>
  <w:num w:numId="7">
    <w:abstractNumId w:val="11"/>
  </w:num>
  <w:num w:numId="8">
    <w:abstractNumId w:val="3"/>
  </w:num>
  <w:num w:numId="9">
    <w:abstractNumId w:val="16"/>
  </w:num>
  <w:num w:numId="10">
    <w:abstractNumId w:val="15"/>
  </w:num>
  <w:num w:numId="11">
    <w:abstractNumId w:val="18"/>
  </w:num>
  <w:num w:numId="12">
    <w:abstractNumId w:val="2"/>
  </w:num>
  <w:num w:numId="13">
    <w:abstractNumId w:val="20"/>
  </w:num>
  <w:num w:numId="14">
    <w:abstractNumId w:val="6"/>
  </w:num>
  <w:num w:numId="15">
    <w:abstractNumId w:val="4"/>
  </w:num>
  <w:num w:numId="16">
    <w:abstractNumId w:val="1"/>
  </w:num>
  <w:num w:numId="17">
    <w:abstractNumId w:val="14"/>
  </w:num>
  <w:num w:numId="18">
    <w:abstractNumId w:val="0"/>
  </w:num>
  <w:num w:numId="19">
    <w:abstractNumId w:val="12"/>
  </w:num>
  <w:num w:numId="20">
    <w:abstractNumId w:val="7"/>
  </w:num>
  <w:num w:numId="21">
    <w:abstractNumId w:val="5"/>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ccounting Review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wddtwtdltavvheer5vvrda5pftspd2zre9e&quot;&gt;My EndNote Library&lt;record-ids&gt;&lt;item&gt;794&lt;/item&gt;&lt;item&gt;795&lt;/item&gt;&lt;item&gt;796&lt;/item&gt;&lt;item&gt;797&lt;/item&gt;&lt;item&gt;798&lt;/item&gt;&lt;item&gt;799&lt;/item&gt;&lt;/record-ids&gt;&lt;/item&gt;&lt;/Libraries&gt;"/>
  </w:docVars>
  <w:rsids>
    <w:rsidRoot w:val="00875B0E"/>
    <w:rsid w:val="00006A5D"/>
    <w:rsid w:val="00006CC9"/>
    <w:rsid w:val="000203A6"/>
    <w:rsid w:val="000238EF"/>
    <w:rsid w:val="00025E80"/>
    <w:rsid w:val="000268AA"/>
    <w:rsid w:val="00034606"/>
    <w:rsid w:val="00035D8A"/>
    <w:rsid w:val="0004527D"/>
    <w:rsid w:val="00046408"/>
    <w:rsid w:val="000515EB"/>
    <w:rsid w:val="00085F5F"/>
    <w:rsid w:val="000A288E"/>
    <w:rsid w:val="000A34F1"/>
    <w:rsid w:val="000B4980"/>
    <w:rsid w:val="000B57C4"/>
    <w:rsid w:val="000C7BC8"/>
    <w:rsid w:val="000E2EAB"/>
    <w:rsid w:val="000E4A06"/>
    <w:rsid w:val="000E6B4B"/>
    <w:rsid w:val="000F0B98"/>
    <w:rsid w:val="000F1BCA"/>
    <w:rsid w:val="000F3F77"/>
    <w:rsid w:val="00102341"/>
    <w:rsid w:val="00111300"/>
    <w:rsid w:val="001128E6"/>
    <w:rsid w:val="001205ED"/>
    <w:rsid w:val="001251A8"/>
    <w:rsid w:val="001414A1"/>
    <w:rsid w:val="00142F8B"/>
    <w:rsid w:val="0015134A"/>
    <w:rsid w:val="00151847"/>
    <w:rsid w:val="0015600E"/>
    <w:rsid w:val="00171D04"/>
    <w:rsid w:val="0017534F"/>
    <w:rsid w:val="00176AA8"/>
    <w:rsid w:val="00177FDE"/>
    <w:rsid w:val="00180E94"/>
    <w:rsid w:val="00182B43"/>
    <w:rsid w:val="001A6E2C"/>
    <w:rsid w:val="001B6291"/>
    <w:rsid w:val="001C364B"/>
    <w:rsid w:val="001C4DEA"/>
    <w:rsid w:val="001E63CB"/>
    <w:rsid w:val="001E72E7"/>
    <w:rsid w:val="001E7F69"/>
    <w:rsid w:val="001F60E1"/>
    <w:rsid w:val="00201681"/>
    <w:rsid w:val="00202439"/>
    <w:rsid w:val="00215292"/>
    <w:rsid w:val="00225F8D"/>
    <w:rsid w:val="00226EDA"/>
    <w:rsid w:val="002338BC"/>
    <w:rsid w:val="00234F29"/>
    <w:rsid w:val="00242057"/>
    <w:rsid w:val="002706F3"/>
    <w:rsid w:val="00276C9E"/>
    <w:rsid w:val="002773AB"/>
    <w:rsid w:val="0029346F"/>
    <w:rsid w:val="002A0187"/>
    <w:rsid w:val="002B46F5"/>
    <w:rsid w:val="002B49E8"/>
    <w:rsid w:val="002C0059"/>
    <w:rsid w:val="002C22C5"/>
    <w:rsid w:val="002C5B76"/>
    <w:rsid w:val="002C739C"/>
    <w:rsid w:val="002D0931"/>
    <w:rsid w:val="002D169F"/>
    <w:rsid w:val="002D7825"/>
    <w:rsid w:val="002E4AEB"/>
    <w:rsid w:val="002E5097"/>
    <w:rsid w:val="002F0819"/>
    <w:rsid w:val="002F6B23"/>
    <w:rsid w:val="00301C68"/>
    <w:rsid w:val="0031436D"/>
    <w:rsid w:val="00327D1D"/>
    <w:rsid w:val="00333770"/>
    <w:rsid w:val="003349B1"/>
    <w:rsid w:val="003406C3"/>
    <w:rsid w:val="00343722"/>
    <w:rsid w:val="00352D83"/>
    <w:rsid w:val="0035481B"/>
    <w:rsid w:val="00362597"/>
    <w:rsid w:val="00387655"/>
    <w:rsid w:val="003931FB"/>
    <w:rsid w:val="00397077"/>
    <w:rsid w:val="003A2565"/>
    <w:rsid w:val="003A7F49"/>
    <w:rsid w:val="003B13BF"/>
    <w:rsid w:val="003B27F0"/>
    <w:rsid w:val="003C20A0"/>
    <w:rsid w:val="003C55E8"/>
    <w:rsid w:val="003C6A3D"/>
    <w:rsid w:val="003D11EC"/>
    <w:rsid w:val="003E249A"/>
    <w:rsid w:val="003E2B1F"/>
    <w:rsid w:val="003E3360"/>
    <w:rsid w:val="00401D34"/>
    <w:rsid w:val="004033F1"/>
    <w:rsid w:val="0041279F"/>
    <w:rsid w:val="00414FE0"/>
    <w:rsid w:val="00432CA9"/>
    <w:rsid w:val="00437BBD"/>
    <w:rsid w:val="004411A7"/>
    <w:rsid w:val="00447B3A"/>
    <w:rsid w:val="0045172A"/>
    <w:rsid w:val="00451C41"/>
    <w:rsid w:val="00460182"/>
    <w:rsid w:val="00467906"/>
    <w:rsid w:val="00471475"/>
    <w:rsid w:val="00476A32"/>
    <w:rsid w:val="004821F0"/>
    <w:rsid w:val="00483577"/>
    <w:rsid w:val="00490017"/>
    <w:rsid w:val="0049127D"/>
    <w:rsid w:val="0049264F"/>
    <w:rsid w:val="00494E2E"/>
    <w:rsid w:val="004A113F"/>
    <w:rsid w:val="004A41B3"/>
    <w:rsid w:val="004B0EDE"/>
    <w:rsid w:val="004B383F"/>
    <w:rsid w:val="004B6359"/>
    <w:rsid w:val="004C2157"/>
    <w:rsid w:val="004C2760"/>
    <w:rsid w:val="004C5DF5"/>
    <w:rsid w:val="004E3885"/>
    <w:rsid w:val="004E4ED7"/>
    <w:rsid w:val="00506E48"/>
    <w:rsid w:val="00512B97"/>
    <w:rsid w:val="00515696"/>
    <w:rsid w:val="005200F8"/>
    <w:rsid w:val="00521637"/>
    <w:rsid w:val="00523739"/>
    <w:rsid w:val="00541305"/>
    <w:rsid w:val="0054441D"/>
    <w:rsid w:val="005554EF"/>
    <w:rsid w:val="0056130B"/>
    <w:rsid w:val="00580914"/>
    <w:rsid w:val="00590694"/>
    <w:rsid w:val="00591A3E"/>
    <w:rsid w:val="00593D8D"/>
    <w:rsid w:val="005951C3"/>
    <w:rsid w:val="0059520A"/>
    <w:rsid w:val="00596031"/>
    <w:rsid w:val="005A3ADC"/>
    <w:rsid w:val="005A51E4"/>
    <w:rsid w:val="005B5BC8"/>
    <w:rsid w:val="005B6994"/>
    <w:rsid w:val="005C3ADF"/>
    <w:rsid w:val="005C4FA7"/>
    <w:rsid w:val="005D016B"/>
    <w:rsid w:val="005D6038"/>
    <w:rsid w:val="005E3F6B"/>
    <w:rsid w:val="005F16DF"/>
    <w:rsid w:val="005F4B04"/>
    <w:rsid w:val="0060351C"/>
    <w:rsid w:val="00603E0A"/>
    <w:rsid w:val="00603EAE"/>
    <w:rsid w:val="00612054"/>
    <w:rsid w:val="006147F7"/>
    <w:rsid w:val="006178ED"/>
    <w:rsid w:val="00623BB3"/>
    <w:rsid w:val="00627AC1"/>
    <w:rsid w:val="00631F82"/>
    <w:rsid w:val="00645D77"/>
    <w:rsid w:val="00646963"/>
    <w:rsid w:val="00665BD7"/>
    <w:rsid w:val="00671175"/>
    <w:rsid w:val="0067212A"/>
    <w:rsid w:val="00684559"/>
    <w:rsid w:val="00690479"/>
    <w:rsid w:val="006A2C64"/>
    <w:rsid w:val="006A6392"/>
    <w:rsid w:val="006C05B6"/>
    <w:rsid w:val="006C4107"/>
    <w:rsid w:val="006C7699"/>
    <w:rsid w:val="006D1538"/>
    <w:rsid w:val="006D5D5E"/>
    <w:rsid w:val="006F1087"/>
    <w:rsid w:val="006F33FC"/>
    <w:rsid w:val="006F5E79"/>
    <w:rsid w:val="00705483"/>
    <w:rsid w:val="007142E2"/>
    <w:rsid w:val="00730FF5"/>
    <w:rsid w:val="00732C96"/>
    <w:rsid w:val="00743D54"/>
    <w:rsid w:val="00744929"/>
    <w:rsid w:val="007469F5"/>
    <w:rsid w:val="00757DE3"/>
    <w:rsid w:val="00762A53"/>
    <w:rsid w:val="00763459"/>
    <w:rsid w:val="00763893"/>
    <w:rsid w:val="00777141"/>
    <w:rsid w:val="007812AA"/>
    <w:rsid w:val="007869DF"/>
    <w:rsid w:val="00793977"/>
    <w:rsid w:val="007979E7"/>
    <w:rsid w:val="007A2C63"/>
    <w:rsid w:val="007A3C10"/>
    <w:rsid w:val="007A67FB"/>
    <w:rsid w:val="007B5561"/>
    <w:rsid w:val="007C0593"/>
    <w:rsid w:val="007C3508"/>
    <w:rsid w:val="007E32E0"/>
    <w:rsid w:val="007F2673"/>
    <w:rsid w:val="007F2A9D"/>
    <w:rsid w:val="007F66D6"/>
    <w:rsid w:val="00801D24"/>
    <w:rsid w:val="00806081"/>
    <w:rsid w:val="00811A19"/>
    <w:rsid w:val="00816DFB"/>
    <w:rsid w:val="00821B37"/>
    <w:rsid w:val="0082628A"/>
    <w:rsid w:val="0082791F"/>
    <w:rsid w:val="0084110C"/>
    <w:rsid w:val="0084466D"/>
    <w:rsid w:val="00854821"/>
    <w:rsid w:val="00856F12"/>
    <w:rsid w:val="00866991"/>
    <w:rsid w:val="00875B0E"/>
    <w:rsid w:val="008776E4"/>
    <w:rsid w:val="008837FE"/>
    <w:rsid w:val="008900CB"/>
    <w:rsid w:val="00891DA7"/>
    <w:rsid w:val="008A506C"/>
    <w:rsid w:val="008A63B4"/>
    <w:rsid w:val="008A64D1"/>
    <w:rsid w:val="008A6B34"/>
    <w:rsid w:val="008A6B64"/>
    <w:rsid w:val="008B4B0E"/>
    <w:rsid w:val="008B71AC"/>
    <w:rsid w:val="008D0581"/>
    <w:rsid w:val="008D7A37"/>
    <w:rsid w:val="008E1418"/>
    <w:rsid w:val="008E5B1D"/>
    <w:rsid w:val="008F0755"/>
    <w:rsid w:val="008F4781"/>
    <w:rsid w:val="008F6B05"/>
    <w:rsid w:val="008F7309"/>
    <w:rsid w:val="009121DA"/>
    <w:rsid w:val="009131A6"/>
    <w:rsid w:val="00920902"/>
    <w:rsid w:val="00924FAA"/>
    <w:rsid w:val="009352ED"/>
    <w:rsid w:val="00942D09"/>
    <w:rsid w:val="00950258"/>
    <w:rsid w:val="009618EE"/>
    <w:rsid w:val="00964CD5"/>
    <w:rsid w:val="00965A88"/>
    <w:rsid w:val="00974D75"/>
    <w:rsid w:val="00976020"/>
    <w:rsid w:val="009849FA"/>
    <w:rsid w:val="00985D5E"/>
    <w:rsid w:val="00987CB7"/>
    <w:rsid w:val="00993A4F"/>
    <w:rsid w:val="00995ED2"/>
    <w:rsid w:val="009B036D"/>
    <w:rsid w:val="009B2FF7"/>
    <w:rsid w:val="009B660D"/>
    <w:rsid w:val="009C31A7"/>
    <w:rsid w:val="009C3C7E"/>
    <w:rsid w:val="009C40AB"/>
    <w:rsid w:val="009D4F0B"/>
    <w:rsid w:val="009E2740"/>
    <w:rsid w:val="009E79E2"/>
    <w:rsid w:val="009F1065"/>
    <w:rsid w:val="009F2527"/>
    <w:rsid w:val="009F3F51"/>
    <w:rsid w:val="00A005C5"/>
    <w:rsid w:val="00A0264A"/>
    <w:rsid w:val="00A055B2"/>
    <w:rsid w:val="00A06C5F"/>
    <w:rsid w:val="00A0723C"/>
    <w:rsid w:val="00A07B30"/>
    <w:rsid w:val="00A17C6A"/>
    <w:rsid w:val="00A210E7"/>
    <w:rsid w:val="00A26258"/>
    <w:rsid w:val="00A4093B"/>
    <w:rsid w:val="00A53159"/>
    <w:rsid w:val="00A613C7"/>
    <w:rsid w:val="00A64B96"/>
    <w:rsid w:val="00A7063A"/>
    <w:rsid w:val="00A70D39"/>
    <w:rsid w:val="00A746C7"/>
    <w:rsid w:val="00A87312"/>
    <w:rsid w:val="00AC0EAB"/>
    <w:rsid w:val="00AC1A3E"/>
    <w:rsid w:val="00AC33F6"/>
    <w:rsid w:val="00AC3C20"/>
    <w:rsid w:val="00AC482F"/>
    <w:rsid w:val="00AD24E3"/>
    <w:rsid w:val="00AD3607"/>
    <w:rsid w:val="00AD5168"/>
    <w:rsid w:val="00AD5579"/>
    <w:rsid w:val="00AE1226"/>
    <w:rsid w:val="00AE45C3"/>
    <w:rsid w:val="00AE4AA3"/>
    <w:rsid w:val="00AE7A3A"/>
    <w:rsid w:val="00AF7D76"/>
    <w:rsid w:val="00B06204"/>
    <w:rsid w:val="00B075F4"/>
    <w:rsid w:val="00B11B2F"/>
    <w:rsid w:val="00B236ED"/>
    <w:rsid w:val="00B32215"/>
    <w:rsid w:val="00B42F15"/>
    <w:rsid w:val="00B44620"/>
    <w:rsid w:val="00B47809"/>
    <w:rsid w:val="00B47E78"/>
    <w:rsid w:val="00B53CA2"/>
    <w:rsid w:val="00B6098D"/>
    <w:rsid w:val="00B63AF1"/>
    <w:rsid w:val="00B63E84"/>
    <w:rsid w:val="00B71FC0"/>
    <w:rsid w:val="00B85757"/>
    <w:rsid w:val="00B9298F"/>
    <w:rsid w:val="00B964E8"/>
    <w:rsid w:val="00BA0419"/>
    <w:rsid w:val="00BA2428"/>
    <w:rsid w:val="00BA3629"/>
    <w:rsid w:val="00BA4CE4"/>
    <w:rsid w:val="00BA7107"/>
    <w:rsid w:val="00BB0DFD"/>
    <w:rsid w:val="00BB57D0"/>
    <w:rsid w:val="00BC5C98"/>
    <w:rsid w:val="00BD1946"/>
    <w:rsid w:val="00BD360A"/>
    <w:rsid w:val="00BE010E"/>
    <w:rsid w:val="00BE4E64"/>
    <w:rsid w:val="00BF12E2"/>
    <w:rsid w:val="00BF2C70"/>
    <w:rsid w:val="00BF52E2"/>
    <w:rsid w:val="00BF7070"/>
    <w:rsid w:val="00C043C1"/>
    <w:rsid w:val="00C05D0E"/>
    <w:rsid w:val="00C2159E"/>
    <w:rsid w:val="00C26EF4"/>
    <w:rsid w:val="00C326FE"/>
    <w:rsid w:val="00C403B4"/>
    <w:rsid w:val="00C5464E"/>
    <w:rsid w:val="00C61655"/>
    <w:rsid w:val="00C679FA"/>
    <w:rsid w:val="00C71FDA"/>
    <w:rsid w:val="00C74BEF"/>
    <w:rsid w:val="00C81E09"/>
    <w:rsid w:val="00C82B3D"/>
    <w:rsid w:val="00C83E72"/>
    <w:rsid w:val="00C8775E"/>
    <w:rsid w:val="00CA0EF2"/>
    <w:rsid w:val="00CA1247"/>
    <w:rsid w:val="00CA69B0"/>
    <w:rsid w:val="00CA69D4"/>
    <w:rsid w:val="00CB2E75"/>
    <w:rsid w:val="00CB3716"/>
    <w:rsid w:val="00CC050B"/>
    <w:rsid w:val="00CC3775"/>
    <w:rsid w:val="00CD207C"/>
    <w:rsid w:val="00CD4155"/>
    <w:rsid w:val="00CE1443"/>
    <w:rsid w:val="00CE65E9"/>
    <w:rsid w:val="00CF5D18"/>
    <w:rsid w:val="00CF6231"/>
    <w:rsid w:val="00CF7927"/>
    <w:rsid w:val="00D11308"/>
    <w:rsid w:val="00D144ED"/>
    <w:rsid w:val="00D32B81"/>
    <w:rsid w:val="00D35FC3"/>
    <w:rsid w:val="00D37EB6"/>
    <w:rsid w:val="00D43E33"/>
    <w:rsid w:val="00D446A5"/>
    <w:rsid w:val="00D46DBF"/>
    <w:rsid w:val="00D50BF5"/>
    <w:rsid w:val="00D61D58"/>
    <w:rsid w:val="00D6575E"/>
    <w:rsid w:val="00D66141"/>
    <w:rsid w:val="00D66505"/>
    <w:rsid w:val="00D7236E"/>
    <w:rsid w:val="00D72A07"/>
    <w:rsid w:val="00D74FE2"/>
    <w:rsid w:val="00D85435"/>
    <w:rsid w:val="00DA6AF5"/>
    <w:rsid w:val="00DB22DA"/>
    <w:rsid w:val="00DB3B75"/>
    <w:rsid w:val="00DD2170"/>
    <w:rsid w:val="00DD38C0"/>
    <w:rsid w:val="00DD3934"/>
    <w:rsid w:val="00DE244B"/>
    <w:rsid w:val="00DE2462"/>
    <w:rsid w:val="00DF0B95"/>
    <w:rsid w:val="00E00138"/>
    <w:rsid w:val="00E05761"/>
    <w:rsid w:val="00E16826"/>
    <w:rsid w:val="00E17992"/>
    <w:rsid w:val="00E2356E"/>
    <w:rsid w:val="00E37D3E"/>
    <w:rsid w:val="00E423D7"/>
    <w:rsid w:val="00E61DE3"/>
    <w:rsid w:val="00E7310E"/>
    <w:rsid w:val="00E73551"/>
    <w:rsid w:val="00E7753F"/>
    <w:rsid w:val="00E814BB"/>
    <w:rsid w:val="00E83F60"/>
    <w:rsid w:val="00E95557"/>
    <w:rsid w:val="00E96229"/>
    <w:rsid w:val="00E97DE1"/>
    <w:rsid w:val="00EA3205"/>
    <w:rsid w:val="00EA387E"/>
    <w:rsid w:val="00EA427F"/>
    <w:rsid w:val="00EB02F2"/>
    <w:rsid w:val="00EB08E9"/>
    <w:rsid w:val="00EB5750"/>
    <w:rsid w:val="00EC0614"/>
    <w:rsid w:val="00EC3088"/>
    <w:rsid w:val="00EC4EFA"/>
    <w:rsid w:val="00ED4E5F"/>
    <w:rsid w:val="00EE5469"/>
    <w:rsid w:val="00EF0787"/>
    <w:rsid w:val="00EF717F"/>
    <w:rsid w:val="00F0136F"/>
    <w:rsid w:val="00F02376"/>
    <w:rsid w:val="00F11AA7"/>
    <w:rsid w:val="00F12B3A"/>
    <w:rsid w:val="00F23B20"/>
    <w:rsid w:val="00F4108E"/>
    <w:rsid w:val="00F529D0"/>
    <w:rsid w:val="00F5744C"/>
    <w:rsid w:val="00F60916"/>
    <w:rsid w:val="00F641A0"/>
    <w:rsid w:val="00F66580"/>
    <w:rsid w:val="00F73E77"/>
    <w:rsid w:val="00F75040"/>
    <w:rsid w:val="00F82B87"/>
    <w:rsid w:val="00F848BF"/>
    <w:rsid w:val="00F864BD"/>
    <w:rsid w:val="00F869F5"/>
    <w:rsid w:val="00F8742C"/>
    <w:rsid w:val="00FA34D9"/>
    <w:rsid w:val="00FA6FF8"/>
    <w:rsid w:val="00FA75DF"/>
    <w:rsid w:val="00FB0DDC"/>
    <w:rsid w:val="00FC7D96"/>
    <w:rsid w:val="00FD58ED"/>
    <w:rsid w:val="00FE4D48"/>
    <w:rsid w:val="00FE791F"/>
    <w:rsid w:val="00FF3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0F856"/>
  <w15:docId w15:val="{DEA4F4BB-B399-4B52-8C04-2F9AE1D66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3205"/>
    <w:pPr>
      <w:spacing w:line="288" w:lineRule="auto"/>
    </w:pPr>
  </w:style>
  <w:style w:type="paragraph" w:styleId="Heading1">
    <w:name w:val="heading 1"/>
    <w:basedOn w:val="Normal"/>
    <w:next w:val="Normal"/>
    <w:link w:val="Heading1Char"/>
    <w:uiPriority w:val="9"/>
    <w:qFormat/>
    <w:rsid w:val="000A34F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732C96"/>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C05D0E"/>
    <w:pPr>
      <w:spacing w:after="1613"/>
      <w:ind w:right="-720"/>
      <w:contextualSpacing/>
      <w:jc w:val="right"/>
    </w:pPr>
  </w:style>
  <w:style w:type="paragraph" w:styleId="Header">
    <w:name w:val="header"/>
    <w:basedOn w:val="Normal"/>
    <w:link w:val="HeaderChar"/>
    <w:uiPriority w:val="99"/>
    <w:unhideWhenUsed/>
    <w:rsid w:val="00046408"/>
    <w:pPr>
      <w:tabs>
        <w:tab w:val="center" w:pos="4680"/>
        <w:tab w:val="right" w:pos="9360"/>
      </w:tabs>
      <w:spacing w:line="240" w:lineRule="auto"/>
    </w:pPr>
  </w:style>
  <w:style w:type="character" w:customStyle="1" w:styleId="HeaderChar">
    <w:name w:val="Header Char"/>
    <w:basedOn w:val="DefaultParagraphFont"/>
    <w:link w:val="Header"/>
    <w:uiPriority w:val="99"/>
    <w:rsid w:val="00046408"/>
    <w:rPr>
      <w:sz w:val="20"/>
    </w:rPr>
  </w:style>
  <w:style w:type="paragraph" w:styleId="Footer">
    <w:name w:val="footer"/>
    <w:basedOn w:val="Normal"/>
    <w:link w:val="FooterChar"/>
    <w:uiPriority w:val="99"/>
    <w:unhideWhenUsed/>
    <w:rsid w:val="00046408"/>
    <w:pPr>
      <w:tabs>
        <w:tab w:val="center" w:pos="4680"/>
        <w:tab w:val="right" w:pos="9360"/>
      </w:tabs>
      <w:spacing w:line="240" w:lineRule="auto"/>
    </w:pPr>
  </w:style>
  <w:style w:type="character" w:customStyle="1" w:styleId="FooterChar">
    <w:name w:val="Footer Char"/>
    <w:basedOn w:val="DefaultParagraphFont"/>
    <w:link w:val="Footer"/>
    <w:uiPriority w:val="99"/>
    <w:rsid w:val="00046408"/>
    <w:rPr>
      <w:sz w:val="20"/>
    </w:rPr>
  </w:style>
  <w:style w:type="paragraph" w:customStyle="1" w:styleId="FBFooter">
    <w:name w:val="FB Footer"/>
    <w:basedOn w:val="Normal"/>
    <w:qFormat/>
    <w:rsid w:val="009131A6"/>
    <w:pPr>
      <w:spacing w:line="276" w:lineRule="auto"/>
    </w:pPr>
    <w:rPr>
      <w:caps/>
      <w:color w:val="37246A" w:themeColor="text2"/>
      <w:sz w:val="18"/>
    </w:rPr>
  </w:style>
  <w:style w:type="paragraph" w:styleId="BalloonText">
    <w:name w:val="Balloon Text"/>
    <w:basedOn w:val="Normal"/>
    <w:link w:val="BalloonTextChar"/>
    <w:uiPriority w:val="99"/>
    <w:semiHidden/>
    <w:unhideWhenUsed/>
    <w:rsid w:val="00FD58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8ED"/>
    <w:rPr>
      <w:rFonts w:ascii="Tahoma" w:hAnsi="Tahoma" w:cs="Tahoma"/>
      <w:sz w:val="16"/>
      <w:szCs w:val="16"/>
    </w:rPr>
  </w:style>
  <w:style w:type="character" w:styleId="Hyperlink">
    <w:name w:val="Hyperlink"/>
    <w:basedOn w:val="DefaultParagraphFont"/>
    <w:uiPriority w:val="99"/>
    <w:unhideWhenUsed/>
    <w:rsid w:val="00FD58ED"/>
    <w:rPr>
      <w:color w:val="0563C1" w:themeColor="hyperlink"/>
      <w:u w:val="single"/>
    </w:rPr>
  </w:style>
  <w:style w:type="table" w:styleId="TableGrid">
    <w:name w:val="Table Grid"/>
    <w:basedOn w:val="TableNormal"/>
    <w:uiPriority w:val="59"/>
    <w:rsid w:val="007939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unhideWhenUsed/>
    <w:rsid w:val="00F864BD"/>
    <w:rPr>
      <w:vertAlign w:val="superscript"/>
    </w:rPr>
  </w:style>
  <w:style w:type="paragraph" w:styleId="FootnoteText">
    <w:name w:val="footnote text"/>
    <w:basedOn w:val="Normal"/>
    <w:link w:val="FootnoteTextChar"/>
    <w:uiPriority w:val="99"/>
    <w:unhideWhenUsed/>
    <w:rsid w:val="00F864BD"/>
    <w:pPr>
      <w:spacing w:line="240" w:lineRule="auto"/>
    </w:pPr>
    <w:rPr>
      <w:sz w:val="20"/>
      <w:szCs w:val="20"/>
    </w:rPr>
  </w:style>
  <w:style w:type="character" w:customStyle="1" w:styleId="FootnoteTextChar">
    <w:name w:val="Footnote Text Char"/>
    <w:basedOn w:val="DefaultParagraphFont"/>
    <w:link w:val="FootnoteText"/>
    <w:uiPriority w:val="99"/>
    <w:rsid w:val="00F864BD"/>
    <w:rPr>
      <w:sz w:val="20"/>
      <w:szCs w:val="20"/>
    </w:rPr>
  </w:style>
  <w:style w:type="paragraph" w:styleId="ListParagraph">
    <w:name w:val="List Paragraph"/>
    <w:basedOn w:val="Normal"/>
    <w:uiPriority w:val="34"/>
    <w:qFormat/>
    <w:rsid w:val="002706F3"/>
    <w:pPr>
      <w:ind w:left="720"/>
      <w:contextualSpacing/>
    </w:pPr>
  </w:style>
  <w:style w:type="character" w:customStyle="1" w:styleId="Heading1Char">
    <w:name w:val="Heading 1 Char"/>
    <w:basedOn w:val="DefaultParagraphFont"/>
    <w:link w:val="Heading1"/>
    <w:uiPriority w:val="9"/>
    <w:rsid w:val="000A34F1"/>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semiHidden/>
    <w:unhideWhenUsed/>
    <w:qFormat/>
    <w:rsid w:val="000A34F1"/>
    <w:pPr>
      <w:spacing w:line="276" w:lineRule="auto"/>
      <w:outlineLvl w:val="9"/>
    </w:pPr>
    <w:rPr>
      <w:lang w:eastAsia="ja-JP"/>
    </w:rPr>
  </w:style>
  <w:style w:type="paragraph" w:styleId="TOC2">
    <w:name w:val="toc 2"/>
    <w:basedOn w:val="Normal"/>
    <w:next w:val="Normal"/>
    <w:autoRedefine/>
    <w:uiPriority w:val="39"/>
    <w:unhideWhenUsed/>
    <w:qFormat/>
    <w:rsid w:val="000A34F1"/>
    <w:pPr>
      <w:spacing w:after="100" w:line="276" w:lineRule="auto"/>
      <w:ind w:left="220"/>
    </w:pPr>
    <w:rPr>
      <w:rFonts w:eastAsiaTheme="minorEastAsia"/>
      <w:lang w:eastAsia="ja-JP"/>
    </w:rPr>
  </w:style>
  <w:style w:type="paragraph" w:styleId="TOC1">
    <w:name w:val="toc 1"/>
    <w:basedOn w:val="Normal"/>
    <w:next w:val="Normal"/>
    <w:autoRedefine/>
    <w:uiPriority w:val="39"/>
    <w:unhideWhenUsed/>
    <w:qFormat/>
    <w:rsid w:val="000A34F1"/>
    <w:pPr>
      <w:spacing w:after="100" w:line="276" w:lineRule="auto"/>
    </w:pPr>
    <w:rPr>
      <w:rFonts w:eastAsiaTheme="minorEastAsia"/>
      <w:lang w:eastAsia="ja-JP"/>
    </w:rPr>
  </w:style>
  <w:style w:type="paragraph" w:styleId="TOC3">
    <w:name w:val="toc 3"/>
    <w:basedOn w:val="Normal"/>
    <w:next w:val="Normal"/>
    <w:autoRedefine/>
    <w:uiPriority w:val="39"/>
    <w:semiHidden/>
    <w:unhideWhenUsed/>
    <w:qFormat/>
    <w:rsid w:val="000A34F1"/>
    <w:pPr>
      <w:spacing w:after="100" w:line="276" w:lineRule="auto"/>
      <w:ind w:left="440"/>
    </w:pPr>
    <w:rPr>
      <w:rFonts w:eastAsiaTheme="minorEastAsia"/>
      <w:lang w:eastAsia="ja-JP"/>
    </w:rPr>
  </w:style>
  <w:style w:type="paragraph" w:customStyle="1" w:styleId="EndNoteBibliographyTitle">
    <w:name w:val="EndNote Bibliography Title"/>
    <w:basedOn w:val="Normal"/>
    <w:link w:val="EndNoteBibliographyTitleChar"/>
    <w:rsid w:val="00AC1A3E"/>
    <w:pPr>
      <w:jc w:val="center"/>
    </w:pPr>
    <w:rPr>
      <w:rFonts w:ascii="Calibri" w:hAnsi="Calibri"/>
      <w:noProof/>
    </w:rPr>
  </w:style>
  <w:style w:type="character" w:customStyle="1" w:styleId="EndNoteBibliographyTitleChar">
    <w:name w:val="EndNote Bibliography Title Char"/>
    <w:basedOn w:val="DefaultParagraphFont"/>
    <w:link w:val="EndNoteBibliographyTitle"/>
    <w:rsid w:val="00AC1A3E"/>
    <w:rPr>
      <w:rFonts w:ascii="Calibri" w:hAnsi="Calibri"/>
      <w:noProof/>
    </w:rPr>
  </w:style>
  <w:style w:type="paragraph" w:customStyle="1" w:styleId="EndNoteBibliography">
    <w:name w:val="EndNote Bibliography"/>
    <w:basedOn w:val="Normal"/>
    <w:link w:val="EndNoteBibliographyChar"/>
    <w:rsid w:val="00AC1A3E"/>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AC1A3E"/>
    <w:rPr>
      <w:rFonts w:ascii="Calibri" w:hAnsi="Calibri"/>
      <w:noProof/>
    </w:rPr>
  </w:style>
  <w:style w:type="character" w:customStyle="1" w:styleId="Heading2Char">
    <w:name w:val="Heading 2 Char"/>
    <w:basedOn w:val="DefaultParagraphFont"/>
    <w:link w:val="Heading2"/>
    <w:uiPriority w:val="9"/>
    <w:rsid w:val="00732C96"/>
    <w:rPr>
      <w:rFonts w:asciiTheme="majorHAnsi" w:eastAsiaTheme="majorEastAsia" w:hAnsiTheme="majorHAnsi" w:cstheme="majorBidi"/>
      <w:b/>
      <w:bCs/>
      <w:color w:val="5B9BD5" w:themeColor="accent1"/>
      <w:sz w:val="26"/>
      <w:szCs w:val="26"/>
    </w:rPr>
  </w:style>
  <w:style w:type="table" w:customStyle="1" w:styleId="TableGrid1">
    <w:name w:val="Table Grid1"/>
    <w:basedOn w:val="TableNormal"/>
    <w:next w:val="TableGrid"/>
    <w:uiPriority w:val="59"/>
    <w:rsid w:val="005951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E63CB"/>
    <w:rPr>
      <w:color w:val="808080"/>
    </w:rPr>
  </w:style>
  <w:style w:type="character" w:styleId="CommentReference">
    <w:name w:val="annotation reference"/>
    <w:basedOn w:val="DefaultParagraphFont"/>
    <w:uiPriority w:val="99"/>
    <w:semiHidden/>
    <w:unhideWhenUsed/>
    <w:rsid w:val="0084110C"/>
    <w:rPr>
      <w:sz w:val="16"/>
      <w:szCs w:val="16"/>
    </w:rPr>
  </w:style>
  <w:style w:type="paragraph" w:styleId="CommentText">
    <w:name w:val="annotation text"/>
    <w:basedOn w:val="Normal"/>
    <w:link w:val="CommentTextChar"/>
    <w:uiPriority w:val="99"/>
    <w:semiHidden/>
    <w:unhideWhenUsed/>
    <w:rsid w:val="0084110C"/>
    <w:pPr>
      <w:spacing w:line="240" w:lineRule="auto"/>
    </w:pPr>
    <w:rPr>
      <w:sz w:val="20"/>
      <w:szCs w:val="20"/>
    </w:rPr>
  </w:style>
  <w:style w:type="character" w:customStyle="1" w:styleId="CommentTextChar">
    <w:name w:val="Comment Text Char"/>
    <w:basedOn w:val="DefaultParagraphFont"/>
    <w:link w:val="CommentText"/>
    <w:uiPriority w:val="99"/>
    <w:semiHidden/>
    <w:rsid w:val="0084110C"/>
    <w:rPr>
      <w:sz w:val="20"/>
      <w:szCs w:val="20"/>
    </w:rPr>
  </w:style>
  <w:style w:type="paragraph" w:styleId="CommentSubject">
    <w:name w:val="annotation subject"/>
    <w:basedOn w:val="CommentText"/>
    <w:next w:val="CommentText"/>
    <w:link w:val="CommentSubjectChar"/>
    <w:uiPriority w:val="99"/>
    <w:semiHidden/>
    <w:unhideWhenUsed/>
    <w:rsid w:val="0084110C"/>
    <w:rPr>
      <w:b/>
      <w:bCs/>
    </w:rPr>
  </w:style>
  <w:style w:type="character" w:customStyle="1" w:styleId="CommentSubjectChar">
    <w:name w:val="Comment Subject Char"/>
    <w:basedOn w:val="CommentTextChar"/>
    <w:link w:val="CommentSubject"/>
    <w:uiPriority w:val="99"/>
    <w:semiHidden/>
    <w:rsid w:val="0084110C"/>
    <w:rPr>
      <w:b/>
      <w:bCs/>
      <w:sz w:val="20"/>
      <w:szCs w:val="20"/>
    </w:rPr>
  </w:style>
  <w:style w:type="table" w:customStyle="1" w:styleId="TableGrid2">
    <w:name w:val="Table Grid2"/>
    <w:basedOn w:val="TableNormal"/>
    <w:next w:val="TableGrid"/>
    <w:uiPriority w:val="59"/>
    <w:rsid w:val="00CA6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86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4093B"/>
    <w:rPr>
      <w:color w:val="954F72" w:themeColor="followedHyperlink"/>
      <w:u w:val="single"/>
    </w:rPr>
  </w:style>
  <w:style w:type="table" w:customStyle="1" w:styleId="TableGrid21">
    <w:name w:val="Table Grid21"/>
    <w:basedOn w:val="TableNormal"/>
    <w:next w:val="TableGrid"/>
    <w:uiPriority w:val="59"/>
    <w:rsid w:val="006C76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B4980"/>
    <w:rPr>
      <w:color w:val="808080"/>
      <w:shd w:val="clear" w:color="auto" w:fill="E6E6E6"/>
    </w:rPr>
  </w:style>
  <w:style w:type="paragraph" w:styleId="EndnoteText">
    <w:name w:val="endnote text"/>
    <w:basedOn w:val="Normal"/>
    <w:link w:val="EndnoteTextChar"/>
    <w:uiPriority w:val="99"/>
    <w:semiHidden/>
    <w:unhideWhenUsed/>
    <w:rsid w:val="0015600E"/>
    <w:pPr>
      <w:spacing w:line="240" w:lineRule="auto"/>
    </w:pPr>
    <w:rPr>
      <w:sz w:val="20"/>
      <w:szCs w:val="20"/>
    </w:rPr>
  </w:style>
  <w:style w:type="character" w:customStyle="1" w:styleId="EndnoteTextChar">
    <w:name w:val="Endnote Text Char"/>
    <w:basedOn w:val="DefaultParagraphFont"/>
    <w:link w:val="EndnoteText"/>
    <w:uiPriority w:val="99"/>
    <w:semiHidden/>
    <w:rsid w:val="0015600E"/>
    <w:rPr>
      <w:sz w:val="20"/>
      <w:szCs w:val="20"/>
    </w:rPr>
  </w:style>
  <w:style w:type="character" w:styleId="EndnoteReference">
    <w:name w:val="endnote reference"/>
    <w:basedOn w:val="DefaultParagraphFont"/>
    <w:uiPriority w:val="99"/>
    <w:semiHidden/>
    <w:unhideWhenUsed/>
    <w:rsid w:val="001560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2387834">
      <w:bodyDiv w:val="1"/>
      <w:marLeft w:val="0"/>
      <w:marRight w:val="0"/>
      <w:marTop w:val="0"/>
      <w:marBottom w:val="0"/>
      <w:divBdr>
        <w:top w:val="none" w:sz="0" w:space="0" w:color="auto"/>
        <w:left w:val="none" w:sz="0" w:space="0" w:color="auto"/>
        <w:bottom w:val="none" w:sz="0" w:space="0" w:color="auto"/>
        <w:right w:val="none" w:sz="0" w:space="0" w:color="auto"/>
      </w:divBdr>
    </w:div>
    <w:div w:id="420610184">
      <w:bodyDiv w:val="1"/>
      <w:marLeft w:val="0"/>
      <w:marRight w:val="0"/>
      <w:marTop w:val="0"/>
      <w:marBottom w:val="0"/>
      <w:divBdr>
        <w:top w:val="none" w:sz="0" w:space="0" w:color="auto"/>
        <w:left w:val="none" w:sz="0" w:space="0" w:color="auto"/>
        <w:bottom w:val="none" w:sz="0" w:space="0" w:color="auto"/>
        <w:right w:val="none" w:sz="0" w:space="0" w:color="auto"/>
      </w:divBdr>
    </w:div>
    <w:div w:id="462816945">
      <w:bodyDiv w:val="1"/>
      <w:marLeft w:val="0"/>
      <w:marRight w:val="0"/>
      <w:marTop w:val="0"/>
      <w:marBottom w:val="0"/>
      <w:divBdr>
        <w:top w:val="none" w:sz="0" w:space="0" w:color="auto"/>
        <w:left w:val="none" w:sz="0" w:space="0" w:color="auto"/>
        <w:bottom w:val="none" w:sz="0" w:space="0" w:color="auto"/>
        <w:right w:val="none" w:sz="0" w:space="0" w:color="auto"/>
      </w:divBdr>
      <w:divsChild>
        <w:div w:id="1780176141">
          <w:marLeft w:val="0"/>
          <w:marRight w:val="0"/>
          <w:marTop w:val="240"/>
          <w:marBottom w:val="0"/>
          <w:divBdr>
            <w:top w:val="none" w:sz="0" w:space="0" w:color="auto"/>
            <w:left w:val="none" w:sz="0" w:space="0" w:color="auto"/>
            <w:bottom w:val="none" w:sz="0" w:space="0" w:color="auto"/>
            <w:right w:val="none" w:sz="0" w:space="0" w:color="auto"/>
          </w:divBdr>
          <w:divsChild>
            <w:div w:id="1581713381">
              <w:marLeft w:val="0"/>
              <w:marRight w:val="0"/>
              <w:marTop w:val="0"/>
              <w:marBottom w:val="0"/>
              <w:divBdr>
                <w:top w:val="none" w:sz="0" w:space="0" w:color="auto"/>
                <w:left w:val="none" w:sz="0" w:space="0" w:color="auto"/>
                <w:bottom w:val="none" w:sz="0" w:space="0" w:color="auto"/>
                <w:right w:val="none" w:sz="0" w:space="0" w:color="auto"/>
              </w:divBdr>
            </w:div>
            <w:div w:id="1548300274">
              <w:marLeft w:val="0"/>
              <w:marRight w:val="240"/>
              <w:marTop w:val="0"/>
              <w:marBottom w:val="0"/>
              <w:divBdr>
                <w:top w:val="none" w:sz="0" w:space="0" w:color="auto"/>
                <w:left w:val="none" w:sz="0" w:space="0" w:color="auto"/>
                <w:bottom w:val="dotted" w:sz="6" w:space="2" w:color="CCCCCC"/>
                <w:right w:val="none" w:sz="0" w:space="0" w:color="auto"/>
              </w:divBdr>
            </w:div>
          </w:divsChild>
        </w:div>
        <w:div w:id="1545748628">
          <w:marLeft w:val="0"/>
          <w:marRight w:val="0"/>
          <w:marTop w:val="240"/>
          <w:marBottom w:val="0"/>
          <w:divBdr>
            <w:top w:val="none" w:sz="0" w:space="0" w:color="auto"/>
            <w:left w:val="none" w:sz="0" w:space="0" w:color="auto"/>
            <w:bottom w:val="none" w:sz="0" w:space="0" w:color="auto"/>
            <w:right w:val="none" w:sz="0" w:space="0" w:color="auto"/>
          </w:divBdr>
          <w:divsChild>
            <w:div w:id="166678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49694">
      <w:bodyDiv w:val="1"/>
      <w:marLeft w:val="0"/>
      <w:marRight w:val="0"/>
      <w:marTop w:val="0"/>
      <w:marBottom w:val="0"/>
      <w:divBdr>
        <w:top w:val="none" w:sz="0" w:space="0" w:color="auto"/>
        <w:left w:val="none" w:sz="0" w:space="0" w:color="auto"/>
        <w:bottom w:val="none" w:sz="0" w:space="0" w:color="auto"/>
        <w:right w:val="none" w:sz="0" w:space="0" w:color="auto"/>
      </w:divBdr>
    </w:div>
    <w:div w:id="731394310">
      <w:bodyDiv w:val="1"/>
      <w:marLeft w:val="0"/>
      <w:marRight w:val="0"/>
      <w:marTop w:val="0"/>
      <w:marBottom w:val="0"/>
      <w:divBdr>
        <w:top w:val="none" w:sz="0" w:space="0" w:color="auto"/>
        <w:left w:val="none" w:sz="0" w:space="0" w:color="auto"/>
        <w:bottom w:val="none" w:sz="0" w:space="0" w:color="auto"/>
        <w:right w:val="none" w:sz="0" w:space="0" w:color="auto"/>
      </w:divBdr>
    </w:div>
    <w:div w:id="1289049128">
      <w:bodyDiv w:val="1"/>
      <w:marLeft w:val="0"/>
      <w:marRight w:val="0"/>
      <w:marTop w:val="0"/>
      <w:marBottom w:val="0"/>
      <w:divBdr>
        <w:top w:val="none" w:sz="0" w:space="0" w:color="auto"/>
        <w:left w:val="none" w:sz="0" w:space="0" w:color="auto"/>
        <w:bottom w:val="none" w:sz="0" w:space="0" w:color="auto"/>
        <w:right w:val="none" w:sz="0" w:space="0" w:color="auto"/>
      </w:divBdr>
    </w:div>
    <w:div w:id="1301422278">
      <w:bodyDiv w:val="1"/>
      <w:marLeft w:val="0"/>
      <w:marRight w:val="0"/>
      <w:marTop w:val="0"/>
      <w:marBottom w:val="0"/>
      <w:divBdr>
        <w:top w:val="none" w:sz="0" w:space="0" w:color="auto"/>
        <w:left w:val="none" w:sz="0" w:space="0" w:color="auto"/>
        <w:bottom w:val="none" w:sz="0" w:space="0" w:color="auto"/>
        <w:right w:val="none" w:sz="0" w:space="0" w:color="auto"/>
      </w:divBdr>
    </w:div>
    <w:div w:id="1686323314">
      <w:bodyDiv w:val="1"/>
      <w:marLeft w:val="0"/>
      <w:marRight w:val="0"/>
      <w:marTop w:val="0"/>
      <w:marBottom w:val="0"/>
      <w:divBdr>
        <w:top w:val="none" w:sz="0" w:space="0" w:color="auto"/>
        <w:left w:val="none" w:sz="0" w:space="0" w:color="auto"/>
        <w:bottom w:val="none" w:sz="0" w:space="0" w:color="auto"/>
        <w:right w:val="none" w:sz="0" w:space="0" w:color="auto"/>
      </w:divBdr>
    </w:div>
    <w:div w:id="1803309023">
      <w:bodyDiv w:val="1"/>
      <w:marLeft w:val="0"/>
      <w:marRight w:val="0"/>
      <w:marTop w:val="0"/>
      <w:marBottom w:val="0"/>
      <w:divBdr>
        <w:top w:val="none" w:sz="0" w:space="0" w:color="auto"/>
        <w:left w:val="none" w:sz="0" w:space="0" w:color="auto"/>
        <w:bottom w:val="none" w:sz="0" w:space="0" w:color="auto"/>
        <w:right w:val="none" w:sz="0" w:space="0" w:color="auto"/>
      </w:divBdr>
    </w:div>
    <w:div w:id="1862622620">
      <w:bodyDiv w:val="1"/>
      <w:marLeft w:val="0"/>
      <w:marRight w:val="0"/>
      <w:marTop w:val="0"/>
      <w:marBottom w:val="0"/>
      <w:divBdr>
        <w:top w:val="none" w:sz="0" w:space="0" w:color="auto"/>
        <w:left w:val="none" w:sz="0" w:space="0" w:color="auto"/>
        <w:bottom w:val="none" w:sz="0" w:space="0" w:color="auto"/>
        <w:right w:val="none" w:sz="0" w:space="0" w:color="auto"/>
      </w:divBdr>
    </w:div>
    <w:div w:id="2026900418">
      <w:bodyDiv w:val="1"/>
      <w:marLeft w:val="0"/>
      <w:marRight w:val="0"/>
      <w:marTop w:val="0"/>
      <w:marBottom w:val="0"/>
      <w:divBdr>
        <w:top w:val="none" w:sz="0" w:space="0" w:color="auto"/>
        <w:left w:val="none" w:sz="0" w:space="0" w:color="auto"/>
        <w:bottom w:val="none" w:sz="0" w:space="0" w:color="auto"/>
        <w:right w:val="none" w:sz="0" w:space="0" w:color="auto"/>
      </w:divBdr>
    </w:div>
    <w:div w:id="2037777407">
      <w:bodyDiv w:val="1"/>
      <w:marLeft w:val="0"/>
      <w:marRight w:val="0"/>
      <w:marTop w:val="0"/>
      <w:marBottom w:val="0"/>
      <w:divBdr>
        <w:top w:val="none" w:sz="0" w:space="0" w:color="auto"/>
        <w:left w:val="none" w:sz="0" w:space="0" w:color="auto"/>
        <w:bottom w:val="none" w:sz="0" w:space="0" w:color="auto"/>
        <w:right w:val="none" w:sz="0" w:space="0" w:color="auto"/>
      </w:divBdr>
      <w:divsChild>
        <w:div w:id="1582829896">
          <w:marLeft w:val="0"/>
          <w:marRight w:val="0"/>
          <w:marTop w:val="240"/>
          <w:marBottom w:val="0"/>
          <w:divBdr>
            <w:top w:val="none" w:sz="0" w:space="0" w:color="auto"/>
            <w:left w:val="none" w:sz="0" w:space="0" w:color="auto"/>
            <w:bottom w:val="none" w:sz="0" w:space="0" w:color="auto"/>
            <w:right w:val="none" w:sz="0" w:space="0" w:color="auto"/>
          </w:divBdr>
        </w:div>
        <w:div w:id="1906641797">
          <w:marLeft w:val="0"/>
          <w:marRight w:val="0"/>
          <w:marTop w:val="120"/>
          <w:marBottom w:val="0"/>
          <w:divBdr>
            <w:top w:val="none" w:sz="0" w:space="0" w:color="auto"/>
            <w:left w:val="none" w:sz="0" w:space="0" w:color="auto"/>
            <w:bottom w:val="none" w:sz="0" w:space="0" w:color="auto"/>
            <w:right w:val="none" w:sz="0" w:space="0" w:color="auto"/>
          </w:divBdr>
        </w:div>
        <w:div w:id="1815757941">
          <w:marLeft w:val="0"/>
          <w:marRight w:val="0"/>
          <w:marTop w:val="120"/>
          <w:marBottom w:val="0"/>
          <w:divBdr>
            <w:top w:val="none" w:sz="0" w:space="0" w:color="auto"/>
            <w:left w:val="none" w:sz="0" w:space="0" w:color="auto"/>
            <w:bottom w:val="none" w:sz="0" w:space="0" w:color="auto"/>
            <w:right w:val="none" w:sz="0" w:space="0" w:color="auto"/>
          </w:divBdr>
        </w:div>
        <w:div w:id="1609507862">
          <w:marLeft w:val="0"/>
          <w:marRight w:val="0"/>
          <w:marTop w:val="120"/>
          <w:marBottom w:val="0"/>
          <w:divBdr>
            <w:top w:val="none" w:sz="0" w:space="0" w:color="auto"/>
            <w:left w:val="none" w:sz="0" w:space="0" w:color="auto"/>
            <w:bottom w:val="none" w:sz="0" w:space="0" w:color="auto"/>
            <w:right w:val="none" w:sz="0" w:space="0" w:color="auto"/>
          </w:divBdr>
        </w:div>
      </w:divsChild>
    </w:div>
    <w:div w:id="2096853853">
      <w:bodyDiv w:val="1"/>
      <w:marLeft w:val="0"/>
      <w:marRight w:val="0"/>
      <w:marTop w:val="0"/>
      <w:marBottom w:val="0"/>
      <w:divBdr>
        <w:top w:val="none" w:sz="0" w:space="0" w:color="auto"/>
        <w:left w:val="none" w:sz="0" w:space="0" w:color="auto"/>
        <w:bottom w:val="none" w:sz="0" w:space="0" w:color="auto"/>
        <w:right w:val="none" w:sz="0" w:space="0" w:color="auto"/>
      </w:divBdr>
      <w:divsChild>
        <w:div w:id="761485303">
          <w:marLeft w:val="0"/>
          <w:marRight w:val="0"/>
          <w:marTop w:val="240"/>
          <w:marBottom w:val="0"/>
          <w:divBdr>
            <w:top w:val="none" w:sz="0" w:space="0" w:color="auto"/>
            <w:left w:val="none" w:sz="0" w:space="0" w:color="auto"/>
            <w:bottom w:val="none" w:sz="0" w:space="0" w:color="auto"/>
            <w:right w:val="none" w:sz="0" w:space="0" w:color="auto"/>
          </w:divBdr>
          <w:divsChild>
            <w:div w:id="909585632">
              <w:marLeft w:val="0"/>
              <w:marRight w:val="0"/>
              <w:marTop w:val="0"/>
              <w:marBottom w:val="0"/>
              <w:divBdr>
                <w:top w:val="none" w:sz="0" w:space="0" w:color="auto"/>
                <w:left w:val="none" w:sz="0" w:space="0" w:color="auto"/>
                <w:bottom w:val="none" w:sz="0" w:space="0" w:color="auto"/>
                <w:right w:val="none" w:sz="0" w:space="0" w:color="auto"/>
              </w:divBdr>
            </w:div>
            <w:div w:id="501971888">
              <w:marLeft w:val="0"/>
              <w:marRight w:val="240"/>
              <w:marTop w:val="0"/>
              <w:marBottom w:val="0"/>
              <w:divBdr>
                <w:top w:val="none" w:sz="0" w:space="0" w:color="auto"/>
                <w:left w:val="none" w:sz="0" w:space="0" w:color="auto"/>
                <w:bottom w:val="dotted" w:sz="6" w:space="2" w:color="CCCCCC"/>
                <w:right w:val="none" w:sz="0" w:space="0" w:color="auto"/>
              </w:divBdr>
            </w:div>
          </w:divsChild>
        </w:div>
        <w:div w:id="106237182">
          <w:marLeft w:val="0"/>
          <w:marRight w:val="0"/>
          <w:marTop w:val="240"/>
          <w:marBottom w:val="0"/>
          <w:divBdr>
            <w:top w:val="none" w:sz="0" w:space="0" w:color="auto"/>
            <w:left w:val="none" w:sz="0" w:space="0" w:color="auto"/>
            <w:bottom w:val="none" w:sz="0" w:space="0" w:color="auto"/>
            <w:right w:val="none" w:sz="0" w:space="0" w:color="auto"/>
          </w:divBdr>
          <w:divsChild>
            <w:div w:id="10463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header" Target="header2.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hyperlink" Target="mailto:abcurtis@uw.edu" TargetMode="External"/><Relationship Id="rId30" Type="http://schemas.openxmlformats.org/officeDocument/2006/relationships/header" Target="header4.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Foster Template">
      <a:dk1>
        <a:sysClr val="windowText" lastClr="000000"/>
      </a:dk1>
      <a:lt1>
        <a:sysClr val="window" lastClr="FFFFFF"/>
      </a:lt1>
      <a:dk2>
        <a:srgbClr val="372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EDBA140367F5E45A6479147AB01EE5C" ma:contentTypeVersion="2" ma:contentTypeDescription="Create a new document." ma:contentTypeScope="" ma:versionID="5fee9bbb1944408c4bc6a65b3c17b3ee">
  <xsd:schema xmlns:xsd="http://www.w3.org/2001/XMLSchema" xmlns:xs="http://www.w3.org/2001/XMLSchema" xmlns:p="http://schemas.microsoft.com/office/2006/metadata/properties" xmlns:ns2="0b14d42a-2987-47a9-a571-31f318bb7601" targetNamespace="http://schemas.microsoft.com/office/2006/metadata/properties" ma:root="true" ma:fieldsID="3d56cc5f60d242bd1e26cfb6de6d354a" ns2:_="">
    <xsd:import namespace="0b14d42a-2987-47a9-a571-31f318bb7601"/>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4d42a-2987-47a9-a571-31f318bb76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6A60EB-101A-4E56-BEB9-566D86A63B9D}">
  <ds:schemaRefs>
    <ds:schemaRef ds:uri="http://schemas.microsoft.com/sharepoint/v3/contenttype/forms"/>
  </ds:schemaRefs>
</ds:datastoreItem>
</file>

<file path=customXml/itemProps2.xml><?xml version="1.0" encoding="utf-8"?>
<ds:datastoreItem xmlns:ds="http://schemas.openxmlformats.org/officeDocument/2006/customXml" ds:itemID="{A7C33161-EB0D-480E-9A0C-B302F23F17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25A9CC-0A42-4A64-8B60-9B9BAE8566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4d42a-2987-47a9-a571-31f318bb76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5B644A-C588-441B-9DC7-38A69C311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8</Pages>
  <Words>2437</Words>
  <Characters>13894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Asher Curtis</dc:creator>
  <cp:lastModifiedBy>Asher Curtis</cp:lastModifiedBy>
  <cp:revision>11</cp:revision>
  <cp:lastPrinted>2017-09-21T21:18:00Z</cp:lastPrinted>
  <dcterms:created xsi:type="dcterms:W3CDTF">2017-09-22T18:15:00Z</dcterms:created>
  <dcterms:modified xsi:type="dcterms:W3CDTF">2017-09-27T17:33:00Z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0x010100CEDBA140367F5E45A6479147AB01EE5C</vt:lpwstr>
  </property>
</Properties>
</file>