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9A693" w14:textId="77777777" w:rsidR="00BA7107" w:rsidRPr="00836212" w:rsidRDefault="00BA7107">
      <w:pPr>
        <w:rPr>
          <w:rFonts w:ascii="Open Sans" w:hAnsi="Open Sans" w:cs="Open Sans"/>
        </w:rPr>
      </w:pPr>
      <w:bookmarkStart w:id="0" w:name="_Hlk494455277"/>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gridCol w:w="7501"/>
      </w:tblGrid>
      <w:tr w:rsidR="004E68EB" w:rsidRPr="00836212" w14:paraId="36973161" w14:textId="77777777" w:rsidTr="002F6B23">
        <w:trPr>
          <w:trHeight w:val="477"/>
        </w:trPr>
        <w:tc>
          <w:tcPr>
            <w:tcW w:w="10188" w:type="dxa"/>
            <w:gridSpan w:val="2"/>
            <w:tcBorders>
              <w:bottom w:val="single" w:sz="12" w:space="0" w:color="33006F"/>
            </w:tcBorders>
          </w:tcPr>
          <w:bookmarkEnd w:id="0"/>
          <w:p w14:paraId="29F8530F" w14:textId="1B43FC4A" w:rsidR="004E68EB" w:rsidRPr="00836212" w:rsidRDefault="00452BF8" w:rsidP="00596031">
            <w:pPr>
              <w:spacing w:line="240" w:lineRule="auto"/>
              <w:jc w:val="center"/>
              <w:rPr>
                <w:rFonts w:ascii="Open Sans" w:hAnsi="Open Sans" w:cs="Open Sans"/>
                <w:b/>
                <w:color w:val="000000" w:themeColor="text1"/>
                <w:sz w:val="24"/>
                <w:szCs w:val="24"/>
              </w:rPr>
            </w:pPr>
            <w:r>
              <w:rPr>
                <w:rFonts w:ascii="Open Sans" w:hAnsi="Open Sans" w:cs="Open Sans"/>
                <w:b/>
                <w:color w:val="33006F"/>
                <w:sz w:val="40"/>
                <w:szCs w:val="32"/>
              </w:rPr>
              <w:t>Bankruptcy Prediction</w:t>
            </w:r>
            <w:r w:rsidR="004E68EB" w:rsidRPr="00836212">
              <w:rPr>
                <w:rStyle w:val="EndnoteReference"/>
                <w:rFonts w:ascii="Open Sans" w:hAnsi="Open Sans" w:cs="Open Sans"/>
                <w:b/>
                <w:color w:val="33006F"/>
                <w:sz w:val="40"/>
                <w:szCs w:val="32"/>
              </w:rPr>
              <w:endnoteReference w:id="1"/>
            </w:r>
          </w:p>
        </w:tc>
      </w:tr>
      <w:tr w:rsidR="004E68EB" w:rsidRPr="00836212" w14:paraId="7606F4B1" w14:textId="77777777" w:rsidTr="002F6B23">
        <w:trPr>
          <w:trHeight w:val="477"/>
        </w:trPr>
        <w:tc>
          <w:tcPr>
            <w:tcW w:w="2687" w:type="dxa"/>
            <w:tcBorders>
              <w:top w:val="single" w:sz="12" w:space="0" w:color="33006F"/>
            </w:tcBorders>
          </w:tcPr>
          <w:p w14:paraId="614E224A" w14:textId="77777777" w:rsidR="004E68EB" w:rsidRPr="00836212" w:rsidRDefault="004E68EB" w:rsidP="00596031">
            <w:pPr>
              <w:spacing w:line="240" w:lineRule="auto"/>
              <w:jc w:val="center"/>
              <w:rPr>
                <w:rFonts w:ascii="Open Sans" w:hAnsi="Open Sans" w:cs="Open Sans"/>
                <w:b/>
              </w:rPr>
            </w:pPr>
          </w:p>
        </w:tc>
        <w:tc>
          <w:tcPr>
            <w:tcW w:w="7501" w:type="dxa"/>
            <w:tcBorders>
              <w:top w:val="single" w:sz="12" w:space="0" w:color="33006F"/>
            </w:tcBorders>
          </w:tcPr>
          <w:p w14:paraId="0D8658BD" w14:textId="77777777" w:rsidR="004E68EB" w:rsidRPr="00836212" w:rsidRDefault="004E68EB" w:rsidP="00596031">
            <w:pPr>
              <w:spacing w:line="240" w:lineRule="auto"/>
              <w:jc w:val="center"/>
              <w:rPr>
                <w:rFonts w:ascii="Open Sans" w:hAnsi="Open Sans" w:cs="Open Sans"/>
                <w:b/>
              </w:rPr>
            </w:pPr>
          </w:p>
        </w:tc>
      </w:tr>
      <w:tr w:rsidR="004E68EB" w:rsidRPr="00836212" w14:paraId="162510BD" w14:textId="77777777" w:rsidTr="002F6B23">
        <w:trPr>
          <w:trHeight w:val="477"/>
        </w:trPr>
        <w:tc>
          <w:tcPr>
            <w:tcW w:w="2687" w:type="dxa"/>
          </w:tcPr>
          <w:p w14:paraId="03E626B0" w14:textId="77777777" w:rsidR="004E68EB" w:rsidRPr="00836212" w:rsidRDefault="004E68EB" w:rsidP="002F6B23">
            <w:pPr>
              <w:spacing w:line="240" w:lineRule="auto"/>
              <w:rPr>
                <w:rFonts w:ascii="Open Sans" w:hAnsi="Open Sans" w:cs="Open Sans"/>
                <w:b/>
              </w:rPr>
            </w:pPr>
            <w:r w:rsidRPr="00836212">
              <w:rPr>
                <w:rFonts w:ascii="Open Sans" w:hAnsi="Open Sans" w:cs="Open Sans"/>
                <w:b/>
              </w:rPr>
              <w:t>Focus Companies:</w:t>
            </w:r>
          </w:p>
        </w:tc>
        <w:tc>
          <w:tcPr>
            <w:tcW w:w="7501" w:type="dxa"/>
          </w:tcPr>
          <w:p w14:paraId="2F66CF22" w14:textId="2974A9D7" w:rsidR="004E68EB" w:rsidRPr="00836212" w:rsidRDefault="00315951" w:rsidP="00744929">
            <w:pPr>
              <w:spacing w:line="240" w:lineRule="auto"/>
              <w:rPr>
                <w:rFonts w:ascii="Open Sans" w:hAnsi="Open Sans" w:cs="Open Sans"/>
              </w:rPr>
            </w:pPr>
            <w:r w:rsidRPr="00836212">
              <w:rPr>
                <w:rFonts w:ascii="Open Sans" w:hAnsi="Open Sans" w:cs="Open Sans"/>
              </w:rPr>
              <w:t>A hypothetical company; Facebook’s acquisition of WhatsApp</w:t>
            </w:r>
            <w:r w:rsidR="002D635A" w:rsidRPr="00836212">
              <w:rPr>
                <w:rFonts w:ascii="Open Sans" w:hAnsi="Open Sans" w:cs="Open Sans"/>
              </w:rPr>
              <w:t>; and all publicly traded companies</w:t>
            </w:r>
            <w:r w:rsidR="004E68EB" w:rsidRPr="00836212">
              <w:rPr>
                <w:rFonts w:ascii="Open Sans" w:hAnsi="Open Sans" w:cs="Open Sans"/>
              </w:rPr>
              <w:t>.</w:t>
            </w:r>
          </w:p>
        </w:tc>
      </w:tr>
      <w:tr w:rsidR="004E68EB" w:rsidRPr="00836212" w14:paraId="38F6B634" w14:textId="77777777" w:rsidTr="002F6B23">
        <w:trPr>
          <w:trHeight w:val="477"/>
        </w:trPr>
        <w:tc>
          <w:tcPr>
            <w:tcW w:w="2687" w:type="dxa"/>
            <w:tcBorders>
              <w:bottom w:val="nil"/>
            </w:tcBorders>
          </w:tcPr>
          <w:p w14:paraId="26FFDDC8" w14:textId="77777777" w:rsidR="004E68EB" w:rsidRPr="00836212" w:rsidRDefault="004E68EB" w:rsidP="002F6B23">
            <w:pPr>
              <w:spacing w:line="240" w:lineRule="auto"/>
              <w:rPr>
                <w:rFonts w:ascii="Open Sans" w:hAnsi="Open Sans" w:cs="Open Sans"/>
                <w:b/>
              </w:rPr>
            </w:pPr>
            <w:r w:rsidRPr="00836212">
              <w:rPr>
                <w:rFonts w:ascii="Open Sans" w:hAnsi="Open Sans" w:cs="Open Sans"/>
                <w:b/>
              </w:rPr>
              <w:t>Keywords:</w:t>
            </w:r>
          </w:p>
        </w:tc>
        <w:tc>
          <w:tcPr>
            <w:tcW w:w="7501" w:type="dxa"/>
            <w:tcBorders>
              <w:bottom w:val="nil"/>
            </w:tcBorders>
          </w:tcPr>
          <w:p w14:paraId="40EC0132" w14:textId="7B80B9D2" w:rsidR="004E68EB" w:rsidRPr="00836212" w:rsidRDefault="00315951" w:rsidP="002F6B23">
            <w:pPr>
              <w:spacing w:line="240" w:lineRule="auto"/>
              <w:rPr>
                <w:rFonts w:ascii="Open Sans" w:hAnsi="Open Sans" w:cs="Open Sans"/>
              </w:rPr>
            </w:pPr>
            <w:r w:rsidRPr="00836212">
              <w:rPr>
                <w:rFonts w:ascii="Open Sans" w:hAnsi="Open Sans" w:cs="Open Sans"/>
              </w:rPr>
              <w:t xml:space="preserve">Acquisitions; Intangibles; </w:t>
            </w:r>
            <w:r w:rsidR="00060D17" w:rsidRPr="00836212">
              <w:rPr>
                <w:rFonts w:ascii="Open Sans" w:hAnsi="Open Sans" w:cs="Open Sans"/>
              </w:rPr>
              <w:t>Value-in-use v value-in-exchange;</w:t>
            </w:r>
            <w:r w:rsidRPr="00836212">
              <w:rPr>
                <w:rFonts w:ascii="Open Sans" w:hAnsi="Open Sans" w:cs="Open Sans"/>
              </w:rPr>
              <w:t xml:space="preserve"> Goodwill</w:t>
            </w:r>
            <w:r w:rsidR="00060D17" w:rsidRPr="00836212">
              <w:rPr>
                <w:rFonts w:ascii="Open Sans" w:hAnsi="Open Sans" w:cs="Open Sans"/>
              </w:rPr>
              <w:t>; Technologies, Trends and tastes.</w:t>
            </w:r>
          </w:p>
        </w:tc>
      </w:tr>
    </w:tbl>
    <w:p w14:paraId="285005E9" w14:textId="77777777" w:rsidR="004E68EB" w:rsidRPr="00836212" w:rsidRDefault="004E68EB" w:rsidP="00F8742C">
      <w:pPr>
        <w:pStyle w:val="Heading1"/>
        <w:rPr>
          <w:rFonts w:ascii="Open Sans" w:hAnsi="Open Sans" w:cs="Open Sans"/>
          <w:smallCaps/>
          <w:color w:val="33006F"/>
        </w:rPr>
      </w:pPr>
      <w:bookmarkStart w:id="1" w:name="_Toc494529320"/>
      <w:r w:rsidRPr="00836212">
        <w:rPr>
          <w:rFonts w:ascii="Open Sans" w:hAnsi="Open Sans" w:cs="Open Sans"/>
          <w:smallCaps/>
          <w:color w:val="33006F"/>
        </w:rPr>
        <w:t>Introduction</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8"/>
      </w:tblGrid>
      <w:tr w:rsidR="004E68EB" w:rsidRPr="00836212" w14:paraId="0306DB54" w14:textId="77777777" w:rsidTr="00AB170C">
        <w:trPr>
          <w:trHeight w:val="2997"/>
        </w:trPr>
        <w:tc>
          <w:tcPr>
            <w:tcW w:w="5400" w:type="dxa"/>
          </w:tcPr>
          <w:p w14:paraId="20FF8FF1" w14:textId="379DF0A4" w:rsidR="004E68EB" w:rsidRPr="00836212" w:rsidRDefault="009A6962" w:rsidP="009A6962">
            <w:pPr>
              <w:spacing w:before="120" w:after="120" w:line="360" w:lineRule="auto"/>
              <w:jc w:val="both"/>
              <w:rPr>
                <w:rFonts w:ascii="Open Sans" w:hAnsi="Open Sans" w:cs="Open Sans"/>
              </w:rPr>
            </w:pPr>
            <w:r w:rsidRPr="00836212">
              <w:rPr>
                <w:rFonts w:ascii="Open Sans" w:hAnsi="Open Sans" w:cs="Open Sans"/>
                <w:sz w:val="20"/>
                <w:szCs w:val="20"/>
              </w:rPr>
              <w:t xml:space="preserve">In this case, we will discuss the business, measurement and audit risks associated with auditing the intangibles that arise due to business combinations (including mergers and acquisitions). The intangibles that typically arise during an acquisition can be grouped broadly into finite-lived identifiable intangibles, </w:t>
            </w:r>
            <w:r w:rsidR="0064536F" w:rsidRPr="00836212">
              <w:rPr>
                <w:rFonts w:ascii="Open Sans" w:hAnsi="Open Sans" w:cs="Open Sans"/>
                <w:sz w:val="20"/>
                <w:szCs w:val="20"/>
              </w:rPr>
              <w:t>and indefinitely lived intangibles, which include the unidentified intangible asset known as “goodwill.”</w:t>
            </w:r>
          </w:p>
        </w:tc>
        <w:tc>
          <w:tcPr>
            <w:tcW w:w="4248" w:type="dxa"/>
            <w:vAlign w:val="center"/>
          </w:tcPr>
          <w:p w14:paraId="4A62C369" w14:textId="717D8227" w:rsidR="00060D17" w:rsidRPr="00836212" w:rsidRDefault="004E68EB" w:rsidP="00EC4EFA">
            <w:pPr>
              <w:pStyle w:val="Heading1"/>
              <w:spacing w:before="0"/>
              <w:jc w:val="center"/>
              <w:rPr>
                <w:rFonts w:ascii="Open Sans" w:hAnsi="Open Sans" w:cs="Open Sans"/>
                <w:smallCaps/>
                <w:color w:val="33006F"/>
              </w:rPr>
            </w:pPr>
            <w:bookmarkStart w:id="2" w:name="_Toc494529321"/>
            <w:r w:rsidRPr="00836212">
              <w:rPr>
                <w:rFonts w:ascii="Open Sans" w:hAnsi="Open Sans" w:cs="Open Sans"/>
                <w:smallCaps/>
                <w:color w:val="33006F"/>
              </w:rPr>
              <w:t>“</w:t>
            </w:r>
            <w:bookmarkEnd w:id="2"/>
            <w:r w:rsidR="00B96F8D">
              <w:rPr>
                <w:rFonts w:ascii="Open Sans" w:hAnsi="Open Sans" w:cs="Open Sans"/>
                <w:smallCaps/>
                <w:color w:val="33006F"/>
              </w:rPr>
              <w:t xml:space="preserve">How could our accounting firm not notice </w:t>
            </w:r>
            <w:r w:rsidR="00915228">
              <w:rPr>
                <w:rFonts w:ascii="Open Sans" w:hAnsi="Open Sans" w:cs="Open Sans"/>
                <w:smallCaps/>
                <w:color w:val="33006F"/>
              </w:rPr>
              <w:t>that we were heading for bankruptcy?</w:t>
            </w:r>
            <w:r w:rsidRPr="00836212">
              <w:rPr>
                <w:rFonts w:ascii="Open Sans" w:hAnsi="Open Sans" w:cs="Open Sans"/>
                <w:smallCaps/>
                <w:color w:val="33006F"/>
              </w:rPr>
              <w:t>”</w:t>
            </w:r>
          </w:p>
          <w:p w14:paraId="0741D14B" w14:textId="77C61EBA" w:rsidR="004E68EB" w:rsidRPr="00836212" w:rsidRDefault="00915228" w:rsidP="00EC4EFA">
            <w:pPr>
              <w:pStyle w:val="Heading1"/>
              <w:spacing w:before="0"/>
              <w:jc w:val="center"/>
              <w:rPr>
                <w:rFonts w:ascii="Open Sans" w:hAnsi="Open Sans" w:cs="Open Sans"/>
                <w:b w:val="0"/>
              </w:rPr>
            </w:pPr>
            <w:r>
              <w:rPr>
                <w:rFonts w:ascii="Open Sans" w:hAnsi="Open Sans" w:cs="Open Sans"/>
                <w:smallCaps/>
                <w:color w:val="33006F"/>
              </w:rPr>
              <w:t>“Maybe there was a conflict of interest with their t-shirt designing business” Dilbert &amp; the boss, 1</w:t>
            </w:r>
            <w:r w:rsidR="00060D17" w:rsidRPr="00836212">
              <w:rPr>
                <w:rFonts w:ascii="Open Sans" w:hAnsi="Open Sans" w:cs="Open Sans"/>
                <w:smallCaps/>
                <w:color w:val="33006F"/>
              </w:rPr>
              <w:t>9</w:t>
            </w:r>
            <w:r w:rsidR="00060D17" w:rsidRPr="00836212">
              <w:rPr>
                <w:rFonts w:ascii="Open Sans" w:hAnsi="Open Sans" w:cs="Open Sans"/>
                <w:smallCaps/>
                <w:color w:val="33006F"/>
                <w:vertAlign w:val="superscript"/>
              </w:rPr>
              <w:t>th</w:t>
            </w:r>
            <w:r w:rsidR="00060D17" w:rsidRPr="00836212">
              <w:rPr>
                <w:rFonts w:ascii="Open Sans" w:hAnsi="Open Sans" w:cs="Open Sans"/>
                <w:smallCaps/>
                <w:color w:val="33006F"/>
              </w:rPr>
              <w:t xml:space="preserve"> </w:t>
            </w:r>
            <w:r>
              <w:rPr>
                <w:rFonts w:ascii="Open Sans" w:hAnsi="Open Sans" w:cs="Open Sans"/>
                <w:smallCaps/>
                <w:color w:val="33006F"/>
              </w:rPr>
              <w:t>July</w:t>
            </w:r>
            <w:r w:rsidR="00060D17" w:rsidRPr="00836212">
              <w:rPr>
                <w:rFonts w:ascii="Open Sans" w:hAnsi="Open Sans" w:cs="Open Sans"/>
                <w:smallCaps/>
                <w:color w:val="33006F"/>
              </w:rPr>
              <w:t xml:space="preserve"> </w:t>
            </w:r>
            <w:r>
              <w:rPr>
                <w:rFonts w:ascii="Open Sans" w:hAnsi="Open Sans" w:cs="Open Sans"/>
                <w:smallCaps/>
                <w:color w:val="33006F"/>
              </w:rPr>
              <w:t>2002</w:t>
            </w:r>
            <w:r w:rsidR="00060D17" w:rsidRPr="00836212">
              <w:rPr>
                <w:rFonts w:ascii="Open Sans" w:hAnsi="Open Sans" w:cs="Open Sans"/>
                <w:smallCaps/>
                <w:color w:val="33006F"/>
              </w:rPr>
              <w:t xml:space="preserve">. </w:t>
            </w:r>
          </w:p>
        </w:tc>
      </w:tr>
    </w:tbl>
    <w:p w14:paraId="4D5B98AD" w14:textId="7D9FA85F" w:rsidR="00974968" w:rsidRPr="00836212" w:rsidRDefault="004E68EB" w:rsidP="00974968">
      <w:pPr>
        <w:spacing w:before="120" w:after="120" w:line="360" w:lineRule="auto"/>
        <w:jc w:val="both"/>
        <w:rPr>
          <w:rFonts w:ascii="Open Sans" w:hAnsi="Open Sans" w:cs="Open Sans"/>
          <w:sz w:val="20"/>
          <w:szCs w:val="20"/>
        </w:rPr>
      </w:pPr>
      <w:r w:rsidRPr="00836212">
        <w:rPr>
          <w:rFonts w:ascii="Open Sans" w:hAnsi="Open Sans" w:cs="Open Sans"/>
          <w:sz w:val="20"/>
          <w:szCs w:val="20"/>
        </w:rPr>
        <w:t>This case covers four interrelated topics</w:t>
      </w:r>
      <w:r w:rsidR="00053D04" w:rsidRPr="00836212">
        <w:rPr>
          <w:rFonts w:ascii="Open Sans" w:hAnsi="Open Sans" w:cs="Open Sans"/>
          <w:sz w:val="20"/>
          <w:szCs w:val="20"/>
        </w:rPr>
        <w:t>. First, from a financial statement analysis perspective</w:t>
      </w:r>
      <w:r w:rsidRPr="00836212">
        <w:rPr>
          <w:rFonts w:ascii="Open Sans" w:hAnsi="Open Sans" w:cs="Open Sans"/>
          <w:sz w:val="20"/>
          <w:szCs w:val="20"/>
        </w:rPr>
        <w:t xml:space="preserve">: (i) </w:t>
      </w:r>
      <w:r w:rsidR="009A6962" w:rsidRPr="00836212">
        <w:rPr>
          <w:rFonts w:ascii="Open Sans" w:hAnsi="Open Sans" w:cs="Open Sans"/>
          <w:sz w:val="20"/>
          <w:szCs w:val="20"/>
        </w:rPr>
        <w:t>the allocation of acquisition prices paid to intangible assets</w:t>
      </w:r>
      <w:r w:rsidRPr="00836212">
        <w:rPr>
          <w:rFonts w:ascii="Open Sans" w:hAnsi="Open Sans" w:cs="Open Sans"/>
          <w:sz w:val="20"/>
          <w:szCs w:val="20"/>
        </w:rPr>
        <w:t xml:space="preserve">; </w:t>
      </w:r>
      <w:r w:rsidR="00053D04" w:rsidRPr="00836212">
        <w:rPr>
          <w:rFonts w:ascii="Open Sans" w:hAnsi="Open Sans" w:cs="Open Sans"/>
          <w:sz w:val="20"/>
          <w:szCs w:val="20"/>
        </w:rPr>
        <w:t xml:space="preserve">and </w:t>
      </w:r>
      <w:r w:rsidRPr="00836212">
        <w:rPr>
          <w:rFonts w:ascii="Open Sans" w:hAnsi="Open Sans" w:cs="Open Sans"/>
          <w:sz w:val="20"/>
          <w:szCs w:val="20"/>
        </w:rPr>
        <w:t>(ii)</w:t>
      </w:r>
      <w:r w:rsidR="009A6962" w:rsidRPr="00836212">
        <w:rPr>
          <w:rFonts w:ascii="Open Sans" w:hAnsi="Open Sans" w:cs="Open Sans"/>
          <w:sz w:val="20"/>
          <w:szCs w:val="20"/>
        </w:rPr>
        <w:t xml:space="preserve"> how market prices reflect intangible assets</w:t>
      </w:r>
      <w:r w:rsidR="00053D04" w:rsidRPr="00836212">
        <w:rPr>
          <w:rFonts w:ascii="Open Sans" w:hAnsi="Open Sans" w:cs="Open Sans"/>
          <w:sz w:val="20"/>
          <w:szCs w:val="20"/>
        </w:rPr>
        <w:t>. From an audit perspective:</w:t>
      </w:r>
      <w:r w:rsidRPr="00836212">
        <w:rPr>
          <w:rFonts w:ascii="Open Sans" w:hAnsi="Open Sans" w:cs="Open Sans"/>
          <w:sz w:val="20"/>
          <w:szCs w:val="20"/>
        </w:rPr>
        <w:t xml:space="preserve"> (iii) </w:t>
      </w:r>
      <w:r w:rsidR="009A6962" w:rsidRPr="00836212">
        <w:rPr>
          <w:rFonts w:ascii="Open Sans" w:hAnsi="Open Sans" w:cs="Open Sans"/>
          <w:sz w:val="20"/>
          <w:szCs w:val="20"/>
        </w:rPr>
        <w:t>understanding the link between market prices (relative to book values) and impairment risk</w:t>
      </w:r>
      <w:r w:rsidRPr="00836212">
        <w:rPr>
          <w:rFonts w:ascii="Open Sans" w:hAnsi="Open Sans" w:cs="Open Sans"/>
          <w:sz w:val="20"/>
          <w:szCs w:val="20"/>
        </w:rPr>
        <w:t xml:space="preserve">; and (iv) </w:t>
      </w:r>
      <w:r w:rsidR="009A6962" w:rsidRPr="00836212">
        <w:rPr>
          <w:rFonts w:ascii="Open Sans" w:hAnsi="Open Sans" w:cs="Open Sans"/>
          <w:sz w:val="20"/>
          <w:szCs w:val="20"/>
        </w:rPr>
        <w:t>the auditor’s use of specialists</w:t>
      </w:r>
      <w:r w:rsidRPr="00836212">
        <w:rPr>
          <w:rFonts w:ascii="Open Sans" w:hAnsi="Open Sans" w:cs="Open Sans"/>
          <w:sz w:val="20"/>
          <w:szCs w:val="20"/>
        </w:rPr>
        <w:t>.</w:t>
      </w:r>
    </w:p>
    <w:p w14:paraId="3358640E" w14:textId="77777777" w:rsidR="00974968" w:rsidRPr="00836212" w:rsidRDefault="00974968" w:rsidP="00974968">
      <w:pPr>
        <w:pStyle w:val="Heading1"/>
        <w:rPr>
          <w:rFonts w:ascii="Open Sans" w:hAnsi="Open Sans" w:cs="Open Sans"/>
          <w:smallCaps/>
          <w:color w:val="33006F"/>
        </w:rPr>
      </w:pPr>
      <w:bookmarkStart w:id="3" w:name="_Toc471463071"/>
      <w:r w:rsidRPr="00836212">
        <w:rPr>
          <w:rFonts w:ascii="Open Sans" w:hAnsi="Open Sans" w:cs="Open Sans"/>
          <w:smallCaps/>
          <w:color w:val="33006F"/>
        </w:rPr>
        <w:t>Background</w:t>
      </w:r>
      <w:bookmarkEnd w:id="3"/>
    </w:p>
    <w:p w14:paraId="5C16D063" w14:textId="33F6C62A" w:rsidR="00023A98" w:rsidRPr="00836212" w:rsidRDefault="00023A98" w:rsidP="00023A98">
      <w:pPr>
        <w:keepNext/>
        <w:keepLines/>
        <w:spacing w:before="200"/>
        <w:outlineLvl w:val="1"/>
        <w:rPr>
          <w:rFonts w:ascii="Open Sans" w:eastAsia="Times New Roman" w:hAnsi="Open Sans" w:cs="Open Sans"/>
          <w:b/>
          <w:bCs/>
          <w:i/>
          <w:color w:val="33006F"/>
          <w:sz w:val="26"/>
          <w:szCs w:val="26"/>
        </w:rPr>
      </w:pPr>
      <w:r w:rsidRPr="00836212">
        <w:rPr>
          <w:rFonts w:ascii="Open Sans" w:hAnsi="Open Sans" w:cs="Open Sans"/>
          <w:b/>
          <w:color w:val="33006F"/>
          <w:sz w:val="20"/>
          <w:szCs w:val="20"/>
        </w:rPr>
        <w:t>Valuation theory</w:t>
      </w:r>
    </w:p>
    <w:p w14:paraId="1E2C7CA5" w14:textId="1CE0999F" w:rsidR="006110A3" w:rsidRDefault="009A6962" w:rsidP="00EC4EFA">
      <w:pPr>
        <w:spacing w:before="120" w:after="120" w:line="360" w:lineRule="auto"/>
        <w:jc w:val="both"/>
        <w:rPr>
          <w:rFonts w:ascii="Open Sans" w:hAnsi="Open Sans" w:cs="Open Sans"/>
          <w:sz w:val="20"/>
        </w:rPr>
      </w:pPr>
      <w:r w:rsidRPr="00836212">
        <w:rPr>
          <w:rFonts w:ascii="Open Sans" w:hAnsi="Open Sans" w:cs="Open Sans"/>
          <w:sz w:val="20"/>
        </w:rPr>
        <w:t xml:space="preserve">Ultimately, the value of any asset, tangible or intangible, is the present value of future cash-flows that asset can generate. </w:t>
      </w:r>
      <w:r w:rsidR="00870E92" w:rsidRPr="00836212">
        <w:rPr>
          <w:rFonts w:ascii="Open Sans" w:hAnsi="Open Sans" w:cs="Open Sans"/>
          <w:sz w:val="20"/>
        </w:rPr>
        <w:t xml:space="preserve">In most cases, however, an asset will generate different future cash flows based on how it is used. Thinking that an assets value can change depending on its use gives rise to the term </w:t>
      </w:r>
      <w:r w:rsidR="00870E92" w:rsidRPr="00836212">
        <w:rPr>
          <w:rFonts w:ascii="Open Sans" w:hAnsi="Open Sans" w:cs="Open Sans"/>
          <w:b/>
          <w:sz w:val="20"/>
        </w:rPr>
        <w:t>value-</w:t>
      </w:r>
      <w:r w:rsidR="00870E92" w:rsidRPr="00836212">
        <w:rPr>
          <w:rFonts w:ascii="Open Sans" w:hAnsi="Open Sans" w:cs="Open Sans"/>
          <w:b/>
          <w:sz w:val="20"/>
        </w:rPr>
        <w:lastRenderedPageBreak/>
        <w:t>in-use</w:t>
      </w:r>
      <w:r w:rsidR="00870E92" w:rsidRPr="00836212">
        <w:rPr>
          <w:rFonts w:ascii="Open Sans" w:hAnsi="Open Sans" w:cs="Open Sans"/>
          <w:sz w:val="20"/>
        </w:rPr>
        <w:t xml:space="preserve">. The value-in-use of an asset is generally considered as company-specific and will usually exceed the assets’ </w:t>
      </w:r>
      <w:r w:rsidR="00870E92" w:rsidRPr="00836212">
        <w:rPr>
          <w:rFonts w:ascii="Open Sans" w:hAnsi="Open Sans" w:cs="Open Sans"/>
          <w:b/>
          <w:sz w:val="20"/>
        </w:rPr>
        <w:t>value-in-exchange</w:t>
      </w:r>
      <w:r w:rsidR="00AE287B" w:rsidRPr="00836212">
        <w:rPr>
          <w:rFonts w:ascii="Open Sans" w:hAnsi="Open Sans" w:cs="Open Sans"/>
          <w:sz w:val="20"/>
        </w:rPr>
        <w:t xml:space="preserve">, which is a market driven value that reflects what the company could exchange </w:t>
      </w:r>
      <w:r w:rsidR="00023A98" w:rsidRPr="00836212">
        <w:rPr>
          <w:rFonts w:ascii="Open Sans" w:hAnsi="Open Sans" w:cs="Open Sans"/>
          <w:sz w:val="20"/>
        </w:rPr>
        <w:t>an</w:t>
      </w:r>
      <w:r w:rsidR="00AE287B" w:rsidRPr="00836212">
        <w:rPr>
          <w:rFonts w:ascii="Open Sans" w:hAnsi="Open Sans" w:cs="Open Sans"/>
          <w:sz w:val="20"/>
        </w:rPr>
        <w:t xml:space="preserve"> asset for on the open market.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3"/>
      </w:tblGrid>
      <w:tr w:rsidR="006D37A5" w14:paraId="09A83DF7" w14:textId="77777777" w:rsidTr="00DC0336">
        <w:trPr>
          <w:trHeight w:val="3282"/>
        </w:trPr>
        <w:tc>
          <w:tcPr>
            <w:tcW w:w="5670" w:type="dxa"/>
            <w:tcBorders>
              <w:right w:val="single" w:sz="12" w:space="0" w:color="auto"/>
            </w:tcBorders>
          </w:tcPr>
          <w:p w14:paraId="7F5231B1" w14:textId="275C4514" w:rsidR="006D37A5" w:rsidRDefault="006D37A5" w:rsidP="00DC0336">
            <w:pPr>
              <w:spacing w:before="120" w:line="360" w:lineRule="auto"/>
              <w:jc w:val="both"/>
              <w:rPr>
                <w:rFonts w:ascii="Open Sans" w:hAnsi="Open Sans" w:cs="Open Sans"/>
                <w:sz w:val="20"/>
                <w:szCs w:val="20"/>
              </w:rPr>
            </w:pPr>
            <w:r w:rsidRPr="00836212">
              <w:rPr>
                <w:rFonts w:ascii="Open Sans" w:hAnsi="Open Sans" w:cs="Open Sans"/>
                <w:sz w:val="20"/>
              </w:rPr>
              <w:t xml:space="preserve">In general, assets are recorded on the balance sheet at a historical cost, which is a historical value-in-exchange for the individual asset. The objective of financial reporting is not to provide estimates of the value-in-use </w:t>
            </w:r>
            <w:r w:rsidRPr="00836212">
              <w:rPr>
                <w:rFonts w:ascii="Open Sans" w:hAnsi="Open Sans" w:cs="Open Sans"/>
                <w:sz w:val="20"/>
                <w:szCs w:val="20"/>
              </w:rPr>
              <w:t xml:space="preserve">of assets, which depends on how the assets are being used and is often dependent on the use of an asset with other assets (seldom is an asset used on a standalone basis to generate cash-flows). </w:t>
            </w:r>
          </w:p>
        </w:tc>
        <w:tc>
          <w:tcPr>
            <w:tcW w:w="3963" w:type="dxa"/>
            <w:tcBorders>
              <w:top w:val="single" w:sz="12" w:space="0" w:color="auto"/>
              <w:left w:val="single" w:sz="12" w:space="0" w:color="auto"/>
              <w:bottom w:val="single" w:sz="12" w:space="0" w:color="auto"/>
              <w:right w:val="single" w:sz="12" w:space="0" w:color="auto"/>
            </w:tcBorders>
          </w:tcPr>
          <w:p w14:paraId="36F1326A" w14:textId="77777777" w:rsidR="006D37A5" w:rsidRDefault="006D37A5" w:rsidP="00DC0336">
            <w:pPr>
              <w:spacing w:before="120" w:after="120" w:line="240" w:lineRule="auto"/>
              <w:jc w:val="both"/>
              <w:rPr>
                <w:rFonts w:ascii="Open Sans" w:hAnsi="Open Sans" w:cs="Open Sans"/>
                <w:color w:val="37246A" w:themeColor="text2"/>
                <w:sz w:val="18"/>
                <w:szCs w:val="20"/>
              </w:rPr>
            </w:pPr>
            <w:r>
              <w:rPr>
                <w:rFonts w:ascii="Open Sans" w:hAnsi="Open Sans" w:cs="Open Sans"/>
                <w:noProof/>
                <w:color w:val="37246A" w:themeColor="text2"/>
                <w:sz w:val="18"/>
                <w:szCs w:val="20"/>
              </w:rPr>
              <w:drawing>
                <wp:anchor distT="0" distB="0" distL="114300" distR="114300" simplePos="0" relativeHeight="251658240" behindDoc="0" locked="0" layoutInCell="1" allowOverlap="1" wp14:anchorId="7CD7FD98" wp14:editId="3DF3E712">
                  <wp:simplePos x="0" y="0"/>
                  <wp:positionH relativeFrom="column">
                    <wp:posOffset>28575</wp:posOffset>
                  </wp:positionH>
                  <wp:positionV relativeFrom="paragraph">
                    <wp:posOffset>66040</wp:posOffset>
                  </wp:positionV>
                  <wp:extent cx="457200" cy="457200"/>
                  <wp:effectExtent l="0" t="0" r="0" b="0"/>
                  <wp:wrapSquare wrapText="bothSides"/>
                  <wp:docPr id="6" name="Graphic 6" descr="Open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rovider=MicrosoftIcon&amp;fileName=OpenBook.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57200" cy="457200"/>
                          </a:xfrm>
                          <a:prstGeom prst="rect">
                            <a:avLst/>
                          </a:prstGeom>
                        </pic:spPr>
                      </pic:pic>
                    </a:graphicData>
                  </a:graphic>
                </wp:anchor>
              </w:drawing>
            </w:r>
            <w:r>
              <w:rPr>
                <w:rFonts w:ascii="Open Sans" w:hAnsi="Open Sans" w:cs="Open Sans"/>
                <w:color w:val="37246A" w:themeColor="text2"/>
                <w:sz w:val="18"/>
                <w:szCs w:val="20"/>
              </w:rPr>
              <w:t>The distinction between value-in-use and value-in-exchange has been around for a while… Adam Smith is cited with stating that “</w:t>
            </w:r>
            <w:r w:rsidRPr="006D37A5">
              <w:rPr>
                <w:rFonts w:ascii="Open Sans" w:hAnsi="Open Sans" w:cs="Open Sans"/>
                <w:color w:val="37246A" w:themeColor="text2"/>
                <w:sz w:val="18"/>
                <w:szCs w:val="20"/>
              </w:rPr>
              <w:t>The things which have greatest value-in-use have frequently little or no value-in-exchange; and, on the contrary, those which have the greatest value-in-exchange have frequently little or no value-in-use.”</w:t>
            </w:r>
            <w:r>
              <w:rPr>
                <w:rFonts w:ascii="Open Sans" w:hAnsi="Open Sans" w:cs="Open Sans"/>
                <w:color w:val="37246A" w:themeColor="text2"/>
                <w:sz w:val="18"/>
                <w:szCs w:val="20"/>
              </w:rPr>
              <w:t xml:space="preserve"> </w:t>
            </w:r>
          </w:p>
          <w:p w14:paraId="0F4949FE" w14:textId="269E4A30" w:rsidR="006D37A5" w:rsidRPr="00BB1C07" w:rsidRDefault="006D37A5" w:rsidP="00DC0336">
            <w:pPr>
              <w:spacing w:before="120" w:after="120" w:line="240" w:lineRule="auto"/>
              <w:jc w:val="both"/>
              <w:rPr>
                <w:rFonts w:ascii="Open Sans" w:hAnsi="Open Sans" w:cs="Open Sans"/>
                <w:color w:val="37246A" w:themeColor="text2"/>
                <w:sz w:val="18"/>
                <w:szCs w:val="20"/>
              </w:rPr>
            </w:pPr>
            <w:r>
              <w:rPr>
                <w:rFonts w:ascii="Open Sans" w:hAnsi="Open Sans" w:cs="Open Sans"/>
                <w:color w:val="37246A" w:themeColor="text2"/>
                <w:sz w:val="18"/>
                <w:szCs w:val="20"/>
              </w:rPr>
              <w:t xml:space="preserve">Quote from: Adam </w:t>
            </w:r>
            <w:r w:rsidRPr="006D37A5">
              <w:rPr>
                <w:rFonts w:ascii="Open Sans" w:hAnsi="Open Sans" w:cs="Open Sans"/>
                <w:color w:val="37246A" w:themeColor="text2"/>
                <w:sz w:val="18"/>
                <w:szCs w:val="20"/>
              </w:rPr>
              <w:t xml:space="preserve">Smith (1776), </w:t>
            </w:r>
            <w:r w:rsidRPr="006D37A5">
              <w:rPr>
                <w:rFonts w:ascii="Open Sans" w:hAnsi="Open Sans" w:cs="Open Sans"/>
                <w:i/>
                <w:color w:val="37246A" w:themeColor="text2"/>
                <w:sz w:val="18"/>
                <w:szCs w:val="20"/>
              </w:rPr>
              <w:t>Wealth of Nations</w:t>
            </w:r>
            <w:r>
              <w:rPr>
                <w:rFonts w:ascii="Open Sans" w:hAnsi="Open Sans" w:cs="Open Sans"/>
                <w:color w:val="37246A" w:themeColor="text2"/>
                <w:sz w:val="18"/>
                <w:szCs w:val="20"/>
              </w:rPr>
              <w:t xml:space="preserve">, </w:t>
            </w:r>
            <w:r w:rsidRPr="006D37A5">
              <w:rPr>
                <w:rFonts w:ascii="Open Sans" w:hAnsi="Open Sans" w:cs="Open Sans"/>
                <w:color w:val="37246A" w:themeColor="text2"/>
                <w:sz w:val="18"/>
                <w:szCs w:val="20"/>
              </w:rPr>
              <w:t>Book I, Chapter IV.</w:t>
            </w:r>
          </w:p>
        </w:tc>
      </w:tr>
    </w:tbl>
    <w:p w14:paraId="6F7225E7" w14:textId="51B3DEDB" w:rsidR="006D37A5" w:rsidRDefault="006D37A5" w:rsidP="00EC4EFA">
      <w:pPr>
        <w:spacing w:before="120" w:after="120" w:line="360" w:lineRule="auto"/>
        <w:jc w:val="both"/>
        <w:rPr>
          <w:rFonts w:ascii="Open Sans" w:hAnsi="Open Sans" w:cs="Open Sans"/>
          <w:sz w:val="20"/>
          <w:szCs w:val="20"/>
        </w:rPr>
      </w:pPr>
      <w:r w:rsidRPr="00836212">
        <w:rPr>
          <w:rFonts w:ascii="Open Sans" w:hAnsi="Open Sans" w:cs="Open Sans"/>
          <w:sz w:val="20"/>
          <w:szCs w:val="20"/>
        </w:rPr>
        <w:t xml:space="preserve">Instead the objective of financial reporting, from the FASB’s Concepts Standard 8, is, “to provide financial information about the reporting entity that is useful to existing and potential investors, lenders, and other creditors in making decisions about providing resources to the entity.” And specifically, “information to help them assess the </w:t>
      </w:r>
      <w:r w:rsidRPr="00836212">
        <w:rPr>
          <w:rFonts w:ascii="Open Sans" w:hAnsi="Open Sans" w:cs="Open Sans"/>
          <w:b/>
          <w:i/>
          <w:sz w:val="20"/>
          <w:szCs w:val="20"/>
        </w:rPr>
        <w:t>prospects for future net cash inflows</w:t>
      </w:r>
      <w:r w:rsidRPr="00836212">
        <w:rPr>
          <w:rFonts w:ascii="Open Sans" w:hAnsi="Open Sans" w:cs="Open Sans"/>
          <w:sz w:val="20"/>
          <w:szCs w:val="20"/>
        </w:rPr>
        <w:t xml:space="preserve"> to an entity.” Which isn’t to provide information on the value of the company, but instead the inputs, or, “information to help existing and potential investors, lenders, and other creditors to </w:t>
      </w:r>
      <w:r w:rsidRPr="00836212">
        <w:rPr>
          <w:rFonts w:ascii="Open Sans" w:hAnsi="Open Sans" w:cs="Open Sans"/>
          <w:b/>
          <w:i/>
          <w:sz w:val="20"/>
          <w:szCs w:val="20"/>
        </w:rPr>
        <w:t>estimate the value of the reporting entity</w:t>
      </w:r>
      <w:r w:rsidRPr="00836212">
        <w:rPr>
          <w:rFonts w:ascii="Open Sans" w:hAnsi="Open Sans" w:cs="Open Sans"/>
          <w:sz w:val="20"/>
          <w:szCs w:val="20"/>
        </w:rPr>
        <w:t>.” emphasis added.</w:t>
      </w:r>
      <w:r w:rsidRPr="00AB3E6C">
        <w:rPr>
          <w:rFonts w:ascii="Open Sans" w:hAnsi="Open Sans" w:cs="Open Sans"/>
          <w:sz w:val="20"/>
          <w:szCs w:val="20"/>
          <w:vertAlign w:val="superscript"/>
        </w:rPr>
        <w:endnoteReference w:id="2"/>
      </w:r>
    </w:p>
    <w:p w14:paraId="7C7969BF" w14:textId="2D33BB6C" w:rsidR="00E45499" w:rsidRDefault="00E45499" w:rsidP="00EC4EFA">
      <w:pPr>
        <w:spacing w:before="120" w:after="120" w:line="360" w:lineRule="auto"/>
        <w:jc w:val="both"/>
        <w:rPr>
          <w:rFonts w:ascii="Open Sans" w:hAnsi="Open Sans" w:cs="Open Sans"/>
          <w:sz w:val="20"/>
        </w:rPr>
      </w:pPr>
      <w:r>
        <w:rPr>
          <w:noProof/>
        </w:rPr>
        <w:drawing>
          <wp:inline distT="0" distB="0" distL="0" distR="0" wp14:anchorId="34A9E3C5" wp14:editId="51893DF4">
            <wp:extent cx="6126480" cy="204914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2049145"/>
                    </a:xfrm>
                    <a:prstGeom prst="rect">
                      <a:avLst/>
                    </a:prstGeom>
                  </pic:spPr>
                </pic:pic>
              </a:graphicData>
            </a:graphic>
          </wp:inline>
        </w:drawing>
      </w:r>
    </w:p>
    <w:p w14:paraId="506C72B8" w14:textId="3D77F713" w:rsidR="007E6FE0" w:rsidRPr="00836212" w:rsidRDefault="007E6FE0" w:rsidP="00EC4EFA">
      <w:pPr>
        <w:spacing w:before="120" w:after="120" w:line="360" w:lineRule="auto"/>
        <w:jc w:val="both"/>
        <w:rPr>
          <w:rFonts w:ascii="Open Sans" w:hAnsi="Open Sans" w:cs="Open Sans"/>
          <w:sz w:val="20"/>
        </w:rPr>
      </w:pPr>
      <w:r w:rsidRPr="00836212">
        <w:rPr>
          <w:rFonts w:ascii="Open Sans" w:hAnsi="Open Sans" w:cs="Open Sans"/>
          <w:sz w:val="20"/>
        </w:rPr>
        <w:t xml:space="preserve">In general, economic theory typically assumes that managers make use of their resources at their </w:t>
      </w:r>
      <w:r w:rsidRPr="00836212">
        <w:rPr>
          <w:rFonts w:ascii="Open Sans" w:hAnsi="Open Sans" w:cs="Open Sans"/>
          <w:b/>
          <w:sz w:val="20"/>
        </w:rPr>
        <w:t>highest-and-best</w:t>
      </w:r>
      <w:r w:rsidR="00023A98" w:rsidRPr="00836212">
        <w:rPr>
          <w:rFonts w:ascii="Open Sans" w:hAnsi="Open Sans" w:cs="Open Sans"/>
          <w:b/>
          <w:sz w:val="20"/>
        </w:rPr>
        <w:t>-</w:t>
      </w:r>
      <w:r w:rsidRPr="00836212">
        <w:rPr>
          <w:rFonts w:ascii="Open Sans" w:hAnsi="Open Sans" w:cs="Open Sans"/>
          <w:b/>
          <w:sz w:val="20"/>
        </w:rPr>
        <w:t>use</w:t>
      </w:r>
      <w:r w:rsidRPr="00836212">
        <w:rPr>
          <w:rFonts w:ascii="Open Sans" w:hAnsi="Open Sans" w:cs="Open Sans"/>
          <w:sz w:val="20"/>
        </w:rPr>
        <w:t xml:space="preserve">. When this is the case, the highest-and-best-use of an asset means that the value-in-use will be higher than the value-in-exchange, or amount that another set of managers would be </w:t>
      </w:r>
      <w:r w:rsidRPr="00836212">
        <w:rPr>
          <w:rFonts w:ascii="Open Sans" w:hAnsi="Open Sans" w:cs="Open Sans"/>
          <w:sz w:val="20"/>
        </w:rPr>
        <w:lastRenderedPageBreak/>
        <w:t xml:space="preserve">willing to pay for control over those assets. In the case of an acquisition, </w:t>
      </w:r>
      <w:r w:rsidR="00023A98" w:rsidRPr="00836212">
        <w:rPr>
          <w:rFonts w:ascii="Open Sans" w:hAnsi="Open Sans" w:cs="Open Sans"/>
          <w:sz w:val="20"/>
        </w:rPr>
        <w:t xml:space="preserve">however, </w:t>
      </w:r>
      <w:r w:rsidRPr="00836212">
        <w:rPr>
          <w:rFonts w:ascii="Open Sans" w:hAnsi="Open Sans" w:cs="Open Sans"/>
          <w:sz w:val="20"/>
        </w:rPr>
        <w:t>theory suggest</w:t>
      </w:r>
      <w:r w:rsidR="00023A98" w:rsidRPr="00836212">
        <w:rPr>
          <w:rFonts w:ascii="Open Sans" w:hAnsi="Open Sans" w:cs="Open Sans"/>
          <w:sz w:val="20"/>
        </w:rPr>
        <w:t>s</w:t>
      </w:r>
      <w:r w:rsidRPr="00836212">
        <w:rPr>
          <w:rFonts w:ascii="Open Sans" w:hAnsi="Open Sans" w:cs="Open Sans"/>
          <w:sz w:val="20"/>
        </w:rPr>
        <w:t xml:space="preserve"> that an alternative use for the assets, one which current management cannot achieve, is the highest-and-best-use of the assets</w:t>
      </w:r>
      <w:r w:rsidR="00023A98" w:rsidRPr="00836212">
        <w:rPr>
          <w:rFonts w:ascii="Open Sans" w:hAnsi="Open Sans" w:cs="Open Sans"/>
          <w:sz w:val="20"/>
        </w:rPr>
        <w:t xml:space="preserve">. In this case </w:t>
      </w:r>
      <w:r w:rsidRPr="00836212">
        <w:rPr>
          <w:rFonts w:ascii="Open Sans" w:hAnsi="Open Sans" w:cs="Open Sans"/>
          <w:sz w:val="20"/>
        </w:rPr>
        <w:t>the individuals who can achieve this new highest-and-best-use will acquire those assets</w:t>
      </w:r>
      <w:r w:rsidR="00083009">
        <w:rPr>
          <w:rFonts w:ascii="Open Sans" w:hAnsi="Open Sans" w:cs="Open Sans"/>
          <w:sz w:val="20"/>
        </w:rPr>
        <w:t xml:space="preserve"> </w:t>
      </w:r>
      <w:r w:rsidR="00083009">
        <w:rPr>
          <w:rFonts w:ascii="Open Sans" w:hAnsi="Open Sans" w:cs="Open Sans"/>
          <w:sz w:val="20"/>
        </w:rPr>
        <w:fldChar w:fldCharType="begin"/>
      </w:r>
      <w:r w:rsidR="00083009">
        <w:rPr>
          <w:rFonts w:ascii="Open Sans" w:hAnsi="Open Sans" w:cs="Open Sans"/>
          <w:sz w:val="20"/>
        </w:rPr>
        <w:instrText xml:space="preserve"> ADDIN EN.CITE &lt;EndNote&gt;&lt;Cite&gt;&lt;Author&gt;Jovanovic&lt;/Author&gt;&lt;Year&gt;2002&lt;/Year&gt;&lt;RecNum&gt;113&lt;/RecNum&gt;&lt;Prefix&gt;see for example`, &lt;/Prefix&gt;&lt;DisplayText&gt;(see for example, Jovanovic and Rousseau 2002)&lt;/DisplayText&gt;&lt;record&gt;&lt;rec-number&gt;113&lt;/rec-number&gt;&lt;foreign-keys&gt;&lt;key app="EN" db-id="5wddtwtdltavvheer5vvrda5pftspd2zre9e" timestamp="1468258137"&gt;113&lt;/key&gt;&lt;/foreign-keys&gt;&lt;ref-type name="Journal Article"&gt;17&lt;/ref-type&gt;&lt;contributors&gt;&lt;authors&gt;&lt;author&gt;Jovanovic, Boyan&lt;/author&gt;&lt;author&gt;Rousseau, Peter L.&lt;/author&gt;&lt;/authors&gt;&lt;/contributors&gt;&lt;titles&gt;&lt;title&gt;The Q-Theory of Mergers&lt;/title&gt;&lt;secondary-title&gt;The American Economic Review&lt;/secondary-title&gt;&lt;/titles&gt;&lt;periodical&gt;&lt;full-title&gt;The American Economic Review&lt;/full-title&gt;&lt;/periodical&gt;&lt;pages&gt;198-204&lt;/pages&gt;&lt;volume&gt;92&lt;/volume&gt;&lt;number&gt;2&lt;/number&gt;&lt;dates&gt;&lt;year&gt;2002&lt;/year&gt;&lt;/dates&gt;&lt;publisher&gt;American Economic Association&lt;/publisher&gt;&lt;isbn&gt;00028282&lt;/isbn&gt;&lt;urls&gt;&lt;related-urls&gt;&lt;url&gt;http://www.jstor.org/stable/3083401&lt;/url&gt;&lt;/related-urls&gt;&lt;/urls&gt;&lt;custom1&gt;Full publication date: May, 2002&lt;/custom1&gt;&lt;/record&gt;&lt;/Cite&gt;&lt;/EndNote&gt;</w:instrText>
      </w:r>
      <w:r w:rsidR="00083009">
        <w:rPr>
          <w:rFonts w:ascii="Open Sans" w:hAnsi="Open Sans" w:cs="Open Sans"/>
          <w:sz w:val="20"/>
        </w:rPr>
        <w:fldChar w:fldCharType="separate"/>
      </w:r>
      <w:r w:rsidR="00083009">
        <w:rPr>
          <w:rFonts w:ascii="Open Sans" w:hAnsi="Open Sans" w:cs="Open Sans"/>
          <w:noProof/>
          <w:sz w:val="20"/>
        </w:rPr>
        <w:t>(see for example, Jovanovic and Rousseau 2002)</w:t>
      </w:r>
      <w:r w:rsidR="00083009">
        <w:rPr>
          <w:rFonts w:ascii="Open Sans" w:hAnsi="Open Sans" w:cs="Open Sans"/>
          <w:sz w:val="20"/>
        </w:rPr>
        <w:fldChar w:fldCharType="end"/>
      </w:r>
      <w:r w:rsidRPr="00836212">
        <w:rPr>
          <w:rFonts w:ascii="Open Sans" w:hAnsi="Open Sans" w:cs="Open Sans"/>
          <w:sz w:val="20"/>
        </w:rPr>
        <w:t xml:space="preserve">. </w:t>
      </w:r>
      <w:r w:rsidR="00023A98" w:rsidRPr="00836212">
        <w:rPr>
          <w:rFonts w:ascii="Open Sans" w:hAnsi="Open Sans" w:cs="Open Sans"/>
          <w:sz w:val="20"/>
        </w:rPr>
        <w:t>The cost of acquiring these assets as a group, however, is typically going to be higher than the sum of the individual values at which the company purchased those assets.</w:t>
      </w:r>
    </w:p>
    <w:p w14:paraId="7680F45C" w14:textId="5A00B6AA" w:rsidR="00023A98" w:rsidRPr="00836212" w:rsidRDefault="00782059" w:rsidP="00EC4EFA">
      <w:pPr>
        <w:spacing w:before="120" w:after="120" w:line="360" w:lineRule="auto"/>
        <w:jc w:val="both"/>
        <w:rPr>
          <w:rFonts w:ascii="Open Sans" w:hAnsi="Open Sans" w:cs="Open Sans"/>
          <w:sz w:val="20"/>
        </w:rPr>
      </w:pPr>
      <w:r w:rsidRPr="00836212">
        <w:rPr>
          <w:rFonts w:ascii="Open Sans" w:hAnsi="Open Sans" w:cs="Open Sans"/>
          <w:sz w:val="20"/>
        </w:rPr>
        <w:t xml:space="preserve">The amount paid for the acquired company will be different from the book-value of the acquired firm’s assets due to two reasons. First, the book value of the company’s tangible assets are recorded at modified historical cost (historical cost less depreciation, amortization and impairment charges) and are updated to their fair values upon acquisition. </w:t>
      </w:r>
      <w:r w:rsidR="00023A98" w:rsidRPr="00836212">
        <w:rPr>
          <w:rFonts w:ascii="Open Sans" w:hAnsi="Open Sans" w:cs="Open Sans"/>
          <w:sz w:val="20"/>
        </w:rPr>
        <w:t>S</w:t>
      </w:r>
      <w:r w:rsidRPr="00836212">
        <w:rPr>
          <w:rFonts w:ascii="Open Sans" w:hAnsi="Open Sans" w:cs="Open Sans"/>
          <w:sz w:val="20"/>
        </w:rPr>
        <w:t>econd</w:t>
      </w:r>
      <w:r w:rsidR="00023A98" w:rsidRPr="00836212">
        <w:rPr>
          <w:rFonts w:ascii="Open Sans" w:hAnsi="Open Sans" w:cs="Open Sans"/>
          <w:sz w:val="20"/>
        </w:rPr>
        <w:t xml:space="preserve">, the value of the company includes the values of intangible assets that </w:t>
      </w:r>
      <w:r w:rsidRPr="00836212">
        <w:rPr>
          <w:rFonts w:ascii="Open Sans" w:hAnsi="Open Sans" w:cs="Open Sans"/>
          <w:sz w:val="20"/>
        </w:rPr>
        <w:t xml:space="preserve">make the company more valuable than a collection of independent assets (“the whole is greater than the sum of its parts”). These intangible assets have been </w:t>
      </w:r>
      <w:r w:rsidR="00023A98" w:rsidRPr="00836212">
        <w:rPr>
          <w:rFonts w:ascii="Open Sans" w:hAnsi="Open Sans" w:cs="Open Sans"/>
          <w:sz w:val="20"/>
        </w:rPr>
        <w:t>generated through the business activities of the company being acquired</w:t>
      </w:r>
      <w:r w:rsidRPr="00836212">
        <w:rPr>
          <w:rFonts w:ascii="Open Sans" w:hAnsi="Open Sans" w:cs="Open Sans"/>
          <w:sz w:val="20"/>
        </w:rPr>
        <w:t>, that is the value-in-use achieved by the acquired company.</w:t>
      </w:r>
      <w:r w:rsidR="00023A98" w:rsidRPr="00836212">
        <w:rPr>
          <w:rFonts w:ascii="Open Sans" w:hAnsi="Open Sans" w:cs="Open Sans"/>
          <w:sz w:val="20"/>
        </w:rPr>
        <w:t xml:space="preserve"> </w:t>
      </w:r>
      <w:r w:rsidRPr="00836212">
        <w:rPr>
          <w:rFonts w:ascii="Open Sans" w:hAnsi="Open Sans" w:cs="Open Sans"/>
          <w:sz w:val="20"/>
        </w:rPr>
        <w:t>The value-in-use can be considered as being achieved by economic activities that have been generated over time, and include the relationships the company has developed with customers, suppliers and employees, technology that has been developed or in process, and brand reputation.</w:t>
      </w:r>
    </w:p>
    <w:p w14:paraId="686C8EF7" w14:textId="1F34311D" w:rsidR="00782059" w:rsidRDefault="00782059" w:rsidP="00EC4EFA">
      <w:pPr>
        <w:spacing w:before="120" w:after="120" w:line="360" w:lineRule="auto"/>
        <w:jc w:val="both"/>
        <w:rPr>
          <w:rFonts w:ascii="Open Sans" w:hAnsi="Open Sans" w:cs="Open Sans"/>
          <w:sz w:val="20"/>
        </w:rPr>
      </w:pPr>
      <w:r w:rsidRPr="00836212">
        <w:rPr>
          <w:rFonts w:ascii="Open Sans" w:hAnsi="Open Sans" w:cs="Open Sans"/>
          <w:sz w:val="20"/>
        </w:rPr>
        <w:t>An alternative theory of acquisitions is based on the possibility that managers acquire companies for less rational reasons (that is not to repurpose the assets to their highest-and-best-use) but rather to “empire build” and end up overpaying for the acquisition</w:t>
      </w:r>
      <w:r w:rsidR="00083009">
        <w:rPr>
          <w:rFonts w:ascii="Open Sans" w:hAnsi="Open Sans" w:cs="Open Sans"/>
          <w:sz w:val="20"/>
        </w:rPr>
        <w:t xml:space="preserve">, especially when their market price is high making the target company “cheap” </w:t>
      </w:r>
      <w:r w:rsidR="00083009">
        <w:rPr>
          <w:rFonts w:ascii="Open Sans" w:hAnsi="Open Sans" w:cs="Open Sans"/>
          <w:sz w:val="20"/>
        </w:rPr>
        <w:fldChar w:fldCharType="begin"/>
      </w:r>
      <w:r w:rsidR="00083009">
        <w:rPr>
          <w:rFonts w:ascii="Open Sans" w:hAnsi="Open Sans" w:cs="Open Sans"/>
          <w:sz w:val="20"/>
        </w:rPr>
        <w:instrText xml:space="preserve"> ADDIN EN.CITE &lt;EndNote&gt;&lt;Cite&gt;&lt;Author&gt;Shleifer&lt;/Author&gt;&lt;Year&gt;2003&lt;/Year&gt;&lt;RecNum&gt;116&lt;/RecNum&gt;&lt;Prefix&gt;see for example`, &lt;/Prefix&gt;&lt;DisplayText&gt;(see for example, Shleifer and Vishny 2003)&lt;/DisplayText&gt;&lt;record&gt;&lt;rec-number&gt;116&lt;/rec-number&gt;&lt;foreign-keys&gt;&lt;key app="EN" db-id="5wddtwtdltavvheer5vvrda5pftspd2zre9e" timestamp="1468347072"&gt;116&lt;/key&gt;&lt;/foreign-keys&gt;&lt;ref-type name="Journal Article"&gt;17&lt;/ref-type&gt;&lt;contributors&gt;&lt;authors&gt;&lt;author&gt;Shleifer, Andrei&lt;/author&gt;&lt;author&gt;Vishny, Robert W.&lt;/author&gt;&lt;/authors&gt;&lt;/contributors&gt;&lt;titles&gt;&lt;title&gt;Stock market driven acquisitions&lt;/title&gt;&lt;secondary-title&gt;Journal of Financial Economics&lt;/secondary-title&gt;&lt;/titles&gt;&lt;periodical&gt;&lt;full-title&gt;Journal of Financial Economics&lt;/full-title&gt;&lt;/periodical&gt;&lt;pages&gt;295-311&lt;/pages&gt;&lt;volume&gt;70&lt;/volume&gt;&lt;number&gt;3&lt;/number&gt;&lt;keywords&gt;&lt;keyword&gt;Takeover&lt;/keyword&gt;&lt;keyword&gt;Synergy&lt;/keyword&gt;&lt;keyword&gt;Merger&lt;/keyword&gt;&lt;/keywords&gt;&lt;dates&gt;&lt;year&gt;2003&lt;/year&gt;&lt;pub-dates&gt;&lt;date&gt;12//&lt;/date&gt;&lt;/pub-dates&gt;&lt;/dates&gt;&lt;isbn&gt;0304-405X&lt;/isbn&gt;&lt;urls&gt;&lt;related-urls&gt;&lt;url&gt;http://www.sciencedirect.com/science/article/pii/S0304405X03002113&lt;/url&gt;&lt;/related-urls&gt;&lt;/urls&gt;&lt;electronic-resource-num&gt;http://dx.doi.org/10.1016/S0304-405X(03)00211-3&lt;/electronic-resource-num&gt;&lt;/record&gt;&lt;/Cite&gt;&lt;/EndNote&gt;</w:instrText>
      </w:r>
      <w:r w:rsidR="00083009">
        <w:rPr>
          <w:rFonts w:ascii="Open Sans" w:hAnsi="Open Sans" w:cs="Open Sans"/>
          <w:sz w:val="20"/>
        </w:rPr>
        <w:fldChar w:fldCharType="separate"/>
      </w:r>
      <w:r w:rsidR="00083009">
        <w:rPr>
          <w:rFonts w:ascii="Open Sans" w:hAnsi="Open Sans" w:cs="Open Sans"/>
          <w:noProof/>
          <w:sz w:val="20"/>
        </w:rPr>
        <w:t>(see for example, Shleifer and Vishny 2003)</w:t>
      </w:r>
      <w:r w:rsidR="00083009">
        <w:rPr>
          <w:rFonts w:ascii="Open Sans" w:hAnsi="Open Sans" w:cs="Open Sans"/>
          <w:sz w:val="20"/>
        </w:rPr>
        <w:fldChar w:fldCharType="end"/>
      </w:r>
      <w:r w:rsidRPr="00836212">
        <w:rPr>
          <w:rFonts w:ascii="Open Sans" w:hAnsi="Open Sans" w:cs="Open Sans"/>
          <w:sz w:val="20"/>
        </w:rPr>
        <w:t>.</w:t>
      </w:r>
      <w:r w:rsidR="00591603" w:rsidRPr="00836212">
        <w:rPr>
          <w:rFonts w:ascii="Open Sans" w:hAnsi="Open Sans" w:cs="Open Sans"/>
          <w:sz w:val="20"/>
        </w:rPr>
        <w:t xml:space="preserve"> The</w:t>
      </w:r>
      <w:r w:rsidR="00AC3A56" w:rsidRPr="00836212">
        <w:rPr>
          <w:rFonts w:ascii="Open Sans" w:hAnsi="Open Sans" w:cs="Open Sans"/>
          <w:sz w:val="20"/>
        </w:rPr>
        <w:t xml:space="preserve"> risk to the auditor stems from the overpayments, as these are the most likely to be materially misstated – intangibles being carried above their true values. </w:t>
      </w:r>
    </w:p>
    <w:p w14:paraId="23E04D30" w14:textId="06FD6426" w:rsidR="006D37A5" w:rsidRPr="00836212" w:rsidRDefault="006D37A5" w:rsidP="006D37A5">
      <w:pPr>
        <w:keepNext/>
        <w:keepLines/>
        <w:spacing w:before="200"/>
        <w:outlineLvl w:val="1"/>
        <w:rPr>
          <w:rFonts w:ascii="Open Sans" w:eastAsia="Times New Roman" w:hAnsi="Open Sans" w:cs="Open Sans"/>
          <w:b/>
          <w:bCs/>
          <w:i/>
          <w:color w:val="33006F"/>
          <w:sz w:val="26"/>
          <w:szCs w:val="26"/>
        </w:rPr>
      </w:pPr>
      <w:r>
        <w:rPr>
          <w:rFonts w:ascii="Open Sans" w:hAnsi="Open Sans" w:cs="Open Sans"/>
          <w:b/>
          <w:color w:val="33006F"/>
          <w:sz w:val="20"/>
          <w:szCs w:val="20"/>
        </w:rPr>
        <w:t xml:space="preserve">The auditor’s use of specialists </w:t>
      </w:r>
    </w:p>
    <w:p w14:paraId="6EFDE64D" w14:textId="2E85AC61" w:rsidR="006D37A5" w:rsidRDefault="0016120D" w:rsidP="006D37A5">
      <w:pPr>
        <w:spacing w:before="120" w:after="120" w:line="360" w:lineRule="auto"/>
        <w:jc w:val="both"/>
        <w:rPr>
          <w:rFonts w:ascii="Open Sans" w:hAnsi="Open Sans" w:cs="Open Sans"/>
          <w:sz w:val="20"/>
        </w:rPr>
      </w:pPr>
      <w:r>
        <w:rPr>
          <w:rFonts w:ascii="Open Sans" w:hAnsi="Open Sans" w:cs="Open Sans"/>
          <w:sz w:val="20"/>
        </w:rPr>
        <w:t xml:space="preserve">The use of specialists in performing the audit is covered in AS 1210 “Using the Work of a Specialist.” </w:t>
      </w:r>
    </w:p>
    <w:p w14:paraId="7C9428EF" w14:textId="77777777" w:rsidR="0016120D" w:rsidRPr="0016120D" w:rsidRDefault="0016120D" w:rsidP="0016120D">
      <w:pPr>
        <w:spacing w:before="120" w:after="120" w:line="240" w:lineRule="auto"/>
        <w:ind w:left="720" w:right="648"/>
        <w:jc w:val="both"/>
        <w:rPr>
          <w:rFonts w:ascii="Open Sans" w:eastAsia="Calibri" w:hAnsi="Open Sans" w:cs="Open Sans"/>
          <w:sz w:val="18"/>
          <w:szCs w:val="20"/>
        </w:rPr>
      </w:pPr>
      <w:r w:rsidRPr="0016120D">
        <w:rPr>
          <w:rFonts w:ascii="Open Sans" w:eastAsia="Calibri" w:hAnsi="Open Sans" w:cs="Open Sans"/>
          <w:sz w:val="18"/>
          <w:szCs w:val="20"/>
        </w:rPr>
        <w:t>.07        Examples of the types of matters that the auditor may decide require him or her to consider using the work of a specialist include, but are not limited to, the following:</w:t>
      </w:r>
    </w:p>
    <w:p w14:paraId="5AF363BD" w14:textId="3BB71678"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Valuation (for example, special-purpose inventories, high-technology materials or equipment, pharmaceutical products, complex financial instruments, real estate, restricted securities, works of art, and environmental contingencies)</w:t>
      </w:r>
    </w:p>
    <w:p w14:paraId="464640DF" w14:textId="59DA017B"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Determination of physical characteristics relating to quantity on hand or condition (for example, quantity or condition of minerals, mineral reserves, or materials stored in stockpiles)</w:t>
      </w:r>
    </w:p>
    <w:p w14:paraId="1033847B" w14:textId="53398B41"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lastRenderedPageBreak/>
        <w:t>Determination of amounts derived by using specialized techniques or methods (for example, actuarial determinations for employee benefits obligations and disclosures, and determinations for insurance loss reserves</w:t>
      </w:r>
      <w:hyperlink r:id="rId14" w:anchor="_ftn4" w:history="1">
        <w:r w:rsidRPr="0016120D">
          <w:rPr>
            <w:rFonts w:ascii="Open Sans" w:eastAsia="Calibri" w:hAnsi="Open Sans" w:cs="Open Sans"/>
            <w:sz w:val="18"/>
          </w:rPr>
          <w:t>4</w:t>
        </w:r>
      </w:hyperlink>
      <w:r w:rsidRPr="0016120D">
        <w:rPr>
          <w:rFonts w:ascii="Open Sans" w:eastAsia="Calibri" w:hAnsi="Open Sans" w:cs="Open Sans"/>
          <w:sz w:val="18"/>
          <w:szCs w:val="20"/>
        </w:rPr>
        <w:t>)</w:t>
      </w:r>
    </w:p>
    <w:p w14:paraId="236E1184" w14:textId="7BD103E2"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Interpretation of technical requirements, regulations, or agreements (for example, the potential significance of contracts or other legal documents or legal title to property)</w:t>
      </w:r>
    </w:p>
    <w:p w14:paraId="51A9A4C7" w14:textId="04645C3F" w:rsidR="006D37A5" w:rsidRDefault="00935E3D" w:rsidP="00EC4EFA">
      <w:pPr>
        <w:spacing w:before="120" w:after="120" w:line="360" w:lineRule="auto"/>
        <w:jc w:val="both"/>
        <w:rPr>
          <w:rFonts w:ascii="Arimo" w:hAnsi="Arimo"/>
          <w:color w:val="000000"/>
          <w:shd w:val="clear" w:color="auto" w:fill="FFFFFF"/>
        </w:rPr>
      </w:pPr>
      <w:r>
        <w:rPr>
          <w:rFonts w:ascii="Open Sans" w:hAnsi="Open Sans" w:cs="Open Sans"/>
          <w:sz w:val="20"/>
        </w:rPr>
        <w:t>Valuation specialists are also routinely employed to help assess the estimates of assets acquired and liabilities assumed in business contracts, goodwill impairments, long-lived asset impairments, and intangible asset impairments as well as various complex financial instruments and stock options.</w:t>
      </w:r>
      <w:r>
        <w:rPr>
          <w:rStyle w:val="EndnoteReference"/>
          <w:rFonts w:ascii="Open Sans" w:hAnsi="Open Sans" w:cs="Open Sans"/>
          <w:sz w:val="20"/>
        </w:rPr>
        <w:endnoteReference w:id="3"/>
      </w:r>
      <w:r>
        <w:rPr>
          <w:rFonts w:ascii="Open Sans" w:hAnsi="Open Sans" w:cs="Open Sans"/>
          <w:sz w:val="20"/>
        </w:rPr>
        <w:t xml:space="preserve"> Section .09 of the AS 1210 continues to state that the auditor “</w:t>
      </w:r>
      <w:r>
        <w:rPr>
          <w:rFonts w:ascii="Arimo" w:hAnsi="Arimo"/>
          <w:color w:val="000000"/>
          <w:shd w:val="clear" w:color="auto" w:fill="FFFFFF"/>
        </w:rPr>
        <w:t xml:space="preserve">should obtain an understanding of the nature of the work performed or to be performed by the specialist.” And continues by defining the understanding in terms of understanding the objectives and scope, relationship to the client, the methods or assumptions used, a comparison of the methods/assumptions used with those in the prior period, the appropriateness of the work performed and how it can be used as audit evidence. </w:t>
      </w:r>
    </w:p>
    <w:p w14:paraId="193383ED" w14:textId="71C5CABD" w:rsidR="00083009" w:rsidRPr="00836212" w:rsidRDefault="00083009" w:rsidP="00EC4EFA">
      <w:pPr>
        <w:spacing w:before="120" w:after="120" w:line="360" w:lineRule="auto"/>
        <w:jc w:val="both"/>
        <w:rPr>
          <w:rFonts w:ascii="Open Sans" w:hAnsi="Open Sans" w:cs="Open Sans"/>
          <w:sz w:val="20"/>
        </w:rPr>
      </w:pPr>
      <w:r>
        <w:rPr>
          <w:rFonts w:ascii="Arimo" w:hAnsi="Arimo"/>
          <w:color w:val="000000"/>
          <w:shd w:val="clear" w:color="auto" w:fill="FFFFFF"/>
        </w:rPr>
        <w:t xml:space="preserve">The work of the specialist can be used as audit evidence, unless the work of the specialist appears unreasonable (see section .12). When using the evidence obtained from the specialist, the auditor can either conclude that there is sufficient audit evidence to provide an opinion (see sections .13-.14). </w:t>
      </w:r>
    </w:p>
    <w:p w14:paraId="71AF4E71" w14:textId="4A8AA99F" w:rsidR="0064536F" w:rsidRPr="00836212" w:rsidRDefault="0064536F" w:rsidP="0064536F">
      <w:pPr>
        <w:keepNext/>
        <w:keepLines/>
        <w:spacing w:before="200"/>
        <w:outlineLvl w:val="1"/>
        <w:rPr>
          <w:rFonts w:ascii="Open Sans" w:eastAsia="Times New Roman" w:hAnsi="Open Sans" w:cs="Open Sans"/>
          <w:b/>
          <w:bCs/>
          <w:i/>
          <w:color w:val="33006F"/>
          <w:sz w:val="26"/>
          <w:szCs w:val="26"/>
        </w:rPr>
      </w:pPr>
      <w:bookmarkStart w:id="4" w:name="_Toc471463075"/>
      <w:r w:rsidRPr="00836212">
        <w:rPr>
          <w:rFonts w:ascii="Open Sans" w:hAnsi="Open Sans" w:cs="Open Sans"/>
          <w:b/>
          <w:color w:val="33006F"/>
          <w:sz w:val="20"/>
          <w:szCs w:val="20"/>
        </w:rPr>
        <w:t>Accounting for Acquisitions</w:t>
      </w:r>
      <w:bookmarkEnd w:id="4"/>
    </w:p>
    <w:p w14:paraId="6D6136CA"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Goodwill and other acquired intangibles are generated in modern acquisitions. Identifiable intangible assets that can be recognized on acquisition include acquired customer lists, acquired patents and copyrights, a broadcast license, trademarks, technology licenses, trade names and brands. The codification provides examples of these and other intangible assets in ASC ¶350-30-55. The example below relates to the recognition of customer lists:</w:t>
      </w:r>
    </w:p>
    <w:p w14:paraId="457FD965"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“55-3     A direct-mail marketing entity acquired a customer list and expects that it will be able to derive benefit from the information on the acquired customer list for at least one year but for no more than three years.</w:t>
      </w:r>
    </w:p>
    <w:p w14:paraId="54C3D4D4"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55-4     The customer list would be amortized over 18 months, management’s best estimate of its useful life, following the pattern in which the expected benefits will be consumed or otherwise used up. Although the acquiring entity may intend to add customer names and other information to the list in the future, the expected benefits of the acquired customer list relate only to the customers on that list at the date of acquisition (a closed-group notion). The customer list would be reviewed for impairment under the Impairment or Disposal of Long-Lived Assets Subsections of Subtopic 360-10.”</w:t>
      </w:r>
    </w:p>
    <w:p w14:paraId="77C89A62"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The example below relates to the recognition of a Trade Name:</w:t>
      </w:r>
    </w:p>
    <w:p w14:paraId="65D7ABD8"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 xml:space="preserve">“55-28H     Entity A, a consumer products manufacturer, acquires an entity that sells a product that competes with one of Entity A's existing products. Entity A plans to discontinue the sale of the </w:t>
      </w:r>
      <w:r w:rsidRPr="00836212">
        <w:rPr>
          <w:rFonts w:ascii="Open Sans" w:eastAsia="Calibri" w:hAnsi="Open Sans" w:cs="Open Sans"/>
          <w:sz w:val="18"/>
          <w:szCs w:val="20"/>
        </w:rPr>
        <w:lastRenderedPageBreak/>
        <w:t>competing product within the next six months, but will maintain the rights to the trade name, at minimal expected cost, to prevent a competitor from using the trade name. As a result, Entity A's existing product is expected to experience an increase in market share. Entity A does not have any current plans to reintroduce the acquired trade name in the future.</w:t>
      </w:r>
    </w:p>
    <w:p w14:paraId="1DE85C41"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55-28I     Because Entity A does not intend to actively use the acquired trade name, but intends to hold the rights to the trade name to prevent others from using it, the trade name meets the definition of a defensive intangible asset.”</w:t>
      </w:r>
    </w:p>
    <w:p w14:paraId="7627FAD5"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The measurement of the identifiable intangible assets is at fair value. This means that each of the items should be measured at an estimate of the discounted future cash-flows. Once these identifiable assets have been valued, accounting for Goodwill is undertaken.</w:t>
      </w:r>
    </w:p>
    <w:p w14:paraId="76CEB9AF" w14:textId="1C58AD59"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The current accounting technique for the initial measurement of Goodwill is calculated as the difference between the price paid and the identifiable assets acquired. Many individuals consider that goodwill is an overpayment rather than an asset,</w:t>
      </w:r>
      <w:r w:rsidR="00083009" w:rsidRPr="00836212">
        <w:rPr>
          <w:rStyle w:val="EndnoteReference"/>
          <w:rFonts w:ascii="Open Sans" w:hAnsi="Open Sans" w:cs="Open Sans"/>
          <w:sz w:val="20"/>
        </w:rPr>
        <w:endnoteReference w:id="4"/>
      </w:r>
      <w:r w:rsidR="00083009" w:rsidRPr="00836212">
        <w:rPr>
          <w:rFonts w:ascii="Open Sans" w:hAnsi="Open Sans" w:cs="Open Sans"/>
          <w:sz w:val="20"/>
        </w:rPr>
        <w:t xml:space="preserve"> </w:t>
      </w:r>
      <w:r w:rsidRPr="00836212">
        <w:rPr>
          <w:rFonts w:ascii="Open Sans" w:hAnsi="Open Sans" w:cs="Open Sans"/>
          <w:sz w:val="20"/>
        </w:rPr>
        <w:t>however, GAAP treats goodwill as an “unidentifiable intangible asset.” See ASC ¶805-30-30, §1 for the initial measurement of goodwill:</w:t>
      </w:r>
    </w:p>
    <w:p w14:paraId="73B65599"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“The acquirer shall recognize goodwill as of the acquisition date, measured as the excess of (a) over (b):</w:t>
      </w:r>
    </w:p>
    <w:p w14:paraId="34FEC57F"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a.  The aggregate of the following:</w:t>
      </w:r>
    </w:p>
    <w:p w14:paraId="2CEB56CE"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1.  The consideration transferred measured in accordance with this Section, which generally requires acquisition-date fair value (see paragraph 805-30-30-7)</w:t>
      </w:r>
    </w:p>
    <w:p w14:paraId="5B6DE31E"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2.  The fair value of any noncontrolling interest in the acquiree</w:t>
      </w:r>
    </w:p>
    <w:p w14:paraId="21AEDE47"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3.  In a business combination achieved in stages, the acquisition-date fair value of the acquirer’s previously held equity interest in the acquiree.</w:t>
      </w:r>
    </w:p>
    <w:p w14:paraId="4C91FE3E"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b.  The net of the acquisition-date amounts of the identifiable assets acquired and the liabilities assumed measured in accordance with this Topic.”</w:t>
      </w:r>
    </w:p>
    <w:p w14:paraId="29B589BB" w14:textId="4D91CCA8" w:rsidR="00AC3A56" w:rsidRPr="00836212" w:rsidRDefault="00AC3A56" w:rsidP="00AC3A56">
      <w:pPr>
        <w:keepNext/>
        <w:keepLines/>
        <w:spacing w:before="200"/>
        <w:outlineLvl w:val="1"/>
        <w:rPr>
          <w:rFonts w:ascii="Open Sans" w:eastAsia="Times New Roman" w:hAnsi="Open Sans" w:cs="Open Sans"/>
          <w:b/>
          <w:bCs/>
          <w:i/>
          <w:color w:val="33006F"/>
          <w:sz w:val="26"/>
          <w:szCs w:val="26"/>
        </w:rPr>
      </w:pPr>
      <w:r w:rsidRPr="00836212">
        <w:rPr>
          <w:rFonts w:ascii="Open Sans" w:hAnsi="Open Sans" w:cs="Open Sans"/>
          <w:b/>
          <w:color w:val="33006F"/>
          <w:sz w:val="20"/>
          <w:szCs w:val="20"/>
        </w:rPr>
        <w:t>Impairments</w:t>
      </w:r>
    </w:p>
    <w:p w14:paraId="3471A659" w14:textId="1656C24D" w:rsidR="00AC3A56" w:rsidRPr="00836212" w:rsidRDefault="00AC3A56" w:rsidP="00AC3A56">
      <w:pPr>
        <w:spacing w:before="120" w:after="120" w:line="360" w:lineRule="auto"/>
        <w:jc w:val="both"/>
        <w:rPr>
          <w:rFonts w:ascii="Open Sans" w:hAnsi="Open Sans" w:cs="Open Sans"/>
          <w:sz w:val="20"/>
          <w:szCs w:val="20"/>
        </w:rPr>
      </w:pPr>
      <w:r w:rsidRPr="00836212">
        <w:rPr>
          <w:rFonts w:ascii="Open Sans" w:hAnsi="Open Sans" w:cs="Open Sans"/>
          <w:sz w:val="20"/>
          <w:szCs w:val="20"/>
        </w:rPr>
        <w:t xml:space="preserve">Goodwill and other acquired intangibles are periodically tested for impairment. Impairment is expected to occur when the assets’ carrying value exceeds the fair value of the intangible. </w:t>
      </w:r>
      <w:r w:rsidR="007C77CF">
        <w:rPr>
          <w:rFonts w:ascii="Open Sans" w:hAnsi="Open Sans" w:cs="Open Sans"/>
          <w:sz w:val="20"/>
          <w:szCs w:val="20"/>
        </w:rPr>
        <w:t>The changes to the codification, changed the original two-step test for impairments to what is referred to as the “step-zero” test. The wording change is noted with the underlined text added and the strike-out text as deleted:</w:t>
      </w:r>
      <w:r w:rsidRPr="00836212">
        <w:rPr>
          <w:rFonts w:ascii="Open Sans" w:hAnsi="Open Sans" w:cs="Open Sans"/>
          <w:sz w:val="20"/>
          <w:szCs w:val="20"/>
        </w:rPr>
        <w:t xml:space="preserve"> </w:t>
      </w:r>
    </w:p>
    <w:p w14:paraId="1BD3399B" w14:textId="47B5EA74" w:rsidR="0064536F" w:rsidRDefault="004D57EB" w:rsidP="00FD51E4">
      <w:pPr>
        <w:spacing w:before="120" w:after="120" w:line="240" w:lineRule="auto"/>
        <w:ind w:left="720" w:right="648"/>
        <w:jc w:val="both"/>
      </w:pPr>
      <w:r>
        <w:t xml:space="preserve">350-20-35-3 </w:t>
      </w:r>
      <w:r w:rsidRPr="00713373">
        <w:rPr>
          <w:u w:val="single"/>
        </w:rPr>
        <w:t>An entity may first assess qualitative factors, as described in paragraphs 350-20-35-3A through 35-3G, to determine whether it is necessary to perform the two-step goodwill impairment test discussed in paragraphs 350-20- 35-4 through 35-19.</w:t>
      </w:r>
      <w:r w:rsidRPr="007C77CF">
        <w:t xml:space="preserve"> </w:t>
      </w:r>
      <w:r w:rsidRPr="00713373">
        <w:rPr>
          <w:u w:val="single"/>
        </w:rPr>
        <w:t>If determined to be necessary, the</w:t>
      </w:r>
      <w:r w:rsidRPr="007C77CF">
        <w:rPr>
          <w:strike/>
        </w:rPr>
        <w:t xml:space="preserve">The </w:t>
      </w:r>
      <w:r>
        <w:t xml:space="preserve">two-step impairment test </w:t>
      </w:r>
      <w:r w:rsidRPr="007C77CF">
        <w:rPr>
          <w:strike/>
        </w:rPr>
        <w:t xml:space="preserve">discussed in paragraphs 350-20-35-4 through 35-19 </w:t>
      </w:r>
      <w:r>
        <w:t>shall be used to identify potential goodwill impairment and measure the amount of a goodwill impairment loss to be recognized (if any).</w:t>
      </w:r>
    </w:p>
    <w:p w14:paraId="5104CF48" w14:textId="6FAF16D3" w:rsidR="007C77CF" w:rsidRDefault="007C77CF" w:rsidP="007C77CF">
      <w:pPr>
        <w:spacing w:before="120" w:after="120" w:line="360" w:lineRule="auto"/>
        <w:jc w:val="both"/>
        <w:rPr>
          <w:rFonts w:ascii="Open Sans" w:hAnsi="Open Sans" w:cs="Open Sans"/>
          <w:sz w:val="20"/>
          <w:szCs w:val="20"/>
        </w:rPr>
      </w:pPr>
      <w:r>
        <w:rPr>
          <w:rFonts w:ascii="Open Sans" w:hAnsi="Open Sans" w:cs="Open Sans"/>
          <w:sz w:val="20"/>
          <w:szCs w:val="20"/>
        </w:rPr>
        <w:lastRenderedPageBreak/>
        <w:t>The step-zero test is a qualitative test, which involves judgement based on observable evidence prior to calculating the carrying value of the company.</w:t>
      </w:r>
      <w:r w:rsidR="00162D6F">
        <w:rPr>
          <w:rFonts w:ascii="Open Sans" w:hAnsi="Open Sans" w:cs="Open Sans"/>
          <w:sz w:val="20"/>
          <w:szCs w:val="20"/>
        </w:rPr>
        <w:t xml:space="preserve"> The FASB determined that the complexity in the first-stage test for goodwill impairment should be simplified.</w:t>
      </w:r>
      <w:r>
        <w:rPr>
          <w:rFonts w:ascii="Open Sans" w:hAnsi="Open Sans" w:cs="Open Sans"/>
          <w:sz w:val="20"/>
          <w:szCs w:val="20"/>
        </w:rPr>
        <w:t xml:space="preserve"> Specifically</w:t>
      </w:r>
      <w:r w:rsidR="00162D6F">
        <w:rPr>
          <w:rFonts w:ascii="Open Sans" w:hAnsi="Open Sans" w:cs="Open Sans"/>
          <w:sz w:val="20"/>
          <w:szCs w:val="20"/>
        </w:rPr>
        <w:t>, the “step-zero” test is</w:t>
      </w:r>
      <w:r>
        <w:rPr>
          <w:rFonts w:ascii="Open Sans" w:hAnsi="Open Sans" w:cs="Open Sans"/>
          <w:sz w:val="20"/>
          <w:szCs w:val="20"/>
        </w:rPr>
        <w:t>:</w:t>
      </w:r>
    </w:p>
    <w:p w14:paraId="1DF88E5B" w14:textId="0EC666E1" w:rsidR="007C77CF" w:rsidRDefault="007C77CF" w:rsidP="00713373">
      <w:pPr>
        <w:spacing w:before="120" w:after="120" w:line="240" w:lineRule="auto"/>
        <w:ind w:left="720" w:right="648"/>
        <w:jc w:val="both"/>
        <w:rPr>
          <w:rFonts w:ascii="Open Sans" w:hAnsi="Open Sans" w:cs="Open Sans"/>
          <w:sz w:val="20"/>
          <w:szCs w:val="20"/>
        </w:rPr>
      </w:pPr>
      <w:r>
        <w:t>350-20-35-3A An entity may assess qualitative factors to determine whether it is more likely than not (that is, a likelihood of more than 50 percent) that the fair value of a reporting unit is less than its carrying amount, including goodwill.</w:t>
      </w:r>
    </w:p>
    <w:p w14:paraId="7E7FAED7" w14:textId="63A95BC7" w:rsidR="007C77CF" w:rsidRPr="007C77CF" w:rsidRDefault="007C77CF" w:rsidP="007C77CF">
      <w:pPr>
        <w:spacing w:before="120" w:after="120" w:line="360" w:lineRule="auto"/>
        <w:jc w:val="both"/>
        <w:rPr>
          <w:rFonts w:ascii="Open Sans" w:hAnsi="Open Sans" w:cs="Open Sans"/>
          <w:sz w:val="20"/>
          <w:szCs w:val="20"/>
        </w:rPr>
      </w:pPr>
      <w:r w:rsidRPr="00836212">
        <w:rPr>
          <w:rFonts w:ascii="Open Sans" w:hAnsi="Open Sans" w:cs="Open Sans"/>
          <w:sz w:val="20"/>
          <w:szCs w:val="20"/>
        </w:rPr>
        <w:t>Th</w:t>
      </w:r>
      <w:r w:rsidR="00713373">
        <w:rPr>
          <w:rFonts w:ascii="Open Sans" w:hAnsi="Open Sans" w:cs="Open Sans"/>
          <w:sz w:val="20"/>
          <w:szCs w:val="20"/>
        </w:rPr>
        <w:t>e codification continues in 350-20-35C to provide examples of the evidence that the accountant can use to determine the need for a quantitative test (“step-one”) for impairment. The evidence includes declining macro-economic and industry conditions, changes in key costs, a reduction in expected earnings, significant operational changes (e.g., loss of key personnel or customers), and a sustained decline in the stock price. If the weight of the evidence suggests that an impairment is more-likely than not, then the accountant proceeds to step-one and if they determine that step-one requires impairment then they complete the impairment in step-two. Thus</w:t>
      </w:r>
      <w:r w:rsidR="00083009">
        <w:rPr>
          <w:rFonts w:ascii="Open Sans" w:hAnsi="Open Sans" w:cs="Open Sans"/>
          <w:sz w:val="20"/>
          <w:szCs w:val="20"/>
        </w:rPr>
        <w:t>,</w:t>
      </w:r>
      <w:r w:rsidR="00713373">
        <w:rPr>
          <w:rFonts w:ascii="Open Sans" w:hAnsi="Open Sans" w:cs="Open Sans"/>
          <w:sz w:val="20"/>
          <w:szCs w:val="20"/>
        </w:rPr>
        <w:t xml:space="preserve"> even before the </w:t>
      </w:r>
      <w:r w:rsidRPr="00836212">
        <w:rPr>
          <w:rFonts w:ascii="Open Sans" w:hAnsi="Open Sans" w:cs="Open Sans"/>
          <w:sz w:val="20"/>
          <w:szCs w:val="20"/>
        </w:rPr>
        <w:t xml:space="preserve">significant judgement </w:t>
      </w:r>
      <w:r w:rsidR="00713373">
        <w:rPr>
          <w:rFonts w:ascii="Open Sans" w:hAnsi="Open Sans" w:cs="Open Sans"/>
          <w:sz w:val="20"/>
          <w:szCs w:val="20"/>
        </w:rPr>
        <w:t>that is used to determine the fair value of goodwill, accountants have a significant amount of flexibility and discretion regarding the necessity of the test for goodwill impairment.</w:t>
      </w:r>
    </w:p>
    <w:p w14:paraId="23230236" w14:textId="1CA6D490" w:rsidR="0064536F" w:rsidRPr="00836212" w:rsidRDefault="0064536F" w:rsidP="0064536F">
      <w:pPr>
        <w:pStyle w:val="Heading1"/>
        <w:rPr>
          <w:rFonts w:ascii="Open Sans" w:hAnsi="Open Sans" w:cs="Open Sans"/>
          <w:smallCaps/>
          <w:color w:val="33006F"/>
        </w:rPr>
      </w:pPr>
      <w:r w:rsidRPr="00836212">
        <w:rPr>
          <w:rFonts w:ascii="Open Sans" w:hAnsi="Open Sans" w:cs="Open Sans"/>
          <w:smallCaps/>
          <w:color w:val="33006F"/>
        </w:rPr>
        <w:t>Application</w:t>
      </w:r>
    </w:p>
    <w:p w14:paraId="48746999" w14:textId="53769356" w:rsidR="0064536F" w:rsidRPr="00836212" w:rsidRDefault="00AC3A56" w:rsidP="00AC3A56">
      <w:pPr>
        <w:keepNext/>
        <w:keepLines/>
        <w:spacing w:before="200"/>
        <w:outlineLvl w:val="1"/>
        <w:rPr>
          <w:rFonts w:ascii="Open Sans" w:hAnsi="Open Sans" w:cs="Open Sans"/>
          <w:b/>
          <w:color w:val="33006F"/>
          <w:sz w:val="20"/>
          <w:szCs w:val="20"/>
        </w:rPr>
      </w:pPr>
      <w:r w:rsidRPr="00836212">
        <w:rPr>
          <w:rFonts w:ascii="Open Sans" w:hAnsi="Open Sans" w:cs="Open Sans"/>
          <w:b/>
          <w:color w:val="33006F"/>
          <w:sz w:val="20"/>
          <w:szCs w:val="20"/>
        </w:rPr>
        <w:t>Application: Fair value estimates</w:t>
      </w:r>
    </w:p>
    <w:p w14:paraId="10185C98" w14:textId="415D7EDF" w:rsidR="00836212" w:rsidRDefault="00836212" w:rsidP="007E0371">
      <w:pPr>
        <w:spacing w:before="120" w:after="120" w:line="360" w:lineRule="auto"/>
        <w:jc w:val="both"/>
        <w:rPr>
          <w:rFonts w:ascii="Open Sans" w:hAnsi="Open Sans" w:cs="Open Sans"/>
          <w:sz w:val="20"/>
        </w:rPr>
      </w:pPr>
      <w:r w:rsidRPr="00836212">
        <w:rPr>
          <w:rFonts w:ascii="Open Sans" w:hAnsi="Open Sans" w:cs="Open Sans"/>
          <w:sz w:val="20"/>
          <w:szCs w:val="20"/>
        </w:rPr>
        <w:t>We will apply these concepts to the following b</w:t>
      </w:r>
      <w:r w:rsidR="00AC3A56" w:rsidRPr="00836212">
        <w:rPr>
          <w:rFonts w:ascii="Open Sans" w:hAnsi="Open Sans" w:cs="Open Sans"/>
          <w:sz w:val="20"/>
          <w:szCs w:val="20"/>
        </w:rPr>
        <w:t xml:space="preserve">usiness </w:t>
      </w:r>
      <w:r w:rsidRPr="00836212">
        <w:rPr>
          <w:rFonts w:ascii="Open Sans" w:hAnsi="Open Sans" w:cs="Open Sans"/>
          <w:sz w:val="20"/>
          <w:szCs w:val="20"/>
        </w:rPr>
        <w:t>c</w:t>
      </w:r>
      <w:r w:rsidR="00AC3A56" w:rsidRPr="00836212">
        <w:rPr>
          <w:rFonts w:ascii="Open Sans" w:hAnsi="Open Sans" w:cs="Open Sans"/>
          <w:sz w:val="20"/>
          <w:szCs w:val="20"/>
        </w:rPr>
        <w:t xml:space="preserve">ombination </w:t>
      </w:r>
      <w:r w:rsidRPr="00836212">
        <w:rPr>
          <w:rFonts w:ascii="Open Sans" w:hAnsi="Open Sans" w:cs="Open Sans"/>
          <w:sz w:val="20"/>
          <w:szCs w:val="20"/>
        </w:rPr>
        <w:t>e</w:t>
      </w:r>
      <w:r w:rsidR="00AC3A56" w:rsidRPr="00836212">
        <w:rPr>
          <w:rFonts w:ascii="Open Sans" w:hAnsi="Open Sans" w:cs="Open Sans"/>
          <w:sz w:val="20"/>
          <w:szCs w:val="20"/>
        </w:rPr>
        <w:t>xample</w:t>
      </w:r>
      <w:r w:rsidRPr="00836212">
        <w:rPr>
          <w:rFonts w:ascii="Open Sans" w:hAnsi="Open Sans" w:cs="Open Sans"/>
          <w:sz w:val="20"/>
          <w:szCs w:val="20"/>
        </w:rPr>
        <w:t xml:space="preserve"> in class. This case application relates to the acquisition of the hypothetical company “Beta” by the equally hypothetical company “Alpha.” </w:t>
      </w:r>
      <w:r w:rsidR="00AC3A56" w:rsidRPr="00836212">
        <w:rPr>
          <w:rFonts w:ascii="Open Sans" w:hAnsi="Open Sans" w:cs="Open Sans"/>
          <w:sz w:val="20"/>
          <w:szCs w:val="20"/>
        </w:rPr>
        <w:t>Alpha Corporation has purchased 100% of Beta Corporation.  The transaction is being treated as an acquisition of asset</w:t>
      </w:r>
      <w:r w:rsidR="007E0371">
        <w:rPr>
          <w:rFonts w:ascii="Open Sans" w:hAnsi="Open Sans" w:cs="Open Sans"/>
          <w:sz w:val="20"/>
          <w:szCs w:val="20"/>
        </w:rPr>
        <w:t>s of a privately held company.</w:t>
      </w:r>
    </w:p>
    <w:p w14:paraId="05091A42" w14:textId="7426D0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consideration paid was:</w:t>
      </w:r>
    </w:p>
    <w:tbl>
      <w:tblPr>
        <w:tblStyle w:val="TableGrid"/>
        <w:tblW w:w="0" w:type="auto"/>
        <w:tblLook w:val="04A0" w:firstRow="1" w:lastRow="0" w:firstColumn="1" w:lastColumn="0" w:noHBand="0" w:noVBand="1"/>
      </w:tblPr>
      <w:tblGrid>
        <w:gridCol w:w="4428"/>
        <w:gridCol w:w="1980"/>
      </w:tblGrid>
      <w:tr w:rsidR="00AC3A56" w:rsidRPr="00836212" w14:paraId="51553C6D"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940F7FE" w14:textId="77777777" w:rsidR="00AC3A56" w:rsidRPr="00836212" w:rsidRDefault="00AC3A56">
            <w:pPr>
              <w:rPr>
                <w:rFonts w:ascii="Open Sans" w:hAnsi="Open Sans" w:cs="Open Sans"/>
                <w:sz w:val="20"/>
              </w:rPr>
            </w:pPr>
            <w:r w:rsidRPr="00836212">
              <w:rPr>
                <w:rFonts w:ascii="Open Sans" w:hAnsi="Open Sans" w:cs="Open Sans"/>
                <w:sz w:val="20"/>
              </w:rPr>
              <w:t>Cash</w:t>
            </w:r>
          </w:p>
        </w:tc>
        <w:tc>
          <w:tcPr>
            <w:tcW w:w="1980" w:type="dxa"/>
            <w:tcBorders>
              <w:top w:val="single" w:sz="4" w:space="0" w:color="auto"/>
              <w:left w:val="single" w:sz="4" w:space="0" w:color="auto"/>
              <w:bottom w:val="single" w:sz="4" w:space="0" w:color="auto"/>
              <w:right w:val="single" w:sz="4" w:space="0" w:color="auto"/>
            </w:tcBorders>
            <w:hideMark/>
          </w:tcPr>
          <w:p w14:paraId="5C76B6F2" w14:textId="77777777" w:rsidR="00AC3A56" w:rsidRPr="00836212" w:rsidRDefault="00AC3A56">
            <w:pPr>
              <w:jc w:val="right"/>
              <w:rPr>
                <w:rFonts w:ascii="Open Sans" w:hAnsi="Open Sans" w:cs="Open Sans"/>
                <w:sz w:val="20"/>
              </w:rPr>
            </w:pPr>
            <w:r w:rsidRPr="00836212">
              <w:rPr>
                <w:rFonts w:ascii="Open Sans" w:hAnsi="Open Sans" w:cs="Open Sans"/>
                <w:sz w:val="20"/>
              </w:rPr>
              <w:t>$100,000,000</w:t>
            </w:r>
          </w:p>
        </w:tc>
      </w:tr>
      <w:tr w:rsidR="00AC3A56" w:rsidRPr="00836212" w14:paraId="6D480031"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DFC0B9F" w14:textId="77777777" w:rsidR="00AC3A56" w:rsidRPr="00836212" w:rsidRDefault="00AC3A56">
            <w:pPr>
              <w:rPr>
                <w:rFonts w:ascii="Open Sans" w:hAnsi="Open Sans" w:cs="Open Sans"/>
                <w:sz w:val="20"/>
              </w:rPr>
            </w:pPr>
            <w:r w:rsidRPr="00836212">
              <w:rPr>
                <w:rFonts w:ascii="Open Sans" w:hAnsi="Open Sans" w:cs="Open Sans"/>
                <w:sz w:val="20"/>
              </w:rPr>
              <w:t>Stock (at acquisition date fair value)</w:t>
            </w:r>
          </w:p>
        </w:tc>
        <w:tc>
          <w:tcPr>
            <w:tcW w:w="1980" w:type="dxa"/>
            <w:tcBorders>
              <w:top w:val="single" w:sz="4" w:space="0" w:color="auto"/>
              <w:left w:val="single" w:sz="4" w:space="0" w:color="auto"/>
              <w:bottom w:val="single" w:sz="4" w:space="0" w:color="auto"/>
              <w:right w:val="single" w:sz="4" w:space="0" w:color="auto"/>
            </w:tcBorders>
            <w:hideMark/>
          </w:tcPr>
          <w:p w14:paraId="5956AD6C" w14:textId="77777777" w:rsidR="00AC3A56" w:rsidRPr="00836212" w:rsidRDefault="00AC3A56">
            <w:pPr>
              <w:jc w:val="right"/>
              <w:rPr>
                <w:rFonts w:ascii="Open Sans" w:hAnsi="Open Sans" w:cs="Open Sans"/>
                <w:sz w:val="20"/>
              </w:rPr>
            </w:pPr>
            <w:r w:rsidRPr="00836212">
              <w:rPr>
                <w:rFonts w:ascii="Open Sans" w:hAnsi="Open Sans" w:cs="Open Sans"/>
                <w:sz w:val="20"/>
              </w:rPr>
              <w:t>325,600,000</w:t>
            </w:r>
          </w:p>
        </w:tc>
      </w:tr>
      <w:tr w:rsidR="00AC3A56" w:rsidRPr="00836212" w14:paraId="08B26F9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E3C5095" w14:textId="77777777" w:rsidR="00AC3A56" w:rsidRPr="00836212" w:rsidRDefault="00AC3A56">
            <w:pPr>
              <w:rPr>
                <w:rFonts w:ascii="Open Sans" w:hAnsi="Open Sans" w:cs="Open Sans"/>
                <w:sz w:val="20"/>
              </w:rPr>
            </w:pPr>
            <w:r w:rsidRPr="00836212">
              <w:rPr>
                <w:rFonts w:ascii="Open Sans" w:hAnsi="Open Sans" w:cs="Open Sans"/>
                <w:sz w:val="20"/>
              </w:rPr>
              <w:t>Contingent Consideration (earn out – at acquisition date fair value)</w:t>
            </w:r>
          </w:p>
        </w:tc>
        <w:tc>
          <w:tcPr>
            <w:tcW w:w="1980" w:type="dxa"/>
            <w:tcBorders>
              <w:top w:val="single" w:sz="4" w:space="0" w:color="auto"/>
              <w:left w:val="single" w:sz="4" w:space="0" w:color="auto"/>
              <w:bottom w:val="single" w:sz="4" w:space="0" w:color="auto"/>
              <w:right w:val="single" w:sz="4" w:space="0" w:color="auto"/>
            </w:tcBorders>
            <w:hideMark/>
          </w:tcPr>
          <w:p w14:paraId="6AEC5CD6" w14:textId="77777777" w:rsidR="00AC3A56" w:rsidRPr="00836212" w:rsidRDefault="00AC3A56">
            <w:pPr>
              <w:jc w:val="right"/>
              <w:rPr>
                <w:rFonts w:ascii="Open Sans" w:hAnsi="Open Sans" w:cs="Open Sans"/>
                <w:sz w:val="20"/>
              </w:rPr>
            </w:pPr>
            <w:r w:rsidRPr="00836212">
              <w:rPr>
                <w:rFonts w:ascii="Open Sans" w:hAnsi="Open Sans" w:cs="Open Sans"/>
                <w:sz w:val="20"/>
              </w:rPr>
              <w:t>48,970,000</w:t>
            </w:r>
          </w:p>
        </w:tc>
      </w:tr>
      <w:tr w:rsidR="00AC3A56" w:rsidRPr="00836212" w14:paraId="0F8F044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06E977E" w14:textId="77777777" w:rsidR="00AC3A56" w:rsidRPr="00836212" w:rsidRDefault="00AC3A56">
            <w:pPr>
              <w:rPr>
                <w:rFonts w:ascii="Open Sans" w:hAnsi="Open Sans" w:cs="Open Sans"/>
                <w:sz w:val="20"/>
              </w:rPr>
            </w:pPr>
            <w:r w:rsidRPr="00836212">
              <w:rPr>
                <w:rFonts w:ascii="Open Sans" w:hAnsi="Open Sans" w:cs="Open Sans"/>
                <w:sz w:val="20"/>
              </w:rPr>
              <w:t>Total Consideration Transferred</w:t>
            </w:r>
          </w:p>
        </w:tc>
        <w:tc>
          <w:tcPr>
            <w:tcW w:w="1980" w:type="dxa"/>
            <w:tcBorders>
              <w:top w:val="single" w:sz="4" w:space="0" w:color="auto"/>
              <w:left w:val="single" w:sz="4" w:space="0" w:color="auto"/>
              <w:bottom w:val="single" w:sz="4" w:space="0" w:color="auto"/>
              <w:right w:val="single" w:sz="4" w:space="0" w:color="auto"/>
            </w:tcBorders>
            <w:hideMark/>
          </w:tcPr>
          <w:p w14:paraId="6DB68EBE" w14:textId="77777777" w:rsidR="00AC3A56" w:rsidRPr="00836212" w:rsidRDefault="00AC3A56">
            <w:pPr>
              <w:jc w:val="right"/>
              <w:rPr>
                <w:rFonts w:ascii="Open Sans" w:hAnsi="Open Sans" w:cs="Open Sans"/>
                <w:sz w:val="20"/>
              </w:rPr>
            </w:pPr>
            <w:r w:rsidRPr="00836212">
              <w:rPr>
                <w:rFonts w:ascii="Open Sans" w:hAnsi="Open Sans" w:cs="Open Sans"/>
                <w:sz w:val="20"/>
              </w:rPr>
              <w:t>$474,570,000</w:t>
            </w:r>
          </w:p>
        </w:tc>
      </w:tr>
    </w:tbl>
    <w:p w14:paraId="4585CF3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Alpha Corporation also assumed the following liabilities (stated at acquisition date fair value).</w:t>
      </w:r>
    </w:p>
    <w:tbl>
      <w:tblPr>
        <w:tblStyle w:val="TableGrid"/>
        <w:tblW w:w="0" w:type="auto"/>
        <w:tblLook w:val="04A0" w:firstRow="1" w:lastRow="0" w:firstColumn="1" w:lastColumn="0" w:noHBand="0" w:noVBand="1"/>
      </w:tblPr>
      <w:tblGrid>
        <w:gridCol w:w="4428"/>
        <w:gridCol w:w="1980"/>
      </w:tblGrid>
      <w:tr w:rsidR="00AC3A56" w:rsidRPr="00836212" w14:paraId="23B654BB"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396C8405" w14:textId="77777777" w:rsidR="00AC3A56" w:rsidRPr="00836212" w:rsidRDefault="00AC3A56">
            <w:pPr>
              <w:rPr>
                <w:rFonts w:ascii="Open Sans" w:hAnsi="Open Sans" w:cs="Open Sans"/>
                <w:sz w:val="20"/>
              </w:rPr>
            </w:pPr>
            <w:r w:rsidRPr="00836212">
              <w:rPr>
                <w:rFonts w:ascii="Open Sans" w:hAnsi="Open Sans" w:cs="Open Sans"/>
                <w:sz w:val="20"/>
              </w:rPr>
              <w:t>Current Liabilities</w:t>
            </w:r>
          </w:p>
        </w:tc>
        <w:tc>
          <w:tcPr>
            <w:tcW w:w="1980" w:type="dxa"/>
            <w:tcBorders>
              <w:top w:val="single" w:sz="4" w:space="0" w:color="auto"/>
              <w:left w:val="single" w:sz="4" w:space="0" w:color="auto"/>
              <w:bottom w:val="single" w:sz="4" w:space="0" w:color="auto"/>
              <w:right w:val="single" w:sz="4" w:space="0" w:color="auto"/>
            </w:tcBorders>
            <w:hideMark/>
          </w:tcPr>
          <w:p w14:paraId="13118F62" w14:textId="77777777" w:rsidR="00AC3A56" w:rsidRPr="00836212" w:rsidRDefault="00AC3A56">
            <w:pPr>
              <w:jc w:val="right"/>
              <w:rPr>
                <w:rFonts w:ascii="Open Sans" w:hAnsi="Open Sans" w:cs="Open Sans"/>
                <w:sz w:val="20"/>
              </w:rPr>
            </w:pPr>
            <w:r w:rsidRPr="00836212">
              <w:rPr>
                <w:rFonts w:ascii="Open Sans" w:hAnsi="Open Sans" w:cs="Open Sans"/>
                <w:sz w:val="20"/>
              </w:rPr>
              <w:t>$48,000,000</w:t>
            </w:r>
          </w:p>
        </w:tc>
      </w:tr>
      <w:tr w:rsidR="00AC3A56" w:rsidRPr="00836212" w14:paraId="231AE658"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4DD5144" w14:textId="77777777" w:rsidR="00AC3A56" w:rsidRPr="00836212" w:rsidRDefault="00AC3A56">
            <w:pPr>
              <w:rPr>
                <w:rFonts w:ascii="Open Sans" w:hAnsi="Open Sans" w:cs="Open Sans"/>
                <w:sz w:val="20"/>
              </w:rPr>
            </w:pPr>
            <w:r w:rsidRPr="00836212">
              <w:rPr>
                <w:rFonts w:ascii="Open Sans" w:hAnsi="Open Sans" w:cs="Open Sans"/>
                <w:sz w:val="20"/>
              </w:rPr>
              <w:lastRenderedPageBreak/>
              <w:t>Current Maturities of Long Term Debt</w:t>
            </w:r>
          </w:p>
        </w:tc>
        <w:tc>
          <w:tcPr>
            <w:tcW w:w="1980" w:type="dxa"/>
            <w:tcBorders>
              <w:top w:val="single" w:sz="4" w:space="0" w:color="auto"/>
              <w:left w:val="single" w:sz="4" w:space="0" w:color="auto"/>
              <w:bottom w:val="single" w:sz="4" w:space="0" w:color="auto"/>
              <w:right w:val="single" w:sz="4" w:space="0" w:color="auto"/>
            </w:tcBorders>
            <w:hideMark/>
          </w:tcPr>
          <w:p w14:paraId="5983748B" w14:textId="77777777" w:rsidR="00AC3A56" w:rsidRPr="00836212" w:rsidRDefault="00AC3A56">
            <w:pPr>
              <w:jc w:val="right"/>
              <w:rPr>
                <w:rFonts w:ascii="Open Sans" w:hAnsi="Open Sans" w:cs="Open Sans"/>
                <w:sz w:val="20"/>
              </w:rPr>
            </w:pPr>
            <w:r w:rsidRPr="00836212">
              <w:rPr>
                <w:rFonts w:ascii="Open Sans" w:hAnsi="Open Sans" w:cs="Open Sans"/>
                <w:sz w:val="20"/>
              </w:rPr>
              <w:t>14,000,000</w:t>
            </w:r>
          </w:p>
        </w:tc>
      </w:tr>
      <w:tr w:rsidR="00AC3A56" w:rsidRPr="00836212" w14:paraId="4F802D6B"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5A037C62" w14:textId="77777777" w:rsidR="00AC3A56" w:rsidRPr="00836212" w:rsidRDefault="00AC3A56">
            <w:pPr>
              <w:rPr>
                <w:rFonts w:ascii="Open Sans" w:hAnsi="Open Sans" w:cs="Open Sans"/>
                <w:sz w:val="20"/>
              </w:rPr>
            </w:pPr>
            <w:r w:rsidRPr="00836212">
              <w:rPr>
                <w:rFonts w:ascii="Open Sans" w:hAnsi="Open Sans" w:cs="Open Sans"/>
                <w:sz w:val="20"/>
              </w:rPr>
              <w:t>Long Term Debt</w:t>
            </w:r>
          </w:p>
        </w:tc>
        <w:tc>
          <w:tcPr>
            <w:tcW w:w="1980" w:type="dxa"/>
            <w:tcBorders>
              <w:top w:val="single" w:sz="4" w:space="0" w:color="auto"/>
              <w:left w:val="single" w:sz="4" w:space="0" w:color="auto"/>
              <w:bottom w:val="single" w:sz="4" w:space="0" w:color="auto"/>
              <w:right w:val="single" w:sz="4" w:space="0" w:color="auto"/>
            </w:tcBorders>
            <w:hideMark/>
          </w:tcPr>
          <w:p w14:paraId="52C7A134" w14:textId="77777777" w:rsidR="00AC3A56" w:rsidRPr="00836212" w:rsidRDefault="00AC3A56">
            <w:pPr>
              <w:jc w:val="right"/>
              <w:rPr>
                <w:rFonts w:ascii="Open Sans" w:hAnsi="Open Sans" w:cs="Open Sans"/>
                <w:sz w:val="20"/>
              </w:rPr>
            </w:pPr>
            <w:r w:rsidRPr="00836212">
              <w:rPr>
                <w:rFonts w:ascii="Open Sans" w:hAnsi="Open Sans" w:cs="Open Sans"/>
                <w:sz w:val="20"/>
              </w:rPr>
              <w:t>95,000,000</w:t>
            </w:r>
          </w:p>
        </w:tc>
      </w:tr>
      <w:tr w:rsidR="00AC3A56" w:rsidRPr="00836212" w14:paraId="11A9DBE3"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035B406F" w14:textId="77777777" w:rsidR="00AC3A56" w:rsidRPr="00836212" w:rsidRDefault="00AC3A56">
            <w:pPr>
              <w:rPr>
                <w:rFonts w:ascii="Open Sans" w:hAnsi="Open Sans" w:cs="Open Sans"/>
                <w:sz w:val="20"/>
              </w:rPr>
            </w:pPr>
            <w:r w:rsidRPr="00836212">
              <w:rPr>
                <w:rFonts w:ascii="Open Sans" w:hAnsi="Open Sans" w:cs="Open Sans"/>
                <w:sz w:val="20"/>
              </w:rPr>
              <w:t>Total Liabilities</w:t>
            </w:r>
          </w:p>
        </w:tc>
        <w:tc>
          <w:tcPr>
            <w:tcW w:w="1980" w:type="dxa"/>
            <w:tcBorders>
              <w:top w:val="single" w:sz="4" w:space="0" w:color="auto"/>
              <w:left w:val="single" w:sz="4" w:space="0" w:color="auto"/>
              <w:bottom w:val="single" w:sz="4" w:space="0" w:color="auto"/>
              <w:right w:val="single" w:sz="4" w:space="0" w:color="auto"/>
            </w:tcBorders>
            <w:hideMark/>
          </w:tcPr>
          <w:p w14:paraId="5EC39EA4" w14:textId="77777777" w:rsidR="00AC3A56" w:rsidRPr="00836212" w:rsidRDefault="00AC3A56">
            <w:pPr>
              <w:jc w:val="right"/>
              <w:rPr>
                <w:rFonts w:ascii="Open Sans" w:hAnsi="Open Sans" w:cs="Open Sans"/>
                <w:sz w:val="20"/>
              </w:rPr>
            </w:pPr>
            <w:r w:rsidRPr="00836212">
              <w:rPr>
                <w:rFonts w:ascii="Open Sans" w:hAnsi="Open Sans" w:cs="Open Sans"/>
                <w:sz w:val="20"/>
              </w:rPr>
              <w:t>$157,000,000</w:t>
            </w:r>
          </w:p>
        </w:tc>
      </w:tr>
    </w:tbl>
    <w:p w14:paraId="162B4889"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A review of the balance sheet of Beta and appraisals by independent valuation experts provided the following information:</w:t>
      </w:r>
    </w:p>
    <w:tbl>
      <w:tblPr>
        <w:tblStyle w:val="TableGrid"/>
        <w:tblW w:w="0" w:type="auto"/>
        <w:tblLook w:val="04A0" w:firstRow="1" w:lastRow="0" w:firstColumn="1" w:lastColumn="0" w:noHBand="0" w:noVBand="1"/>
      </w:tblPr>
      <w:tblGrid>
        <w:gridCol w:w="4428"/>
        <w:gridCol w:w="1980"/>
        <w:gridCol w:w="1980"/>
      </w:tblGrid>
      <w:tr w:rsidR="00AC3A56" w:rsidRPr="00836212" w14:paraId="4FEF6F39" w14:textId="77777777" w:rsidTr="00AC3A56">
        <w:tc>
          <w:tcPr>
            <w:tcW w:w="4428" w:type="dxa"/>
            <w:tcBorders>
              <w:top w:val="single" w:sz="4" w:space="0" w:color="auto"/>
              <w:left w:val="single" w:sz="4" w:space="0" w:color="auto"/>
              <w:bottom w:val="single" w:sz="4" w:space="0" w:color="auto"/>
              <w:right w:val="single" w:sz="4" w:space="0" w:color="auto"/>
            </w:tcBorders>
          </w:tcPr>
          <w:p w14:paraId="158A5B9B" w14:textId="77777777" w:rsidR="00AC3A56" w:rsidRPr="00836212" w:rsidRDefault="00AC3A56">
            <w:pPr>
              <w:rPr>
                <w:rFonts w:ascii="Open Sans" w:hAnsi="Open Sans" w:cs="Open Sans"/>
                <w:sz w:val="20"/>
              </w:rPr>
            </w:pPr>
          </w:p>
        </w:tc>
        <w:tc>
          <w:tcPr>
            <w:tcW w:w="1980" w:type="dxa"/>
            <w:tcBorders>
              <w:top w:val="single" w:sz="4" w:space="0" w:color="auto"/>
              <w:left w:val="single" w:sz="4" w:space="0" w:color="auto"/>
              <w:bottom w:val="single" w:sz="4" w:space="0" w:color="auto"/>
              <w:right w:val="single" w:sz="4" w:space="0" w:color="auto"/>
            </w:tcBorders>
            <w:hideMark/>
          </w:tcPr>
          <w:p w14:paraId="77E906BF" w14:textId="77777777" w:rsidR="00AC3A56" w:rsidRPr="00836212" w:rsidRDefault="00AC3A56">
            <w:pPr>
              <w:jc w:val="right"/>
              <w:rPr>
                <w:rFonts w:ascii="Open Sans" w:hAnsi="Open Sans" w:cs="Open Sans"/>
                <w:sz w:val="20"/>
              </w:rPr>
            </w:pPr>
            <w:r w:rsidRPr="00836212">
              <w:rPr>
                <w:rFonts w:ascii="Open Sans" w:hAnsi="Open Sans" w:cs="Open Sans"/>
                <w:sz w:val="20"/>
              </w:rPr>
              <w:t>Carrying Value</w:t>
            </w:r>
          </w:p>
        </w:tc>
        <w:tc>
          <w:tcPr>
            <w:tcW w:w="1980" w:type="dxa"/>
            <w:tcBorders>
              <w:top w:val="single" w:sz="4" w:space="0" w:color="auto"/>
              <w:left w:val="single" w:sz="4" w:space="0" w:color="auto"/>
              <w:bottom w:val="single" w:sz="4" w:space="0" w:color="auto"/>
              <w:right w:val="single" w:sz="4" w:space="0" w:color="auto"/>
            </w:tcBorders>
            <w:hideMark/>
          </w:tcPr>
          <w:p w14:paraId="41B4CB7E" w14:textId="77777777" w:rsidR="00AC3A56" w:rsidRPr="00836212" w:rsidRDefault="00AC3A56">
            <w:pPr>
              <w:jc w:val="right"/>
              <w:rPr>
                <w:rFonts w:ascii="Open Sans" w:hAnsi="Open Sans" w:cs="Open Sans"/>
                <w:sz w:val="20"/>
              </w:rPr>
            </w:pPr>
            <w:r w:rsidRPr="00836212">
              <w:rPr>
                <w:rFonts w:ascii="Open Sans" w:hAnsi="Open Sans" w:cs="Open Sans"/>
                <w:sz w:val="20"/>
              </w:rPr>
              <w:t>Fair Value</w:t>
            </w:r>
          </w:p>
        </w:tc>
      </w:tr>
      <w:tr w:rsidR="00AC3A56" w:rsidRPr="00836212" w14:paraId="27CCB3C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F8ABE5E" w14:textId="77777777" w:rsidR="00AC3A56" w:rsidRPr="00836212" w:rsidRDefault="00AC3A56">
            <w:pPr>
              <w:rPr>
                <w:rFonts w:ascii="Open Sans" w:hAnsi="Open Sans" w:cs="Open Sans"/>
                <w:sz w:val="20"/>
              </w:rPr>
            </w:pPr>
            <w:r w:rsidRPr="00836212">
              <w:rPr>
                <w:rFonts w:ascii="Open Sans" w:hAnsi="Open Sans" w:cs="Open Sans"/>
                <w:sz w:val="20"/>
              </w:rPr>
              <w:t>Cash</w:t>
            </w:r>
          </w:p>
        </w:tc>
        <w:tc>
          <w:tcPr>
            <w:tcW w:w="1980" w:type="dxa"/>
            <w:tcBorders>
              <w:top w:val="single" w:sz="4" w:space="0" w:color="auto"/>
              <w:left w:val="single" w:sz="4" w:space="0" w:color="auto"/>
              <w:bottom w:val="single" w:sz="4" w:space="0" w:color="auto"/>
              <w:right w:val="single" w:sz="4" w:space="0" w:color="auto"/>
            </w:tcBorders>
            <w:hideMark/>
          </w:tcPr>
          <w:p w14:paraId="78B5DBC2" w14:textId="77777777" w:rsidR="00AC3A56" w:rsidRPr="00836212" w:rsidRDefault="00AC3A56">
            <w:pPr>
              <w:jc w:val="right"/>
              <w:rPr>
                <w:rFonts w:ascii="Open Sans" w:hAnsi="Open Sans" w:cs="Open Sans"/>
                <w:sz w:val="20"/>
              </w:rPr>
            </w:pPr>
            <w:r w:rsidRPr="00836212">
              <w:rPr>
                <w:rFonts w:ascii="Open Sans" w:hAnsi="Open Sans" w:cs="Open Sans"/>
                <w:sz w:val="20"/>
              </w:rPr>
              <w:t>$8,000,000</w:t>
            </w:r>
          </w:p>
        </w:tc>
        <w:tc>
          <w:tcPr>
            <w:tcW w:w="1980" w:type="dxa"/>
            <w:tcBorders>
              <w:top w:val="single" w:sz="4" w:space="0" w:color="auto"/>
              <w:left w:val="single" w:sz="4" w:space="0" w:color="auto"/>
              <w:bottom w:val="single" w:sz="4" w:space="0" w:color="auto"/>
              <w:right w:val="single" w:sz="4" w:space="0" w:color="auto"/>
            </w:tcBorders>
            <w:hideMark/>
          </w:tcPr>
          <w:p w14:paraId="73BCA9D8" w14:textId="77777777" w:rsidR="00AC3A56" w:rsidRPr="00836212" w:rsidRDefault="00AC3A56">
            <w:pPr>
              <w:jc w:val="right"/>
              <w:rPr>
                <w:rFonts w:ascii="Open Sans" w:hAnsi="Open Sans" w:cs="Open Sans"/>
                <w:sz w:val="20"/>
              </w:rPr>
            </w:pPr>
            <w:r w:rsidRPr="00836212">
              <w:rPr>
                <w:rFonts w:ascii="Open Sans" w:hAnsi="Open Sans" w:cs="Open Sans"/>
                <w:sz w:val="20"/>
              </w:rPr>
              <w:t>$8,000,000</w:t>
            </w:r>
          </w:p>
        </w:tc>
      </w:tr>
      <w:tr w:rsidR="00AC3A56" w:rsidRPr="00836212" w14:paraId="72D9F7D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31A0AA5" w14:textId="77777777" w:rsidR="00AC3A56" w:rsidRPr="00836212" w:rsidRDefault="00AC3A56">
            <w:pPr>
              <w:rPr>
                <w:rFonts w:ascii="Open Sans" w:hAnsi="Open Sans" w:cs="Open Sans"/>
                <w:sz w:val="20"/>
              </w:rPr>
            </w:pPr>
            <w:r w:rsidRPr="00836212">
              <w:rPr>
                <w:rFonts w:ascii="Open Sans" w:hAnsi="Open Sans" w:cs="Open Sans"/>
                <w:sz w:val="20"/>
              </w:rPr>
              <w:t>Marketable Securities</w:t>
            </w:r>
          </w:p>
        </w:tc>
        <w:tc>
          <w:tcPr>
            <w:tcW w:w="1980" w:type="dxa"/>
            <w:tcBorders>
              <w:top w:val="single" w:sz="4" w:space="0" w:color="auto"/>
              <w:left w:val="single" w:sz="4" w:space="0" w:color="auto"/>
              <w:bottom w:val="single" w:sz="4" w:space="0" w:color="auto"/>
              <w:right w:val="single" w:sz="4" w:space="0" w:color="auto"/>
            </w:tcBorders>
            <w:hideMark/>
          </w:tcPr>
          <w:p w14:paraId="491759F8" w14:textId="77777777" w:rsidR="00AC3A56" w:rsidRPr="00836212" w:rsidRDefault="00AC3A56">
            <w:pPr>
              <w:jc w:val="right"/>
              <w:rPr>
                <w:rFonts w:ascii="Open Sans" w:hAnsi="Open Sans" w:cs="Open Sans"/>
                <w:sz w:val="20"/>
              </w:rPr>
            </w:pPr>
            <w:r w:rsidRPr="00836212">
              <w:rPr>
                <w:rFonts w:ascii="Open Sans" w:hAnsi="Open Sans" w:cs="Open Sans"/>
                <w:sz w:val="20"/>
              </w:rPr>
              <w:t>9,000,000</w:t>
            </w:r>
          </w:p>
        </w:tc>
        <w:tc>
          <w:tcPr>
            <w:tcW w:w="1980" w:type="dxa"/>
            <w:tcBorders>
              <w:top w:val="single" w:sz="4" w:space="0" w:color="auto"/>
              <w:left w:val="single" w:sz="4" w:space="0" w:color="auto"/>
              <w:bottom w:val="single" w:sz="4" w:space="0" w:color="auto"/>
              <w:right w:val="single" w:sz="4" w:space="0" w:color="auto"/>
            </w:tcBorders>
            <w:hideMark/>
          </w:tcPr>
          <w:p w14:paraId="1FE36D04" w14:textId="77777777" w:rsidR="00AC3A56" w:rsidRPr="00836212" w:rsidRDefault="00AC3A56">
            <w:pPr>
              <w:jc w:val="right"/>
              <w:rPr>
                <w:rFonts w:ascii="Open Sans" w:hAnsi="Open Sans" w:cs="Open Sans"/>
                <w:sz w:val="20"/>
              </w:rPr>
            </w:pPr>
            <w:r w:rsidRPr="00836212">
              <w:rPr>
                <w:rFonts w:ascii="Open Sans" w:hAnsi="Open Sans" w:cs="Open Sans"/>
                <w:sz w:val="20"/>
              </w:rPr>
              <w:t>18,000,000</w:t>
            </w:r>
          </w:p>
        </w:tc>
      </w:tr>
      <w:tr w:rsidR="00AC3A56" w:rsidRPr="00836212" w14:paraId="32EB4316"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2F05AE3A" w14:textId="77777777" w:rsidR="00AC3A56" w:rsidRPr="00836212" w:rsidRDefault="00AC3A56">
            <w:pPr>
              <w:rPr>
                <w:rFonts w:ascii="Open Sans" w:hAnsi="Open Sans" w:cs="Open Sans"/>
                <w:sz w:val="20"/>
              </w:rPr>
            </w:pPr>
            <w:r w:rsidRPr="00836212">
              <w:rPr>
                <w:rFonts w:ascii="Open Sans" w:hAnsi="Open Sans" w:cs="Open Sans"/>
                <w:sz w:val="20"/>
              </w:rPr>
              <w:t>Accounts Receivable</w:t>
            </w:r>
          </w:p>
        </w:tc>
        <w:tc>
          <w:tcPr>
            <w:tcW w:w="1980" w:type="dxa"/>
            <w:tcBorders>
              <w:top w:val="single" w:sz="4" w:space="0" w:color="auto"/>
              <w:left w:val="single" w:sz="4" w:space="0" w:color="auto"/>
              <w:bottom w:val="single" w:sz="4" w:space="0" w:color="auto"/>
              <w:right w:val="single" w:sz="4" w:space="0" w:color="auto"/>
            </w:tcBorders>
            <w:hideMark/>
          </w:tcPr>
          <w:p w14:paraId="07F9A6B0" w14:textId="77777777" w:rsidR="00AC3A56" w:rsidRPr="00836212" w:rsidRDefault="00AC3A56">
            <w:pPr>
              <w:jc w:val="right"/>
              <w:rPr>
                <w:rFonts w:ascii="Open Sans" w:hAnsi="Open Sans" w:cs="Open Sans"/>
                <w:sz w:val="20"/>
              </w:rPr>
            </w:pPr>
            <w:r w:rsidRPr="00836212">
              <w:rPr>
                <w:rFonts w:ascii="Open Sans" w:hAnsi="Open Sans" w:cs="Open Sans"/>
                <w:sz w:val="20"/>
              </w:rPr>
              <w:t>48,000,000</w:t>
            </w:r>
          </w:p>
        </w:tc>
        <w:tc>
          <w:tcPr>
            <w:tcW w:w="1980" w:type="dxa"/>
            <w:tcBorders>
              <w:top w:val="single" w:sz="4" w:space="0" w:color="auto"/>
              <w:left w:val="single" w:sz="4" w:space="0" w:color="auto"/>
              <w:bottom w:val="single" w:sz="4" w:space="0" w:color="auto"/>
              <w:right w:val="single" w:sz="4" w:space="0" w:color="auto"/>
            </w:tcBorders>
            <w:hideMark/>
          </w:tcPr>
          <w:p w14:paraId="0F7C6995" w14:textId="77777777" w:rsidR="00AC3A56" w:rsidRPr="00836212" w:rsidRDefault="00AC3A56">
            <w:pPr>
              <w:jc w:val="right"/>
              <w:rPr>
                <w:rFonts w:ascii="Open Sans" w:hAnsi="Open Sans" w:cs="Open Sans"/>
                <w:sz w:val="20"/>
              </w:rPr>
            </w:pPr>
            <w:r w:rsidRPr="00836212">
              <w:rPr>
                <w:rFonts w:ascii="Open Sans" w:hAnsi="Open Sans" w:cs="Open Sans"/>
                <w:sz w:val="20"/>
              </w:rPr>
              <w:t>40,000,000</w:t>
            </w:r>
          </w:p>
        </w:tc>
      </w:tr>
      <w:tr w:rsidR="00AC3A56" w:rsidRPr="00836212" w14:paraId="7EA278F0"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06796130" w14:textId="77777777" w:rsidR="00AC3A56" w:rsidRPr="00836212" w:rsidRDefault="00AC3A56">
            <w:pPr>
              <w:rPr>
                <w:rFonts w:ascii="Open Sans" w:hAnsi="Open Sans" w:cs="Open Sans"/>
                <w:sz w:val="20"/>
              </w:rPr>
            </w:pPr>
            <w:r w:rsidRPr="00836212">
              <w:rPr>
                <w:rFonts w:ascii="Open Sans" w:hAnsi="Open Sans" w:cs="Open Sans"/>
                <w:sz w:val="20"/>
              </w:rPr>
              <w:t>Inventory</w:t>
            </w:r>
          </w:p>
        </w:tc>
        <w:tc>
          <w:tcPr>
            <w:tcW w:w="1980" w:type="dxa"/>
            <w:tcBorders>
              <w:top w:val="single" w:sz="4" w:space="0" w:color="auto"/>
              <w:left w:val="single" w:sz="4" w:space="0" w:color="auto"/>
              <w:bottom w:val="single" w:sz="4" w:space="0" w:color="auto"/>
              <w:right w:val="single" w:sz="4" w:space="0" w:color="auto"/>
            </w:tcBorders>
            <w:hideMark/>
          </w:tcPr>
          <w:p w14:paraId="799218C5" w14:textId="77777777" w:rsidR="00AC3A56" w:rsidRPr="00836212" w:rsidRDefault="00AC3A56">
            <w:pPr>
              <w:jc w:val="right"/>
              <w:rPr>
                <w:rFonts w:ascii="Open Sans" w:hAnsi="Open Sans" w:cs="Open Sans"/>
                <w:sz w:val="20"/>
              </w:rPr>
            </w:pPr>
            <w:r w:rsidRPr="00836212">
              <w:rPr>
                <w:rFonts w:ascii="Open Sans" w:hAnsi="Open Sans" w:cs="Open Sans"/>
                <w:sz w:val="20"/>
              </w:rPr>
              <w:t>27,000,000</w:t>
            </w:r>
          </w:p>
        </w:tc>
        <w:tc>
          <w:tcPr>
            <w:tcW w:w="1980" w:type="dxa"/>
            <w:tcBorders>
              <w:top w:val="single" w:sz="4" w:space="0" w:color="auto"/>
              <w:left w:val="single" w:sz="4" w:space="0" w:color="auto"/>
              <w:bottom w:val="single" w:sz="4" w:space="0" w:color="auto"/>
              <w:right w:val="single" w:sz="4" w:space="0" w:color="auto"/>
            </w:tcBorders>
            <w:hideMark/>
          </w:tcPr>
          <w:p w14:paraId="74CD2F74" w14:textId="77777777" w:rsidR="00AC3A56" w:rsidRPr="00836212" w:rsidRDefault="00AC3A56">
            <w:pPr>
              <w:jc w:val="right"/>
              <w:rPr>
                <w:rFonts w:ascii="Open Sans" w:hAnsi="Open Sans" w:cs="Open Sans"/>
                <w:sz w:val="20"/>
              </w:rPr>
            </w:pPr>
            <w:r w:rsidRPr="00836212">
              <w:rPr>
                <w:rFonts w:ascii="Open Sans" w:hAnsi="Open Sans" w:cs="Open Sans"/>
                <w:sz w:val="20"/>
              </w:rPr>
              <w:t>30,000,000</w:t>
            </w:r>
          </w:p>
        </w:tc>
      </w:tr>
      <w:tr w:rsidR="00AC3A56" w:rsidRPr="00836212" w14:paraId="26E79F59"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3A067C82" w14:textId="77777777" w:rsidR="00AC3A56" w:rsidRPr="00836212" w:rsidRDefault="00AC3A56">
            <w:pPr>
              <w:rPr>
                <w:rFonts w:ascii="Open Sans" w:hAnsi="Open Sans" w:cs="Open Sans"/>
                <w:sz w:val="20"/>
              </w:rPr>
            </w:pPr>
            <w:r w:rsidRPr="00836212">
              <w:rPr>
                <w:rFonts w:ascii="Open Sans" w:hAnsi="Open Sans" w:cs="Open Sans"/>
                <w:sz w:val="20"/>
              </w:rPr>
              <w:t>Prepaid Expenses</w:t>
            </w:r>
          </w:p>
        </w:tc>
        <w:tc>
          <w:tcPr>
            <w:tcW w:w="1980" w:type="dxa"/>
            <w:tcBorders>
              <w:top w:val="single" w:sz="4" w:space="0" w:color="auto"/>
              <w:left w:val="single" w:sz="4" w:space="0" w:color="auto"/>
              <w:bottom w:val="single" w:sz="4" w:space="0" w:color="auto"/>
              <w:right w:val="single" w:sz="4" w:space="0" w:color="auto"/>
            </w:tcBorders>
            <w:hideMark/>
          </w:tcPr>
          <w:p w14:paraId="25E361AB" w14:textId="77777777" w:rsidR="00AC3A56" w:rsidRPr="00836212" w:rsidRDefault="00AC3A56">
            <w:pPr>
              <w:jc w:val="right"/>
              <w:rPr>
                <w:rFonts w:ascii="Open Sans" w:hAnsi="Open Sans" w:cs="Open Sans"/>
                <w:sz w:val="20"/>
              </w:rPr>
            </w:pPr>
            <w:r w:rsidRPr="00836212">
              <w:rPr>
                <w:rFonts w:ascii="Open Sans" w:hAnsi="Open Sans" w:cs="Open Sans"/>
                <w:sz w:val="20"/>
              </w:rPr>
              <w:t>10,000,000</w:t>
            </w:r>
          </w:p>
        </w:tc>
        <w:tc>
          <w:tcPr>
            <w:tcW w:w="1980" w:type="dxa"/>
            <w:tcBorders>
              <w:top w:val="single" w:sz="4" w:space="0" w:color="auto"/>
              <w:left w:val="single" w:sz="4" w:space="0" w:color="auto"/>
              <w:bottom w:val="single" w:sz="4" w:space="0" w:color="auto"/>
              <w:right w:val="single" w:sz="4" w:space="0" w:color="auto"/>
            </w:tcBorders>
            <w:hideMark/>
          </w:tcPr>
          <w:p w14:paraId="1F2699D1" w14:textId="77777777" w:rsidR="00AC3A56" w:rsidRPr="00836212" w:rsidRDefault="00AC3A56">
            <w:pPr>
              <w:jc w:val="right"/>
              <w:rPr>
                <w:rFonts w:ascii="Open Sans" w:hAnsi="Open Sans" w:cs="Open Sans"/>
                <w:sz w:val="20"/>
              </w:rPr>
            </w:pPr>
            <w:r w:rsidRPr="00836212">
              <w:rPr>
                <w:rFonts w:ascii="Open Sans" w:hAnsi="Open Sans" w:cs="Open Sans"/>
                <w:sz w:val="20"/>
              </w:rPr>
              <w:t>10,000,000</w:t>
            </w:r>
          </w:p>
        </w:tc>
      </w:tr>
      <w:tr w:rsidR="00AC3A56" w:rsidRPr="00836212" w14:paraId="70605424"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1ED8EA8F" w14:textId="77777777" w:rsidR="00AC3A56" w:rsidRPr="00836212" w:rsidRDefault="00AC3A56">
            <w:pPr>
              <w:rPr>
                <w:rFonts w:ascii="Open Sans" w:hAnsi="Open Sans" w:cs="Open Sans"/>
                <w:sz w:val="20"/>
              </w:rPr>
            </w:pPr>
            <w:r w:rsidRPr="00836212">
              <w:rPr>
                <w:rFonts w:ascii="Open Sans" w:hAnsi="Open Sans" w:cs="Open Sans"/>
                <w:sz w:val="20"/>
              </w:rPr>
              <w:t xml:space="preserve">Land and Buildings, net </w:t>
            </w:r>
          </w:p>
        </w:tc>
        <w:tc>
          <w:tcPr>
            <w:tcW w:w="1980" w:type="dxa"/>
            <w:tcBorders>
              <w:top w:val="single" w:sz="4" w:space="0" w:color="auto"/>
              <w:left w:val="single" w:sz="4" w:space="0" w:color="auto"/>
              <w:bottom w:val="single" w:sz="4" w:space="0" w:color="auto"/>
              <w:right w:val="single" w:sz="4" w:space="0" w:color="auto"/>
            </w:tcBorders>
            <w:hideMark/>
          </w:tcPr>
          <w:p w14:paraId="02AB1F88" w14:textId="77777777" w:rsidR="00AC3A56" w:rsidRPr="00836212" w:rsidRDefault="00AC3A56">
            <w:pPr>
              <w:jc w:val="right"/>
              <w:rPr>
                <w:rFonts w:ascii="Open Sans" w:hAnsi="Open Sans" w:cs="Open Sans"/>
                <w:sz w:val="20"/>
              </w:rPr>
            </w:pPr>
            <w:r w:rsidRPr="00836212">
              <w:rPr>
                <w:rFonts w:ascii="Open Sans" w:hAnsi="Open Sans" w:cs="Open Sans"/>
                <w:sz w:val="20"/>
              </w:rPr>
              <w:t>22,000,000</w:t>
            </w:r>
          </w:p>
        </w:tc>
        <w:tc>
          <w:tcPr>
            <w:tcW w:w="1980" w:type="dxa"/>
            <w:tcBorders>
              <w:top w:val="single" w:sz="4" w:space="0" w:color="auto"/>
              <w:left w:val="single" w:sz="4" w:space="0" w:color="auto"/>
              <w:bottom w:val="single" w:sz="4" w:space="0" w:color="auto"/>
              <w:right w:val="single" w:sz="4" w:space="0" w:color="auto"/>
            </w:tcBorders>
            <w:hideMark/>
          </w:tcPr>
          <w:p w14:paraId="79E564FE" w14:textId="77777777" w:rsidR="00AC3A56" w:rsidRPr="00836212" w:rsidRDefault="00AC3A56">
            <w:pPr>
              <w:jc w:val="right"/>
              <w:rPr>
                <w:rFonts w:ascii="Open Sans" w:hAnsi="Open Sans" w:cs="Open Sans"/>
                <w:sz w:val="20"/>
              </w:rPr>
            </w:pPr>
            <w:r w:rsidRPr="00836212">
              <w:rPr>
                <w:rFonts w:ascii="Open Sans" w:hAnsi="Open Sans" w:cs="Open Sans"/>
                <w:sz w:val="20"/>
              </w:rPr>
              <w:t>36,000,000</w:t>
            </w:r>
          </w:p>
        </w:tc>
      </w:tr>
      <w:tr w:rsidR="00AC3A56" w:rsidRPr="00836212" w14:paraId="21869E00"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3A88E130" w14:textId="77777777" w:rsidR="00AC3A56" w:rsidRPr="00836212" w:rsidRDefault="00AC3A56">
            <w:pPr>
              <w:rPr>
                <w:rFonts w:ascii="Open Sans" w:hAnsi="Open Sans" w:cs="Open Sans"/>
                <w:sz w:val="20"/>
              </w:rPr>
            </w:pPr>
            <w:r w:rsidRPr="00836212">
              <w:rPr>
                <w:rFonts w:ascii="Open Sans" w:hAnsi="Open Sans" w:cs="Open Sans"/>
                <w:sz w:val="20"/>
              </w:rPr>
              <w:t>Machinery and Equip, net</w:t>
            </w:r>
          </w:p>
        </w:tc>
        <w:tc>
          <w:tcPr>
            <w:tcW w:w="1980" w:type="dxa"/>
            <w:tcBorders>
              <w:top w:val="single" w:sz="4" w:space="0" w:color="auto"/>
              <w:left w:val="single" w:sz="4" w:space="0" w:color="auto"/>
              <w:bottom w:val="single" w:sz="4" w:space="0" w:color="auto"/>
              <w:right w:val="single" w:sz="4" w:space="0" w:color="auto"/>
            </w:tcBorders>
            <w:hideMark/>
          </w:tcPr>
          <w:p w14:paraId="3033CEDF" w14:textId="77777777" w:rsidR="00AC3A56" w:rsidRPr="00836212" w:rsidRDefault="00AC3A56">
            <w:pPr>
              <w:jc w:val="right"/>
              <w:rPr>
                <w:rFonts w:ascii="Open Sans" w:hAnsi="Open Sans" w:cs="Open Sans"/>
                <w:sz w:val="20"/>
              </w:rPr>
            </w:pPr>
            <w:r w:rsidRPr="00836212">
              <w:rPr>
                <w:rFonts w:ascii="Open Sans" w:hAnsi="Open Sans" w:cs="Open Sans"/>
                <w:sz w:val="20"/>
              </w:rPr>
              <w:t>53,000,000</w:t>
            </w:r>
          </w:p>
        </w:tc>
        <w:tc>
          <w:tcPr>
            <w:tcW w:w="1980" w:type="dxa"/>
            <w:tcBorders>
              <w:top w:val="single" w:sz="4" w:space="0" w:color="auto"/>
              <w:left w:val="single" w:sz="4" w:space="0" w:color="auto"/>
              <w:bottom w:val="single" w:sz="4" w:space="0" w:color="auto"/>
              <w:right w:val="single" w:sz="4" w:space="0" w:color="auto"/>
            </w:tcBorders>
            <w:hideMark/>
          </w:tcPr>
          <w:p w14:paraId="4E941215" w14:textId="77777777" w:rsidR="00AC3A56" w:rsidRPr="00836212" w:rsidRDefault="00AC3A56">
            <w:pPr>
              <w:jc w:val="right"/>
              <w:rPr>
                <w:rFonts w:ascii="Open Sans" w:hAnsi="Open Sans" w:cs="Open Sans"/>
                <w:sz w:val="20"/>
              </w:rPr>
            </w:pPr>
            <w:r w:rsidRPr="00836212">
              <w:rPr>
                <w:rFonts w:ascii="Open Sans" w:hAnsi="Open Sans" w:cs="Open Sans"/>
                <w:sz w:val="20"/>
              </w:rPr>
              <w:t>85,000,000</w:t>
            </w:r>
          </w:p>
        </w:tc>
      </w:tr>
      <w:tr w:rsidR="00AC3A56" w:rsidRPr="00836212" w14:paraId="63A054EB"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44682ED5" w14:textId="77777777" w:rsidR="00AC3A56" w:rsidRPr="00836212" w:rsidRDefault="00AC3A56">
            <w:pPr>
              <w:rPr>
                <w:rFonts w:ascii="Open Sans" w:hAnsi="Open Sans" w:cs="Open Sans"/>
                <w:sz w:val="20"/>
              </w:rPr>
            </w:pPr>
            <w:r w:rsidRPr="00836212">
              <w:rPr>
                <w:rFonts w:ascii="Open Sans" w:hAnsi="Open Sans" w:cs="Open Sans"/>
                <w:sz w:val="20"/>
              </w:rPr>
              <w:t>Organization Costs</w:t>
            </w:r>
          </w:p>
        </w:tc>
        <w:tc>
          <w:tcPr>
            <w:tcW w:w="1980" w:type="dxa"/>
            <w:tcBorders>
              <w:top w:val="single" w:sz="4" w:space="0" w:color="auto"/>
              <w:left w:val="single" w:sz="4" w:space="0" w:color="auto"/>
              <w:bottom w:val="single" w:sz="4" w:space="0" w:color="auto"/>
              <w:right w:val="single" w:sz="4" w:space="0" w:color="auto"/>
            </w:tcBorders>
            <w:hideMark/>
          </w:tcPr>
          <w:p w14:paraId="6BD96A22" w14:textId="77777777" w:rsidR="00AC3A56" w:rsidRPr="00836212" w:rsidRDefault="00AC3A56">
            <w:pPr>
              <w:jc w:val="right"/>
              <w:rPr>
                <w:rFonts w:ascii="Open Sans" w:hAnsi="Open Sans" w:cs="Open Sans"/>
                <w:sz w:val="20"/>
              </w:rPr>
            </w:pPr>
            <w:r w:rsidRPr="00836212">
              <w:rPr>
                <w:rFonts w:ascii="Open Sans" w:hAnsi="Open Sans" w:cs="Open Sans"/>
                <w:sz w:val="20"/>
              </w:rPr>
              <w:t>27,000,000</w:t>
            </w:r>
          </w:p>
        </w:tc>
        <w:tc>
          <w:tcPr>
            <w:tcW w:w="1980" w:type="dxa"/>
            <w:tcBorders>
              <w:top w:val="single" w:sz="4" w:space="0" w:color="auto"/>
              <w:left w:val="single" w:sz="4" w:space="0" w:color="auto"/>
              <w:bottom w:val="single" w:sz="4" w:space="0" w:color="auto"/>
              <w:right w:val="single" w:sz="4" w:space="0" w:color="auto"/>
            </w:tcBorders>
            <w:hideMark/>
          </w:tcPr>
          <w:p w14:paraId="0EC98281" w14:textId="77777777" w:rsidR="00AC3A56" w:rsidRPr="00836212" w:rsidRDefault="00AC3A56">
            <w:pPr>
              <w:jc w:val="right"/>
              <w:rPr>
                <w:rFonts w:ascii="Open Sans" w:hAnsi="Open Sans" w:cs="Open Sans"/>
                <w:sz w:val="20"/>
              </w:rPr>
            </w:pPr>
            <w:r w:rsidRPr="00836212">
              <w:rPr>
                <w:rFonts w:ascii="Open Sans" w:hAnsi="Open Sans" w:cs="Open Sans"/>
                <w:sz w:val="20"/>
              </w:rPr>
              <w:t>0</w:t>
            </w:r>
          </w:p>
        </w:tc>
      </w:tr>
      <w:tr w:rsidR="00AC3A56" w:rsidRPr="00836212" w14:paraId="7B0C1C3C"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18E6B535" w14:textId="77777777" w:rsidR="00AC3A56" w:rsidRPr="00836212" w:rsidRDefault="00AC3A56">
            <w:pPr>
              <w:rPr>
                <w:rFonts w:ascii="Open Sans" w:hAnsi="Open Sans" w:cs="Open Sans"/>
                <w:sz w:val="20"/>
              </w:rPr>
            </w:pPr>
            <w:r w:rsidRPr="00836212">
              <w:rPr>
                <w:rFonts w:ascii="Open Sans" w:hAnsi="Open Sans" w:cs="Open Sans"/>
                <w:sz w:val="20"/>
              </w:rPr>
              <w:t>Total Tangible Assets</w:t>
            </w:r>
          </w:p>
        </w:tc>
        <w:tc>
          <w:tcPr>
            <w:tcW w:w="1980" w:type="dxa"/>
            <w:tcBorders>
              <w:top w:val="single" w:sz="4" w:space="0" w:color="auto"/>
              <w:left w:val="single" w:sz="4" w:space="0" w:color="auto"/>
              <w:bottom w:val="single" w:sz="4" w:space="0" w:color="auto"/>
              <w:right w:val="single" w:sz="4" w:space="0" w:color="auto"/>
            </w:tcBorders>
            <w:hideMark/>
          </w:tcPr>
          <w:p w14:paraId="65C27311" w14:textId="77777777" w:rsidR="00AC3A56" w:rsidRPr="00836212" w:rsidRDefault="00AC3A56">
            <w:pPr>
              <w:jc w:val="right"/>
              <w:rPr>
                <w:rFonts w:ascii="Open Sans" w:hAnsi="Open Sans" w:cs="Open Sans"/>
                <w:sz w:val="20"/>
              </w:rPr>
            </w:pPr>
            <w:r w:rsidRPr="00836212">
              <w:rPr>
                <w:rFonts w:ascii="Open Sans" w:hAnsi="Open Sans" w:cs="Open Sans"/>
                <w:sz w:val="20"/>
              </w:rPr>
              <w:t>$204,000,000</w:t>
            </w:r>
          </w:p>
        </w:tc>
        <w:tc>
          <w:tcPr>
            <w:tcW w:w="1980" w:type="dxa"/>
            <w:tcBorders>
              <w:top w:val="single" w:sz="4" w:space="0" w:color="auto"/>
              <w:left w:val="single" w:sz="4" w:space="0" w:color="auto"/>
              <w:bottom w:val="single" w:sz="4" w:space="0" w:color="auto"/>
              <w:right w:val="single" w:sz="4" w:space="0" w:color="auto"/>
            </w:tcBorders>
            <w:hideMark/>
          </w:tcPr>
          <w:p w14:paraId="6FC53195" w14:textId="77777777" w:rsidR="00AC3A56" w:rsidRPr="00836212" w:rsidRDefault="00AC3A56">
            <w:pPr>
              <w:jc w:val="right"/>
              <w:rPr>
                <w:rFonts w:ascii="Open Sans" w:hAnsi="Open Sans" w:cs="Open Sans"/>
                <w:sz w:val="20"/>
              </w:rPr>
            </w:pPr>
            <w:r w:rsidRPr="00836212">
              <w:rPr>
                <w:rFonts w:ascii="Open Sans" w:hAnsi="Open Sans" w:cs="Open Sans"/>
                <w:sz w:val="20"/>
              </w:rPr>
              <w:t>$227,000,000</w:t>
            </w:r>
          </w:p>
        </w:tc>
      </w:tr>
    </w:tbl>
    <w:p w14:paraId="23B038F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An investigation of Beta and its operations are conducted and it is determined that there are six identifiable intangible assets, an assembled workforce and potentially goodwill.  The intangibles and the approach to be used for valuation are:</w:t>
      </w:r>
    </w:p>
    <w:tbl>
      <w:tblPr>
        <w:tblStyle w:val="TableGrid"/>
        <w:tblW w:w="0" w:type="auto"/>
        <w:tblLook w:val="04A0" w:firstRow="1" w:lastRow="0" w:firstColumn="1" w:lastColumn="0" w:noHBand="0" w:noVBand="1"/>
      </w:tblPr>
      <w:tblGrid>
        <w:gridCol w:w="3708"/>
        <w:gridCol w:w="2250"/>
        <w:gridCol w:w="2610"/>
      </w:tblGrid>
      <w:tr w:rsidR="00AC3A56" w:rsidRPr="00836212" w14:paraId="35C46952"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3A87463C" w14:textId="77777777" w:rsidR="00AC3A56" w:rsidRPr="00836212" w:rsidRDefault="00AC3A56">
            <w:pPr>
              <w:rPr>
                <w:rFonts w:ascii="Open Sans" w:hAnsi="Open Sans" w:cs="Open Sans"/>
                <w:sz w:val="20"/>
              </w:rPr>
            </w:pPr>
            <w:r w:rsidRPr="00836212">
              <w:rPr>
                <w:rFonts w:ascii="Open Sans" w:hAnsi="Open Sans" w:cs="Open Sans"/>
                <w:sz w:val="20"/>
              </w:rPr>
              <w:t>Asset</w:t>
            </w:r>
          </w:p>
        </w:tc>
        <w:tc>
          <w:tcPr>
            <w:tcW w:w="2250" w:type="dxa"/>
            <w:tcBorders>
              <w:top w:val="single" w:sz="4" w:space="0" w:color="auto"/>
              <w:left w:val="single" w:sz="4" w:space="0" w:color="auto"/>
              <w:bottom w:val="single" w:sz="4" w:space="0" w:color="auto"/>
              <w:right w:val="single" w:sz="4" w:space="0" w:color="auto"/>
            </w:tcBorders>
            <w:hideMark/>
          </w:tcPr>
          <w:p w14:paraId="729E3D17" w14:textId="77777777" w:rsidR="00AC3A56" w:rsidRPr="00836212" w:rsidRDefault="00AC3A56">
            <w:pPr>
              <w:jc w:val="center"/>
              <w:rPr>
                <w:rFonts w:ascii="Open Sans" w:hAnsi="Open Sans" w:cs="Open Sans"/>
                <w:sz w:val="20"/>
              </w:rPr>
            </w:pPr>
            <w:r w:rsidRPr="00836212">
              <w:rPr>
                <w:rFonts w:ascii="Open Sans" w:hAnsi="Open Sans" w:cs="Open Sans"/>
                <w:sz w:val="20"/>
              </w:rPr>
              <w:t>Type</w:t>
            </w:r>
          </w:p>
        </w:tc>
        <w:tc>
          <w:tcPr>
            <w:tcW w:w="2610" w:type="dxa"/>
            <w:tcBorders>
              <w:top w:val="single" w:sz="4" w:space="0" w:color="auto"/>
              <w:left w:val="single" w:sz="4" w:space="0" w:color="auto"/>
              <w:bottom w:val="single" w:sz="4" w:space="0" w:color="auto"/>
              <w:right w:val="single" w:sz="4" w:space="0" w:color="auto"/>
            </w:tcBorders>
            <w:hideMark/>
          </w:tcPr>
          <w:p w14:paraId="3B9A9EA1" w14:textId="77777777" w:rsidR="00AC3A56" w:rsidRPr="00836212" w:rsidRDefault="00AC3A56">
            <w:pPr>
              <w:tabs>
                <w:tab w:val="center" w:pos="747"/>
                <w:tab w:val="right" w:pos="1494"/>
              </w:tabs>
              <w:jc w:val="center"/>
              <w:rPr>
                <w:rFonts w:ascii="Open Sans" w:hAnsi="Open Sans" w:cs="Open Sans"/>
                <w:sz w:val="20"/>
              </w:rPr>
            </w:pPr>
            <w:r w:rsidRPr="00836212">
              <w:rPr>
                <w:rFonts w:ascii="Open Sans" w:hAnsi="Open Sans" w:cs="Open Sans"/>
                <w:sz w:val="20"/>
              </w:rPr>
              <w:t>Valuation</w:t>
            </w:r>
          </w:p>
        </w:tc>
      </w:tr>
      <w:tr w:rsidR="00AC3A56" w:rsidRPr="00836212" w14:paraId="384DB38E"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4B0938AB" w14:textId="77777777" w:rsidR="00AC3A56" w:rsidRPr="00836212" w:rsidRDefault="00AC3A56">
            <w:pPr>
              <w:rPr>
                <w:rFonts w:ascii="Open Sans" w:hAnsi="Open Sans" w:cs="Open Sans"/>
                <w:sz w:val="20"/>
              </w:rPr>
            </w:pPr>
            <w:r w:rsidRPr="00836212">
              <w:rPr>
                <w:rFonts w:ascii="Open Sans" w:hAnsi="Open Sans" w:cs="Open Sans"/>
                <w:sz w:val="20"/>
              </w:rPr>
              <w:t>Acquired Software</w:t>
            </w:r>
          </w:p>
        </w:tc>
        <w:tc>
          <w:tcPr>
            <w:tcW w:w="2250" w:type="dxa"/>
            <w:tcBorders>
              <w:top w:val="single" w:sz="4" w:space="0" w:color="auto"/>
              <w:left w:val="single" w:sz="4" w:space="0" w:color="auto"/>
              <w:bottom w:val="single" w:sz="4" w:space="0" w:color="auto"/>
              <w:right w:val="single" w:sz="4" w:space="0" w:color="auto"/>
            </w:tcBorders>
            <w:hideMark/>
          </w:tcPr>
          <w:p w14:paraId="3BCFD5B5" w14:textId="77777777" w:rsidR="00AC3A56" w:rsidRPr="00836212" w:rsidRDefault="00AC3A56">
            <w:pPr>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2F465593" w14:textId="77777777" w:rsidR="00AC3A56" w:rsidRPr="00836212" w:rsidRDefault="00AC3A56">
            <w:pPr>
              <w:tabs>
                <w:tab w:val="center" w:pos="747"/>
                <w:tab w:val="right" w:pos="1494"/>
              </w:tabs>
              <w:rPr>
                <w:rFonts w:ascii="Open Sans" w:hAnsi="Open Sans" w:cs="Open Sans"/>
                <w:sz w:val="20"/>
              </w:rPr>
            </w:pPr>
            <w:r w:rsidRPr="00836212">
              <w:rPr>
                <w:rFonts w:ascii="Open Sans" w:hAnsi="Open Sans" w:cs="Open Sans"/>
                <w:sz w:val="20"/>
              </w:rPr>
              <w:t>Cost Approach</w:t>
            </w:r>
          </w:p>
        </w:tc>
      </w:tr>
      <w:tr w:rsidR="00AC3A56" w:rsidRPr="00836212" w14:paraId="0491F0FF"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17EE2F8C" w14:textId="77777777" w:rsidR="00AC3A56" w:rsidRPr="00836212" w:rsidRDefault="00AC3A56">
            <w:pPr>
              <w:rPr>
                <w:rFonts w:ascii="Open Sans" w:hAnsi="Open Sans" w:cs="Open Sans"/>
                <w:sz w:val="20"/>
              </w:rPr>
            </w:pPr>
            <w:r w:rsidRPr="00836212">
              <w:rPr>
                <w:rFonts w:ascii="Open Sans" w:hAnsi="Open Sans" w:cs="Open Sans"/>
                <w:sz w:val="20"/>
              </w:rPr>
              <w:t>Assembled Workforce</w:t>
            </w:r>
          </w:p>
        </w:tc>
        <w:tc>
          <w:tcPr>
            <w:tcW w:w="2250" w:type="dxa"/>
            <w:tcBorders>
              <w:top w:val="single" w:sz="4" w:space="0" w:color="auto"/>
              <w:left w:val="single" w:sz="4" w:space="0" w:color="auto"/>
              <w:bottom w:val="single" w:sz="4" w:space="0" w:color="auto"/>
              <w:right w:val="single" w:sz="4" w:space="0" w:color="auto"/>
            </w:tcBorders>
            <w:hideMark/>
          </w:tcPr>
          <w:p w14:paraId="27A2C2FC" w14:textId="77777777" w:rsidR="00AC3A56" w:rsidRPr="00836212" w:rsidRDefault="00AC3A56">
            <w:pPr>
              <w:rPr>
                <w:rFonts w:ascii="Open Sans" w:hAnsi="Open Sans" w:cs="Open Sans"/>
                <w:sz w:val="20"/>
              </w:rPr>
            </w:pPr>
            <w:r w:rsidRPr="00836212">
              <w:rPr>
                <w:rFonts w:ascii="Open Sans" w:hAnsi="Open Sans" w:cs="Open Sans"/>
                <w:sz w:val="20"/>
              </w:rPr>
              <w:t>Goodwill</w:t>
            </w:r>
          </w:p>
        </w:tc>
        <w:tc>
          <w:tcPr>
            <w:tcW w:w="2610" w:type="dxa"/>
            <w:tcBorders>
              <w:top w:val="single" w:sz="4" w:space="0" w:color="auto"/>
              <w:left w:val="single" w:sz="4" w:space="0" w:color="auto"/>
              <w:bottom w:val="single" w:sz="4" w:space="0" w:color="auto"/>
              <w:right w:val="single" w:sz="4" w:space="0" w:color="auto"/>
            </w:tcBorders>
            <w:hideMark/>
          </w:tcPr>
          <w:p w14:paraId="2A1F0F12" w14:textId="77777777" w:rsidR="00AC3A56" w:rsidRPr="00836212" w:rsidRDefault="00AC3A56">
            <w:pPr>
              <w:rPr>
                <w:rFonts w:ascii="Open Sans" w:hAnsi="Open Sans" w:cs="Open Sans"/>
                <w:sz w:val="20"/>
              </w:rPr>
            </w:pPr>
            <w:r w:rsidRPr="00836212">
              <w:rPr>
                <w:rFonts w:ascii="Open Sans" w:hAnsi="Open Sans" w:cs="Open Sans"/>
                <w:sz w:val="20"/>
              </w:rPr>
              <w:t>Cost Approach</w:t>
            </w:r>
          </w:p>
        </w:tc>
      </w:tr>
      <w:tr w:rsidR="00AC3A56" w:rsidRPr="00836212" w14:paraId="55472CFD"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6DD716BD" w14:textId="77777777" w:rsidR="00AC3A56" w:rsidRPr="00836212" w:rsidRDefault="00AC3A56">
            <w:pPr>
              <w:rPr>
                <w:rFonts w:ascii="Open Sans" w:hAnsi="Open Sans" w:cs="Open Sans"/>
                <w:sz w:val="20"/>
              </w:rPr>
            </w:pPr>
            <w:r w:rsidRPr="00836212">
              <w:rPr>
                <w:rFonts w:ascii="Open Sans" w:hAnsi="Open Sans" w:cs="Open Sans"/>
                <w:sz w:val="20"/>
              </w:rPr>
              <w:t>Trade Name</w:t>
            </w:r>
          </w:p>
        </w:tc>
        <w:tc>
          <w:tcPr>
            <w:tcW w:w="2250" w:type="dxa"/>
            <w:tcBorders>
              <w:top w:val="single" w:sz="4" w:space="0" w:color="auto"/>
              <w:left w:val="single" w:sz="4" w:space="0" w:color="auto"/>
              <w:bottom w:val="single" w:sz="4" w:space="0" w:color="auto"/>
              <w:right w:val="single" w:sz="4" w:space="0" w:color="auto"/>
            </w:tcBorders>
            <w:hideMark/>
          </w:tcPr>
          <w:p w14:paraId="6F904206" w14:textId="77777777" w:rsidR="00AC3A56" w:rsidRPr="00836212" w:rsidRDefault="00AC3A56">
            <w:pPr>
              <w:rPr>
                <w:rFonts w:ascii="Open Sans" w:hAnsi="Open Sans" w:cs="Open Sans"/>
                <w:sz w:val="20"/>
              </w:rPr>
            </w:pPr>
            <w:r w:rsidRPr="00836212">
              <w:rPr>
                <w:rFonts w:ascii="Open Sans" w:hAnsi="Open Sans" w:cs="Open Sans"/>
                <w:sz w:val="20"/>
              </w:rPr>
              <w:t>Marketing-related</w:t>
            </w:r>
          </w:p>
        </w:tc>
        <w:tc>
          <w:tcPr>
            <w:tcW w:w="2610" w:type="dxa"/>
            <w:tcBorders>
              <w:top w:val="single" w:sz="4" w:space="0" w:color="auto"/>
              <w:left w:val="single" w:sz="4" w:space="0" w:color="auto"/>
              <w:bottom w:val="single" w:sz="4" w:space="0" w:color="auto"/>
              <w:right w:val="single" w:sz="4" w:space="0" w:color="auto"/>
            </w:tcBorders>
            <w:hideMark/>
          </w:tcPr>
          <w:p w14:paraId="0C41D9A4"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0E69F986"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2695B988" w14:textId="77777777" w:rsidR="00AC3A56" w:rsidRPr="00836212" w:rsidRDefault="00AC3A56">
            <w:pPr>
              <w:rPr>
                <w:rFonts w:ascii="Open Sans" w:hAnsi="Open Sans" w:cs="Open Sans"/>
                <w:sz w:val="20"/>
              </w:rPr>
            </w:pPr>
            <w:r w:rsidRPr="00836212">
              <w:rPr>
                <w:rFonts w:ascii="Open Sans" w:hAnsi="Open Sans" w:cs="Open Sans"/>
                <w:sz w:val="20"/>
              </w:rPr>
              <w:t>Non-compete Agreements</w:t>
            </w:r>
          </w:p>
        </w:tc>
        <w:tc>
          <w:tcPr>
            <w:tcW w:w="2250" w:type="dxa"/>
            <w:tcBorders>
              <w:top w:val="single" w:sz="4" w:space="0" w:color="auto"/>
              <w:left w:val="single" w:sz="4" w:space="0" w:color="auto"/>
              <w:bottom w:val="single" w:sz="4" w:space="0" w:color="auto"/>
              <w:right w:val="single" w:sz="4" w:space="0" w:color="auto"/>
            </w:tcBorders>
            <w:hideMark/>
          </w:tcPr>
          <w:p w14:paraId="58FB6528" w14:textId="77777777" w:rsidR="00AC3A56" w:rsidRPr="00836212" w:rsidRDefault="00AC3A56">
            <w:pPr>
              <w:rPr>
                <w:rFonts w:ascii="Open Sans" w:hAnsi="Open Sans" w:cs="Open Sans"/>
                <w:sz w:val="20"/>
              </w:rPr>
            </w:pPr>
            <w:r w:rsidRPr="00836212">
              <w:rPr>
                <w:rFonts w:ascii="Open Sans" w:hAnsi="Open Sans" w:cs="Open Sans"/>
                <w:sz w:val="20"/>
              </w:rPr>
              <w:t>Contract-based</w:t>
            </w:r>
          </w:p>
        </w:tc>
        <w:tc>
          <w:tcPr>
            <w:tcW w:w="2610" w:type="dxa"/>
            <w:tcBorders>
              <w:top w:val="single" w:sz="4" w:space="0" w:color="auto"/>
              <w:left w:val="single" w:sz="4" w:space="0" w:color="auto"/>
              <w:bottom w:val="single" w:sz="4" w:space="0" w:color="auto"/>
              <w:right w:val="single" w:sz="4" w:space="0" w:color="auto"/>
            </w:tcBorders>
            <w:hideMark/>
          </w:tcPr>
          <w:p w14:paraId="3F6485B3" w14:textId="77777777" w:rsidR="00AC3A56" w:rsidRPr="00836212" w:rsidRDefault="00AC3A56">
            <w:pPr>
              <w:rPr>
                <w:rFonts w:ascii="Open Sans" w:hAnsi="Open Sans" w:cs="Open Sans"/>
                <w:sz w:val="20"/>
              </w:rPr>
            </w:pPr>
            <w:r w:rsidRPr="00836212">
              <w:rPr>
                <w:rFonts w:ascii="Open Sans" w:hAnsi="Open Sans" w:cs="Open Sans"/>
                <w:sz w:val="20"/>
              </w:rPr>
              <w:t>With and Without DCF</w:t>
            </w:r>
          </w:p>
        </w:tc>
      </w:tr>
      <w:tr w:rsidR="00AC3A56" w:rsidRPr="00836212" w14:paraId="0450178B"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129646D3" w14:textId="77777777" w:rsidR="00AC3A56" w:rsidRPr="00836212" w:rsidRDefault="00AC3A56">
            <w:pPr>
              <w:rPr>
                <w:rFonts w:ascii="Open Sans" w:hAnsi="Open Sans" w:cs="Open Sans"/>
                <w:sz w:val="20"/>
              </w:rPr>
            </w:pPr>
            <w:r w:rsidRPr="00836212">
              <w:rPr>
                <w:rFonts w:ascii="Open Sans" w:hAnsi="Open Sans" w:cs="Open Sans"/>
                <w:sz w:val="20"/>
              </w:rPr>
              <w:t>Existing Technology</w:t>
            </w:r>
          </w:p>
        </w:tc>
        <w:tc>
          <w:tcPr>
            <w:tcW w:w="2250" w:type="dxa"/>
            <w:tcBorders>
              <w:top w:val="single" w:sz="4" w:space="0" w:color="auto"/>
              <w:left w:val="single" w:sz="4" w:space="0" w:color="auto"/>
              <w:bottom w:val="single" w:sz="4" w:space="0" w:color="auto"/>
              <w:right w:val="single" w:sz="4" w:space="0" w:color="auto"/>
            </w:tcBorders>
            <w:hideMark/>
          </w:tcPr>
          <w:p w14:paraId="2A27C886"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5344752D"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0C08ACC5"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0FA3DAF5" w14:textId="77777777" w:rsidR="00AC3A56" w:rsidRPr="00836212" w:rsidRDefault="00AC3A56">
            <w:pPr>
              <w:rPr>
                <w:rFonts w:ascii="Open Sans" w:hAnsi="Open Sans" w:cs="Open Sans"/>
                <w:sz w:val="20"/>
              </w:rPr>
            </w:pPr>
            <w:r w:rsidRPr="00836212">
              <w:rPr>
                <w:rFonts w:ascii="Open Sans" w:hAnsi="Open Sans" w:cs="Open Sans"/>
                <w:sz w:val="20"/>
              </w:rPr>
              <w:t>In-process Research and Develop.</w:t>
            </w:r>
          </w:p>
        </w:tc>
        <w:tc>
          <w:tcPr>
            <w:tcW w:w="2250" w:type="dxa"/>
            <w:tcBorders>
              <w:top w:val="single" w:sz="4" w:space="0" w:color="auto"/>
              <w:left w:val="single" w:sz="4" w:space="0" w:color="auto"/>
              <w:bottom w:val="single" w:sz="4" w:space="0" w:color="auto"/>
              <w:right w:val="single" w:sz="4" w:space="0" w:color="auto"/>
            </w:tcBorders>
            <w:hideMark/>
          </w:tcPr>
          <w:p w14:paraId="1C13A9F8"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396C5514"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335F5C36"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43D8C680" w14:textId="77777777" w:rsidR="00AC3A56" w:rsidRPr="00836212" w:rsidRDefault="00AC3A56">
            <w:pPr>
              <w:rPr>
                <w:rFonts w:ascii="Open Sans" w:hAnsi="Open Sans" w:cs="Open Sans"/>
                <w:sz w:val="20"/>
              </w:rPr>
            </w:pPr>
            <w:r w:rsidRPr="00836212">
              <w:rPr>
                <w:rFonts w:ascii="Open Sans" w:hAnsi="Open Sans" w:cs="Open Sans"/>
                <w:sz w:val="20"/>
              </w:rPr>
              <w:t>Customer Relationships</w:t>
            </w:r>
          </w:p>
        </w:tc>
        <w:tc>
          <w:tcPr>
            <w:tcW w:w="2250" w:type="dxa"/>
            <w:tcBorders>
              <w:top w:val="single" w:sz="4" w:space="0" w:color="auto"/>
              <w:left w:val="single" w:sz="4" w:space="0" w:color="auto"/>
              <w:bottom w:val="single" w:sz="4" w:space="0" w:color="auto"/>
              <w:right w:val="single" w:sz="4" w:space="0" w:color="auto"/>
            </w:tcBorders>
            <w:hideMark/>
          </w:tcPr>
          <w:p w14:paraId="6E43FA88"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Customer-related</w:t>
            </w:r>
          </w:p>
        </w:tc>
        <w:tc>
          <w:tcPr>
            <w:tcW w:w="2610" w:type="dxa"/>
            <w:tcBorders>
              <w:top w:val="single" w:sz="4" w:space="0" w:color="auto"/>
              <w:left w:val="single" w:sz="4" w:space="0" w:color="auto"/>
              <w:bottom w:val="single" w:sz="4" w:space="0" w:color="auto"/>
              <w:right w:val="single" w:sz="4" w:space="0" w:color="auto"/>
            </w:tcBorders>
            <w:hideMark/>
          </w:tcPr>
          <w:p w14:paraId="40EF3209" w14:textId="77777777" w:rsidR="00AC3A56" w:rsidRPr="00836212" w:rsidRDefault="00AC3A56">
            <w:pPr>
              <w:rPr>
                <w:rFonts w:ascii="Open Sans" w:hAnsi="Open Sans" w:cs="Open Sans"/>
                <w:sz w:val="20"/>
              </w:rPr>
            </w:pPr>
            <w:r w:rsidRPr="00836212">
              <w:rPr>
                <w:rFonts w:ascii="Open Sans" w:hAnsi="Open Sans" w:cs="Open Sans"/>
                <w:sz w:val="20"/>
              </w:rPr>
              <w:t>MPEEM</w:t>
            </w:r>
          </w:p>
        </w:tc>
      </w:tr>
      <w:tr w:rsidR="00AC3A56" w:rsidRPr="00836212" w14:paraId="719E5E12"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6C614E65" w14:textId="77777777" w:rsidR="00AC3A56" w:rsidRPr="00836212" w:rsidRDefault="00AC3A56">
            <w:pPr>
              <w:rPr>
                <w:rFonts w:ascii="Open Sans" w:hAnsi="Open Sans" w:cs="Open Sans"/>
                <w:sz w:val="20"/>
              </w:rPr>
            </w:pPr>
            <w:r w:rsidRPr="00836212">
              <w:rPr>
                <w:rFonts w:ascii="Open Sans" w:hAnsi="Open Sans" w:cs="Open Sans"/>
                <w:sz w:val="20"/>
              </w:rPr>
              <w:t>Goodwill</w:t>
            </w:r>
          </w:p>
        </w:tc>
        <w:tc>
          <w:tcPr>
            <w:tcW w:w="2250" w:type="dxa"/>
            <w:tcBorders>
              <w:top w:val="single" w:sz="4" w:space="0" w:color="auto"/>
              <w:left w:val="single" w:sz="4" w:space="0" w:color="auto"/>
              <w:bottom w:val="single" w:sz="4" w:space="0" w:color="auto"/>
              <w:right w:val="single" w:sz="4" w:space="0" w:color="auto"/>
            </w:tcBorders>
            <w:hideMark/>
          </w:tcPr>
          <w:p w14:paraId="6C095D2B"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Goodwill</w:t>
            </w:r>
          </w:p>
        </w:tc>
        <w:tc>
          <w:tcPr>
            <w:tcW w:w="2610" w:type="dxa"/>
            <w:tcBorders>
              <w:top w:val="single" w:sz="4" w:space="0" w:color="auto"/>
              <w:left w:val="single" w:sz="4" w:space="0" w:color="auto"/>
              <w:bottom w:val="single" w:sz="4" w:space="0" w:color="auto"/>
              <w:right w:val="single" w:sz="4" w:space="0" w:color="auto"/>
            </w:tcBorders>
            <w:hideMark/>
          </w:tcPr>
          <w:p w14:paraId="3E482ACA" w14:textId="77777777" w:rsidR="00AC3A56" w:rsidRPr="00836212" w:rsidRDefault="00AC3A56">
            <w:pPr>
              <w:rPr>
                <w:rFonts w:ascii="Open Sans" w:hAnsi="Open Sans" w:cs="Open Sans"/>
                <w:sz w:val="20"/>
              </w:rPr>
            </w:pPr>
            <w:r w:rsidRPr="00836212">
              <w:rPr>
                <w:rFonts w:ascii="Open Sans" w:hAnsi="Open Sans" w:cs="Open Sans"/>
                <w:sz w:val="20"/>
              </w:rPr>
              <w:t>Residual</w:t>
            </w:r>
          </w:p>
        </w:tc>
      </w:tr>
    </w:tbl>
    <w:p w14:paraId="0DAF8133"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 xml:space="preserve">Management prepared forecasts for Beta as reported in Exhibit 1 (forecasts are debt free income).  These forecasts were prepared with a market participant view and did not incorporate synergies specific to Alpha.  A large part of the 15% growth in early years is due to expected customer conversions, upgrades and price increases.  A majority of this growth will come from a single market where Alpha expects a 20% growth rate.  Cost of Sales and Operating expenses excludes depreciation.  Intangible assets included in </w:t>
      </w:r>
      <w:r w:rsidRPr="00836212">
        <w:rPr>
          <w:rFonts w:ascii="Open Sans" w:hAnsi="Open Sans" w:cs="Open Sans"/>
          <w:sz w:val="20"/>
          <w:szCs w:val="20"/>
        </w:rPr>
        <w:lastRenderedPageBreak/>
        <w:t>the acquisition will be amortized over a 15-year tax horizon.  Because the transaction is an asset acquisition rather than a stock purchase the tax benefit will apply.</w:t>
      </w:r>
    </w:p>
    <w:p w14:paraId="0958D8B5"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Cost of equity capital was determined using a CAPM model at 19% and Beta’s marginal borrowing rate was 5.25%.  The analyst assumed a target capital structure of 25% debt and 75% equity.  Based on these assumptions the weighted average cost of capital was calculated at 15.04% and rounded to 15%.</w:t>
      </w:r>
    </w:p>
    <w:p w14:paraId="78DC5F4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analysts determine a $605,606 value of total invested capital based on these assumptions.  This is reasonably close to the total invested capital from the acquisition of $583,570,000 (consideration paid of $474,570,000 as equity plus $109,000,000 of assumed long term debt) providing some confidence that the DCF projections and valuation reasonably reflect the value of the business.</w:t>
      </w:r>
    </w:p>
    <w:p w14:paraId="48111E27" w14:textId="0949C58B" w:rsidR="00AC3A56" w:rsidRPr="00836212" w:rsidRDefault="00AC3A56" w:rsidP="00836212">
      <w:pPr>
        <w:spacing w:before="120" w:after="120" w:line="360" w:lineRule="auto"/>
        <w:jc w:val="both"/>
        <w:rPr>
          <w:rFonts w:ascii="Open Sans" w:hAnsi="Open Sans" w:cs="Open Sans"/>
          <w:sz w:val="20"/>
          <w:szCs w:val="20"/>
        </w:rPr>
      </w:pPr>
      <w:r w:rsidRPr="007E0371">
        <w:rPr>
          <w:rFonts w:ascii="Open Sans" w:hAnsi="Open Sans" w:cs="Open Sans"/>
          <w:b/>
          <w:i/>
          <w:sz w:val="20"/>
          <w:szCs w:val="20"/>
        </w:rPr>
        <w:t>Valuing the Intangibles</w:t>
      </w:r>
      <w:r w:rsidR="00836212" w:rsidRPr="007E0371">
        <w:rPr>
          <w:rFonts w:ascii="Open Sans" w:hAnsi="Open Sans" w:cs="Open Sans"/>
          <w:b/>
          <w:i/>
          <w:sz w:val="20"/>
          <w:szCs w:val="20"/>
        </w:rPr>
        <w:t>:</w:t>
      </w:r>
      <w:r w:rsidR="00836212" w:rsidRPr="00836212">
        <w:rPr>
          <w:rFonts w:ascii="Open Sans" w:hAnsi="Open Sans" w:cs="Open Sans"/>
          <w:sz w:val="20"/>
          <w:szCs w:val="20"/>
        </w:rPr>
        <w:t xml:space="preserve"> </w:t>
      </w:r>
      <w:r w:rsidRPr="00836212">
        <w:rPr>
          <w:rFonts w:ascii="Open Sans" w:hAnsi="Open Sans" w:cs="Open Sans"/>
          <w:sz w:val="20"/>
          <w:szCs w:val="20"/>
        </w:rPr>
        <w:t>In order to value the intangibles the analysts first determined appropriate discount rates for each asset.  These estimates were determined using the market participant point of view and the highest and best use for each asset.</w:t>
      </w:r>
    </w:p>
    <w:p w14:paraId="53BEABB6" w14:textId="77777777" w:rsidR="00AC3A56" w:rsidRPr="00836212" w:rsidRDefault="00AC3A56" w:rsidP="00AC3A56">
      <w:pPr>
        <w:widowControl w:val="0"/>
        <w:autoSpaceDE w:val="0"/>
        <w:autoSpaceDN w:val="0"/>
        <w:adjustRightInd w:val="0"/>
        <w:spacing w:after="240"/>
        <w:contextualSpacing/>
        <w:rPr>
          <w:rFonts w:ascii="Open Sans" w:hAnsi="Open Sans" w:cs="Open Sans"/>
          <w:sz w:val="20"/>
        </w:rPr>
      </w:pPr>
    </w:p>
    <w:tbl>
      <w:tblPr>
        <w:tblStyle w:val="TableGrid"/>
        <w:tblW w:w="0" w:type="auto"/>
        <w:tblLook w:val="04A0" w:firstRow="1" w:lastRow="0" w:firstColumn="1" w:lastColumn="0" w:noHBand="0" w:noVBand="1"/>
      </w:tblPr>
      <w:tblGrid>
        <w:gridCol w:w="4428"/>
        <w:gridCol w:w="2610"/>
      </w:tblGrid>
      <w:tr w:rsidR="00AC3A56" w:rsidRPr="00836212" w14:paraId="24B428F8"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54CE546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Asset</w:t>
            </w:r>
          </w:p>
        </w:tc>
        <w:tc>
          <w:tcPr>
            <w:tcW w:w="2610" w:type="dxa"/>
            <w:tcBorders>
              <w:top w:val="single" w:sz="4" w:space="0" w:color="auto"/>
              <w:left w:val="single" w:sz="4" w:space="0" w:color="auto"/>
              <w:bottom w:val="single" w:sz="4" w:space="0" w:color="auto"/>
              <w:right w:val="single" w:sz="4" w:space="0" w:color="auto"/>
            </w:tcBorders>
            <w:hideMark/>
          </w:tcPr>
          <w:p w14:paraId="0A8829B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Market Participant Expected Rate of Return</w:t>
            </w:r>
          </w:p>
        </w:tc>
      </w:tr>
      <w:tr w:rsidR="00AC3A56" w:rsidRPr="00836212" w14:paraId="384CE91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E94786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Net Working Capital</w:t>
            </w:r>
          </w:p>
        </w:tc>
        <w:tc>
          <w:tcPr>
            <w:tcW w:w="2610" w:type="dxa"/>
            <w:tcBorders>
              <w:top w:val="single" w:sz="4" w:space="0" w:color="auto"/>
              <w:left w:val="single" w:sz="4" w:space="0" w:color="auto"/>
              <w:bottom w:val="single" w:sz="4" w:space="0" w:color="auto"/>
              <w:right w:val="single" w:sz="4" w:space="0" w:color="auto"/>
            </w:tcBorders>
            <w:hideMark/>
          </w:tcPr>
          <w:p w14:paraId="10DAE34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w:t>
            </w:r>
          </w:p>
        </w:tc>
      </w:tr>
      <w:tr w:rsidR="00AC3A56" w:rsidRPr="00836212" w14:paraId="0ED4CED7"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995EA5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Land and Building, net</w:t>
            </w:r>
          </w:p>
        </w:tc>
        <w:tc>
          <w:tcPr>
            <w:tcW w:w="2610" w:type="dxa"/>
            <w:tcBorders>
              <w:top w:val="single" w:sz="4" w:space="0" w:color="auto"/>
              <w:left w:val="single" w:sz="4" w:space="0" w:color="auto"/>
              <w:bottom w:val="single" w:sz="4" w:space="0" w:color="auto"/>
              <w:right w:val="single" w:sz="4" w:space="0" w:color="auto"/>
            </w:tcBorders>
            <w:hideMark/>
          </w:tcPr>
          <w:p w14:paraId="074C228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6.5%</w:t>
            </w:r>
          </w:p>
        </w:tc>
      </w:tr>
      <w:tr w:rsidR="00AC3A56" w:rsidRPr="00836212" w14:paraId="5681C4E7"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150FBA0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Machinery and Equipment, net</w:t>
            </w:r>
          </w:p>
        </w:tc>
        <w:tc>
          <w:tcPr>
            <w:tcW w:w="2610" w:type="dxa"/>
            <w:tcBorders>
              <w:top w:val="single" w:sz="4" w:space="0" w:color="auto"/>
              <w:left w:val="single" w:sz="4" w:space="0" w:color="auto"/>
              <w:bottom w:val="single" w:sz="4" w:space="0" w:color="auto"/>
              <w:right w:val="single" w:sz="4" w:space="0" w:color="auto"/>
            </w:tcBorders>
            <w:hideMark/>
          </w:tcPr>
          <w:p w14:paraId="175FEFD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7.5%</w:t>
            </w:r>
          </w:p>
        </w:tc>
      </w:tr>
      <w:tr w:rsidR="00AC3A56" w:rsidRPr="00836212" w14:paraId="4709326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B6BC70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Acquired Software</w:t>
            </w:r>
          </w:p>
        </w:tc>
        <w:tc>
          <w:tcPr>
            <w:tcW w:w="2610" w:type="dxa"/>
            <w:tcBorders>
              <w:top w:val="single" w:sz="4" w:space="0" w:color="auto"/>
              <w:left w:val="single" w:sz="4" w:space="0" w:color="auto"/>
              <w:bottom w:val="single" w:sz="4" w:space="0" w:color="auto"/>
              <w:right w:val="single" w:sz="4" w:space="0" w:color="auto"/>
            </w:tcBorders>
            <w:hideMark/>
          </w:tcPr>
          <w:p w14:paraId="00BF541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16%</w:t>
            </w:r>
          </w:p>
        </w:tc>
      </w:tr>
      <w:tr w:rsidR="00AC3A56" w:rsidRPr="00836212" w14:paraId="35275DC4"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6DF303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Assembled Workforce</w:t>
            </w:r>
          </w:p>
        </w:tc>
        <w:tc>
          <w:tcPr>
            <w:tcW w:w="2610" w:type="dxa"/>
            <w:tcBorders>
              <w:top w:val="single" w:sz="4" w:space="0" w:color="auto"/>
              <w:left w:val="single" w:sz="4" w:space="0" w:color="auto"/>
              <w:bottom w:val="single" w:sz="4" w:space="0" w:color="auto"/>
              <w:right w:val="single" w:sz="4" w:space="0" w:color="auto"/>
            </w:tcBorders>
            <w:hideMark/>
          </w:tcPr>
          <w:p w14:paraId="7B48DBD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729D593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244EFC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Trade Name</w:t>
            </w:r>
          </w:p>
        </w:tc>
        <w:tc>
          <w:tcPr>
            <w:tcW w:w="2610" w:type="dxa"/>
            <w:tcBorders>
              <w:top w:val="single" w:sz="4" w:space="0" w:color="auto"/>
              <w:left w:val="single" w:sz="4" w:space="0" w:color="auto"/>
              <w:bottom w:val="single" w:sz="4" w:space="0" w:color="auto"/>
              <w:right w:val="single" w:sz="4" w:space="0" w:color="auto"/>
            </w:tcBorders>
            <w:hideMark/>
          </w:tcPr>
          <w:p w14:paraId="69AED139"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11C1280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19736C5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Non-compete Agreement</w:t>
            </w:r>
          </w:p>
        </w:tc>
        <w:tc>
          <w:tcPr>
            <w:tcW w:w="2610" w:type="dxa"/>
            <w:tcBorders>
              <w:top w:val="single" w:sz="4" w:space="0" w:color="auto"/>
              <w:left w:val="single" w:sz="4" w:space="0" w:color="auto"/>
              <w:bottom w:val="single" w:sz="4" w:space="0" w:color="auto"/>
              <w:right w:val="single" w:sz="4" w:space="0" w:color="auto"/>
            </w:tcBorders>
            <w:hideMark/>
          </w:tcPr>
          <w:p w14:paraId="7C1020A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03FF227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3A2905C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Existing Technology</w:t>
            </w:r>
          </w:p>
        </w:tc>
        <w:tc>
          <w:tcPr>
            <w:tcW w:w="2610" w:type="dxa"/>
            <w:tcBorders>
              <w:top w:val="single" w:sz="4" w:space="0" w:color="auto"/>
              <w:left w:val="single" w:sz="4" w:space="0" w:color="auto"/>
              <w:bottom w:val="single" w:sz="4" w:space="0" w:color="auto"/>
              <w:right w:val="single" w:sz="4" w:space="0" w:color="auto"/>
            </w:tcBorders>
            <w:hideMark/>
          </w:tcPr>
          <w:p w14:paraId="52CFABD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18%</w:t>
            </w:r>
          </w:p>
        </w:tc>
      </w:tr>
      <w:tr w:rsidR="00AC3A56" w:rsidRPr="00836212" w14:paraId="3DBE446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6DD9987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In-process Research and Development</w:t>
            </w:r>
          </w:p>
        </w:tc>
        <w:tc>
          <w:tcPr>
            <w:tcW w:w="2610" w:type="dxa"/>
            <w:tcBorders>
              <w:top w:val="single" w:sz="4" w:space="0" w:color="auto"/>
              <w:left w:val="single" w:sz="4" w:space="0" w:color="auto"/>
              <w:bottom w:val="single" w:sz="4" w:space="0" w:color="auto"/>
              <w:right w:val="single" w:sz="4" w:space="0" w:color="auto"/>
            </w:tcBorders>
            <w:hideMark/>
          </w:tcPr>
          <w:p w14:paraId="4FBA6B9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24%</w:t>
            </w:r>
          </w:p>
        </w:tc>
      </w:tr>
      <w:tr w:rsidR="00AC3A56" w:rsidRPr="00836212" w14:paraId="5E05127D"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753781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Customer Relationships</w:t>
            </w:r>
          </w:p>
        </w:tc>
        <w:tc>
          <w:tcPr>
            <w:tcW w:w="2610" w:type="dxa"/>
            <w:tcBorders>
              <w:top w:val="single" w:sz="4" w:space="0" w:color="auto"/>
              <w:left w:val="single" w:sz="4" w:space="0" w:color="auto"/>
              <w:bottom w:val="single" w:sz="4" w:space="0" w:color="auto"/>
              <w:right w:val="single" w:sz="4" w:space="0" w:color="auto"/>
            </w:tcBorders>
            <w:hideMark/>
          </w:tcPr>
          <w:p w14:paraId="6831EAA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17%</w:t>
            </w:r>
          </w:p>
        </w:tc>
      </w:tr>
    </w:tbl>
    <w:p w14:paraId="03A33A3A" w14:textId="77777777" w:rsidR="00AC3A56" w:rsidRPr="00836212" w:rsidRDefault="00AC3A56" w:rsidP="00AC3A56">
      <w:pPr>
        <w:widowControl w:val="0"/>
        <w:autoSpaceDE w:val="0"/>
        <w:autoSpaceDN w:val="0"/>
        <w:adjustRightInd w:val="0"/>
        <w:spacing w:after="240"/>
        <w:contextualSpacing/>
        <w:rPr>
          <w:rFonts w:ascii="Open Sans" w:hAnsi="Open Sans" w:cs="Open Sans"/>
          <w:sz w:val="20"/>
          <w:lang w:eastAsia="ja-JP"/>
        </w:rPr>
      </w:pPr>
    </w:p>
    <w:p w14:paraId="53A0F993" w14:textId="320D2C3E"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Acquired Software</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 xml:space="preserve">Beta employees a sophisticated array of computer programs to manage its production processes.  </w:t>
      </w:r>
      <w:r w:rsidR="007E0371" w:rsidRPr="00836212">
        <w:rPr>
          <w:rFonts w:ascii="Open Sans" w:hAnsi="Open Sans" w:cs="Open Sans"/>
          <w:sz w:val="20"/>
          <w:szCs w:val="20"/>
        </w:rPr>
        <w:t>All</w:t>
      </w:r>
      <w:r w:rsidRPr="00836212">
        <w:rPr>
          <w:rFonts w:ascii="Open Sans" w:hAnsi="Open Sans" w:cs="Open Sans"/>
          <w:sz w:val="20"/>
          <w:szCs w:val="20"/>
        </w:rPr>
        <w:t xml:space="preserve"> the software was developed in house and is not commercially available.</w:t>
      </w:r>
      <w:r w:rsidR="007E0371">
        <w:rPr>
          <w:rFonts w:ascii="Open Sans" w:hAnsi="Open Sans" w:cs="Open Sans"/>
          <w:sz w:val="20"/>
          <w:szCs w:val="20"/>
        </w:rPr>
        <w:t xml:space="preserve"> </w:t>
      </w:r>
      <w:r w:rsidRPr="00836212">
        <w:rPr>
          <w:rFonts w:ascii="Open Sans" w:hAnsi="Open Sans" w:cs="Open Sans"/>
          <w:sz w:val="20"/>
          <w:szCs w:val="20"/>
        </w:rPr>
        <w:t>There is no principal market for the software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Because there are no directly attributable income or revenue streams a Cost Approach is deemed most appropriate.</w:t>
      </w:r>
      <w:r w:rsidR="00836212">
        <w:rPr>
          <w:rFonts w:ascii="Open Sans" w:hAnsi="Open Sans" w:cs="Open Sans"/>
          <w:sz w:val="20"/>
          <w:szCs w:val="20"/>
        </w:rPr>
        <w:t xml:space="preserve"> </w:t>
      </w:r>
      <w:r w:rsidRPr="00836212">
        <w:rPr>
          <w:rFonts w:ascii="Open Sans" w:hAnsi="Open Sans" w:cs="Open Sans"/>
          <w:sz w:val="20"/>
          <w:szCs w:val="20"/>
        </w:rPr>
        <w:t>The software contains 1,386,000 lines of code with a breakdown for difficulty and time to program as follows:</w:t>
      </w:r>
    </w:p>
    <w:tbl>
      <w:tblPr>
        <w:tblStyle w:val="TableGrid"/>
        <w:tblW w:w="6318" w:type="dxa"/>
        <w:tblInd w:w="1440" w:type="dxa"/>
        <w:tblLook w:val="04A0" w:firstRow="1" w:lastRow="0" w:firstColumn="1" w:lastColumn="0" w:noHBand="0" w:noVBand="1"/>
      </w:tblPr>
      <w:tblGrid>
        <w:gridCol w:w="2724"/>
        <w:gridCol w:w="1884"/>
        <w:gridCol w:w="1710"/>
      </w:tblGrid>
      <w:tr w:rsidR="00AC3A56" w:rsidRPr="00836212" w14:paraId="1F6CE62C" w14:textId="77777777" w:rsidTr="00AC3A56">
        <w:tc>
          <w:tcPr>
            <w:tcW w:w="2724" w:type="dxa"/>
            <w:tcBorders>
              <w:top w:val="single" w:sz="4" w:space="0" w:color="auto"/>
              <w:left w:val="single" w:sz="4" w:space="0" w:color="auto"/>
              <w:bottom w:val="single" w:sz="4" w:space="0" w:color="auto"/>
              <w:right w:val="single" w:sz="4" w:space="0" w:color="auto"/>
            </w:tcBorders>
          </w:tcPr>
          <w:p w14:paraId="6B01A9F9" w14:textId="77777777" w:rsidR="00AC3A56" w:rsidRPr="00836212" w:rsidRDefault="00AC3A56">
            <w:pPr>
              <w:widowControl w:val="0"/>
              <w:autoSpaceDE w:val="0"/>
              <w:autoSpaceDN w:val="0"/>
              <w:adjustRightInd w:val="0"/>
              <w:spacing w:after="240"/>
              <w:contextualSpacing/>
              <w:rPr>
                <w:rFonts w:ascii="Open Sans" w:hAnsi="Open Sans" w:cs="Open Sans"/>
                <w:sz w:val="20"/>
              </w:rPr>
            </w:pPr>
          </w:p>
        </w:tc>
        <w:tc>
          <w:tcPr>
            <w:tcW w:w="1884" w:type="dxa"/>
            <w:tcBorders>
              <w:top w:val="single" w:sz="4" w:space="0" w:color="auto"/>
              <w:left w:val="single" w:sz="4" w:space="0" w:color="auto"/>
              <w:bottom w:val="single" w:sz="4" w:space="0" w:color="auto"/>
              <w:right w:val="single" w:sz="4" w:space="0" w:color="auto"/>
            </w:tcBorders>
            <w:hideMark/>
          </w:tcPr>
          <w:p w14:paraId="39E292E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Lines of Code</w:t>
            </w:r>
          </w:p>
        </w:tc>
        <w:tc>
          <w:tcPr>
            <w:tcW w:w="1710" w:type="dxa"/>
            <w:tcBorders>
              <w:top w:val="single" w:sz="4" w:space="0" w:color="auto"/>
              <w:left w:val="single" w:sz="4" w:space="0" w:color="auto"/>
              <w:bottom w:val="single" w:sz="4" w:space="0" w:color="auto"/>
              <w:right w:val="single" w:sz="4" w:space="0" w:color="auto"/>
            </w:tcBorders>
            <w:hideMark/>
          </w:tcPr>
          <w:p w14:paraId="442A222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Lines per Hour</w:t>
            </w:r>
          </w:p>
        </w:tc>
      </w:tr>
      <w:tr w:rsidR="00AC3A56" w:rsidRPr="00836212" w14:paraId="46271110"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2FC6DBB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easiest</w:t>
            </w:r>
          </w:p>
        </w:tc>
        <w:tc>
          <w:tcPr>
            <w:tcW w:w="1884" w:type="dxa"/>
            <w:tcBorders>
              <w:top w:val="single" w:sz="4" w:space="0" w:color="auto"/>
              <w:left w:val="single" w:sz="4" w:space="0" w:color="auto"/>
              <w:bottom w:val="single" w:sz="4" w:space="0" w:color="auto"/>
              <w:right w:val="single" w:sz="4" w:space="0" w:color="auto"/>
            </w:tcBorders>
            <w:hideMark/>
          </w:tcPr>
          <w:p w14:paraId="7AE791A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367,000</w:t>
            </w:r>
          </w:p>
        </w:tc>
        <w:tc>
          <w:tcPr>
            <w:tcW w:w="1710" w:type="dxa"/>
            <w:tcBorders>
              <w:top w:val="single" w:sz="4" w:space="0" w:color="auto"/>
              <w:left w:val="single" w:sz="4" w:space="0" w:color="auto"/>
              <w:bottom w:val="single" w:sz="4" w:space="0" w:color="auto"/>
              <w:right w:val="single" w:sz="4" w:space="0" w:color="auto"/>
            </w:tcBorders>
            <w:hideMark/>
          </w:tcPr>
          <w:p w14:paraId="20CBD13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4.0</w:t>
            </w:r>
          </w:p>
        </w:tc>
      </w:tr>
      <w:tr w:rsidR="00AC3A56" w:rsidRPr="00836212" w14:paraId="15D28927"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63C66EF9"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moderate</w:t>
            </w:r>
          </w:p>
        </w:tc>
        <w:tc>
          <w:tcPr>
            <w:tcW w:w="1884" w:type="dxa"/>
            <w:tcBorders>
              <w:top w:val="single" w:sz="4" w:space="0" w:color="auto"/>
              <w:left w:val="single" w:sz="4" w:space="0" w:color="auto"/>
              <w:bottom w:val="single" w:sz="4" w:space="0" w:color="auto"/>
              <w:right w:val="single" w:sz="4" w:space="0" w:color="auto"/>
            </w:tcBorders>
            <w:hideMark/>
          </w:tcPr>
          <w:p w14:paraId="4E9C305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442,000</w:t>
            </w:r>
          </w:p>
        </w:tc>
        <w:tc>
          <w:tcPr>
            <w:tcW w:w="1710" w:type="dxa"/>
            <w:tcBorders>
              <w:top w:val="single" w:sz="4" w:space="0" w:color="auto"/>
              <w:left w:val="single" w:sz="4" w:space="0" w:color="auto"/>
              <w:bottom w:val="single" w:sz="4" w:space="0" w:color="auto"/>
              <w:right w:val="single" w:sz="4" w:space="0" w:color="auto"/>
            </w:tcBorders>
            <w:hideMark/>
          </w:tcPr>
          <w:p w14:paraId="58F6F99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3.0</w:t>
            </w:r>
          </w:p>
        </w:tc>
      </w:tr>
      <w:tr w:rsidR="00AC3A56" w:rsidRPr="00836212" w14:paraId="6E2490B8"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48E4487A"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difficult</w:t>
            </w:r>
          </w:p>
        </w:tc>
        <w:tc>
          <w:tcPr>
            <w:tcW w:w="1884" w:type="dxa"/>
            <w:tcBorders>
              <w:top w:val="single" w:sz="4" w:space="0" w:color="auto"/>
              <w:left w:val="single" w:sz="4" w:space="0" w:color="auto"/>
              <w:bottom w:val="single" w:sz="4" w:space="0" w:color="auto"/>
              <w:right w:val="single" w:sz="4" w:space="0" w:color="auto"/>
            </w:tcBorders>
            <w:hideMark/>
          </w:tcPr>
          <w:p w14:paraId="78BD49B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577,000</w:t>
            </w:r>
          </w:p>
        </w:tc>
        <w:tc>
          <w:tcPr>
            <w:tcW w:w="1710" w:type="dxa"/>
            <w:tcBorders>
              <w:top w:val="single" w:sz="4" w:space="0" w:color="auto"/>
              <w:left w:val="single" w:sz="4" w:space="0" w:color="auto"/>
              <w:bottom w:val="single" w:sz="4" w:space="0" w:color="auto"/>
              <w:right w:val="single" w:sz="4" w:space="0" w:color="auto"/>
            </w:tcBorders>
            <w:hideMark/>
          </w:tcPr>
          <w:p w14:paraId="10C1995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2.0</w:t>
            </w:r>
          </w:p>
        </w:tc>
      </w:tr>
      <w:tr w:rsidR="00AC3A56" w:rsidRPr="00836212" w14:paraId="6FEDE91A"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0BD0D53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Total</w:t>
            </w:r>
          </w:p>
        </w:tc>
        <w:tc>
          <w:tcPr>
            <w:tcW w:w="1884" w:type="dxa"/>
            <w:tcBorders>
              <w:top w:val="single" w:sz="4" w:space="0" w:color="auto"/>
              <w:left w:val="single" w:sz="4" w:space="0" w:color="auto"/>
              <w:bottom w:val="single" w:sz="4" w:space="0" w:color="auto"/>
              <w:right w:val="single" w:sz="4" w:space="0" w:color="auto"/>
            </w:tcBorders>
            <w:hideMark/>
          </w:tcPr>
          <w:p w14:paraId="658F4D1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1,386,000</w:t>
            </w:r>
          </w:p>
        </w:tc>
        <w:tc>
          <w:tcPr>
            <w:tcW w:w="1710" w:type="dxa"/>
            <w:tcBorders>
              <w:top w:val="single" w:sz="4" w:space="0" w:color="auto"/>
              <w:left w:val="single" w:sz="4" w:space="0" w:color="auto"/>
              <w:bottom w:val="single" w:sz="4" w:space="0" w:color="auto"/>
              <w:right w:val="single" w:sz="4" w:space="0" w:color="auto"/>
            </w:tcBorders>
          </w:tcPr>
          <w:p w14:paraId="458DE74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p>
        </w:tc>
      </w:tr>
    </w:tbl>
    <w:p w14:paraId="15147CA4" w14:textId="452D178E"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cost per hour for the project team is estimated at $154.00 per hour (including all overhead costs as well as provider profit).  Based on the age of the software and code redundancy and inefficiency the analysis indicates a 20% obsolescence factor is appropriate. The software value will be tax deductible over a 15-year amortization period.</w:t>
      </w:r>
    </w:p>
    <w:p w14:paraId="75157463" w14:textId="23956A5B"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Assembled Workforce</w:t>
      </w:r>
      <w:r w:rsidR="00836212" w:rsidRPr="00836212">
        <w:rPr>
          <w:rFonts w:ascii="Open Sans" w:hAnsi="Open Sans" w:cs="Open Sans"/>
          <w:b/>
          <w:sz w:val="20"/>
          <w:szCs w:val="20"/>
        </w:rPr>
        <w:t xml:space="preserve">: </w:t>
      </w:r>
      <w:r w:rsidRPr="00836212">
        <w:rPr>
          <w:rFonts w:ascii="Open Sans" w:hAnsi="Open Sans" w:cs="Open Sans"/>
          <w:sz w:val="20"/>
          <w:szCs w:val="20"/>
        </w:rPr>
        <w:t>While the assembled workforce cannot be recognized as a separate identified asset its value will be used in later calculations.  There is no principal market for the assembled workforce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Because there are no directly attributable income or revenue streams a Cost Approach is deemed most appropriate.</w:t>
      </w:r>
      <w:r w:rsidR="00836212">
        <w:rPr>
          <w:rFonts w:ascii="Open Sans" w:hAnsi="Open Sans" w:cs="Open Sans"/>
          <w:sz w:val="20"/>
          <w:szCs w:val="20"/>
        </w:rPr>
        <w:t xml:space="preserve"> </w:t>
      </w:r>
      <w:r w:rsidRPr="00836212">
        <w:rPr>
          <w:rFonts w:ascii="Open Sans" w:hAnsi="Open Sans" w:cs="Open Sans"/>
          <w:sz w:val="20"/>
          <w:szCs w:val="20"/>
        </w:rPr>
        <w:t>Because we did an example of an assembled workforce, I will omit the calculations here.  The analysis indicated a fair value of $4,000,000 is appropriate for the assembled workforce.</w:t>
      </w:r>
    </w:p>
    <w:p w14:paraId="2DDB9925" w14:textId="11DEC298"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Trade Name</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 xml:space="preserve">Beta has a single valuable trade name.  </w:t>
      </w:r>
      <w:r w:rsidR="00836212" w:rsidRPr="00836212">
        <w:rPr>
          <w:rFonts w:ascii="Open Sans" w:hAnsi="Open Sans" w:cs="Open Sans"/>
          <w:sz w:val="20"/>
          <w:szCs w:val="20"/>
        </w:rPr>
        <w:t>All</w:t>
      </w:r>
      <w:r w:rsidRPr="00836212">
        <w:rPr>
          <w:rFonts w:ascii="Open Sans" w:hAnsi="Open Sans" w:cs="Open Sans"/>
          <w:sz w:val="20"/>
          <w:szCs w:val="20"/>
        </w:rPr>
        <w:t xml:space="preserve"> the companies’ products are sold under this trade name and each major product is id</w:t>
      </w:r>
      <w:r w:rsidR="00836212">
        <w:rPr>
          <w:rFonts w:ascii="Open Sans" w:hAnsi="Open Sans" w:cs="Open Sans"/>
          <w:sz w:val="20"/>
          <w:szCs w:val="20"/>
        </w:rPr>
        <w:t xml:space="preserve">entified by this trade name. </w:t>
      </w:r>
      <w:r w:rsidRPr="00836212">
        <w:rPr>
          <w:rFonts w:ascii="Open Sans" w:hAnsi="Open Sans" w:cs="Open Sans"/>
          <w:sz w:val="20"/>
          <w:szCs w:val="20"/>
        </w:rPr>
        <w:t>The trade name is associated with premiere products in the industry</w:t>
      </w:r>
      <w:r w:rsidR="00836212">
        <w:rPr>
          <w:rFonts w:ascii="Open Sans" w:hAnsi="Open Sans" w:cs="Open Sans"/>
          <w:sz w:val="20"/>
          <w:szCs w:val="20"/>
        </w:rPr>
        <w:t xml:space="preserve"> and enjoys great recognition. </w:t>
      </w:r>
      <w:r w:rsidRPr="00836212">
        <w:rPr>
          <w:rFonts w:ascii="Open Sans" w:hAnsi="Open Sans" w:cs="Open Sans"/>
          <w:sz w:val="20"/>
          <w:szCs w:val="20"/>
        </w:rPr>
        <w:t>The use of this trade name is considered critical to the success of the company.</w:t>
      </w:r>
      <w:r w:rsidR="00836212">
        <w:rPr>
          <w:rFonts w:ascii="Open Sans" w:hAnsi="Open Sans" w:cs="Open Sans"/>
          <w:sz w:val="20"/>
          <w:szCs w:val="20"/>
        </w:rPr>
        <w:t xml:space="preserve"> </w:t>
      </w:r>
      <w:r w:rsidRPr="00836212">
        <w:rPr>
          <w:rFonts w:ascii="Open Sans" w:hAnsi="Open Sans" w:cs="Open Sans"/>
          <w:sz w:val="20"/>
          <w:szCs w:val="20"/>
        </w:rPr>
        <w:t>There is no principal market for the trade name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836212">
        <w:rPr>
          <w:rFonts w:ascii="Open Sans" w:hAnsi="Open Sans" w:cs="Open Sans"/>
          <w:sz w:val="20"/>
          <w:szCs w:val="20"/>
        </w:rPr>
        <w:t xml:space="preserve"> </w:t>
      </w:r>
      <w:r w:rsidRPr="00836212">
        <w:rPr>
          <w:rFonts w:ascii="Open Sans" w:hAnsi="Open Sans" w:cs="Open Sans"/>
          <w:sz w:val="20"/>
          <w:szCs w:val="20"/>
        </w:rPr>
        <w:t>Based on a review of royalty databases and analysis of the royalty rates that company margins could support a 1% royalty payment is deemed appropriate.</w:t>
      </w:r>
    </w:p>
    <w:p w14:paraId="0F422D20" w14:textId="779E52C9"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Non-Compete Agreement</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The purchase agreement identifies a separate agreement not to compete.  For a period of three years commencing at the date of the purchase transaction, the sellers will not engage in any activity that compete</w:t>
      </w:r>
      <w:r w:rsidR="00836212">
        <w:rPr>
          <w:rFonts w:ascii="Open Sans" w:hAnsi="Open Sans" w:cs="Open Sans"/>
          <w:sz w:val="20"/>
          <w:szCs w:val="20"/>
        </w:rPr>
        <w:t xml:space="preserve">s with the company. </w:t>
      </w:r>
      <w:r w:rsidRPr="00836212">
        <w:rPr>
          <w:rFonts w:ascii="Open Sans" w:hAnsi="Open Sans" w:cs="Open Sans"/>
          <w:sz w:val="20"/>
          <w:szCs w:val="20"/>
        </w:rPr>
        <w:t>There is no principal market for the non-compete agreement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The relief from “with and without” valuation method using DCF is deemed most appropriate.</w:t>
      </w:r>
      <w:r w:rsidR="00836212">
        <w:rPr>
          <w:rFonts w:ascii="Open Sans" w:hAnsi="Open Sans" w:cs="Open Sans"/>
          <w:sz w:val="20"/>
          <w:szCs w:val="20"/>
        </w:rPr>
        <w:t xml:space="preserve"> </w:t>
      </w:r>
      <w:r w:rsidRPr="00836212">
        <w:rPr>
          <w:rFonts w:ascii="Open Sans" w:hAnsi="Open Sans" w:cs="Open Sans"/>
          <w:sz w:val="20"/>
          <w:szCs w:val="20"/>
        </w:rPr>
        <w:t>Expected revenues with and without the non-compete agreement, if the current owners decided to compete, are:</w:t>
      </w:r>
    </w:p>
    <w:tbl>
      <w:tblPr>
        <w:tblStyle w:val="TableGrid"/>
        <w:tblW w:w="0" w:type="auto"/>
        <w:tblInd w:w="720" w:type="dxa"/>
        <w:tblLook w:val="04A0" w:firstRow="1" w:lastRow="0" w:firstColumn="1" w:lastColumn="0" w:noHBand="0" w:noVBand="1"/>
      </w:tblPr>
      <w:tblGrid>
        <w:gridCol w:w="1008"/>
        <w:gridCol w:w="2790"/>
        <w:gridCol w:w="3060"/>
      </w:tblGrid>
      <w:tr w:rsidR="00AC3A56" w:rsidRPr="00836212" w14:paraId="7BC8707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8C9D0E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lastRenderedPageBreak/>
              <w:t>Year</w:t>
            </w:r>
          </w:p>
        </w:tc>
        <w:tc>
          <w:tcPr>
            <w:tcW w:w="2790" w:type="dxa"/>
            <w:tcBorders>
              <w:top w:val="single" w:sz="4" w:space="0" w:color="auto"/>
              <w:left w:val="single" w:sz="4" w:space="0" w:color="auto"/>
              <w:bottom w:val="single" w:sz="4" w:space="0" w:color="auto"/>
              <w:right w:val="single" w:sz="4" w:space="0" w:color="auto"/>
            </w:tcBorders>
            <w:hideMark/>
          </w:tcPr>
          <w:p w14:paraId="71603B8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With Agreement</w:t>
            </w:r>
          </w:p>
        </w:tc>
        <w:tc>
          <w:tcPr>
            <w:tcW w:w="3060" w:type="dxa"/>
            <w:tcBorders>
              <w:top w:val="single" w:sz="4" w:space="0" w:color="auto"/>
              <w:left w:val="single" w:sz="4" w:space="0" w:color="auto"/>
              <w:bottom w:val="single" w:sz="4" w:space="0" w:color="auto"/>
              <w:right w:val="single" w:sz="4" w:space="0" w:color="auto"/>
            </w:tcBorders>
            <w:hideMark/>
          </w:tcPr>
          <w:p w14:paraId="13D8B5F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Without Agreement</w:t>
            </w:r>
          </w:p>
        </w:tc>
      </w:tr>
      <w:tr w:rsidR="00AC3A56" w:rsidRPr="00836212" w14:paraId="114845E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38F2227"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351E108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$575,000,000</w:t>
            </w:r>
          </w:p>
        </w:tc>
        <w:tc>
          <w:tcPr>
            <w:tcW w:w="3060" w:type="dxa"/>
            <w:tcBorders>
              <w:top w:val="single" w:sz="4" w:space="0" w:color="auto"/>
              <w:left w:val="single" w:sz="4" w:space="0" w:color="auto"/>
              <w:bottom w:val="single" w:sz="4" w:space="0" w:color="auto"/>
              <w:right w:val="single" w:sz="4" w:space="0" w:color="auto"/>
            </w:tcBorders>
            <w:hideMark/>
          </w:tcPr>
          <w:p w14:paraId="5D6BF2A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$517,500,000</w:t>
            </w:r>
          </w:p>
        </w:tc>
      </w:tr>
      <w:tr w:rsidR="00AC3A56" w:rsidRPr="00836212" w14:paraId="736ADDB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CADD3CF"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53A3647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661,250,000</w:t>
            </w:r>
          </w:p>
        </w:tc>
        <w:tc>
          <w:tcPr>
            <w:tcW w:w="3060" w:type="dxa"/>
            <w:tcBorders>
              <w:top w:val="single" w:sz="4" w:space="0" w:color="auto"/>
              <w:left w:val="single" w:sz="4" w:space="0" w:color="auto"/>
              <w:bottom w:val="single" w:sz="4" w:space="0" w:color="auto"/>
              <w:right w:val="single" w:sz="4" w:space="0" w:color="auto"/>
            </w:tcBorders>
            <w:hideMark/>
          </w:tcPr>
          <w:p w14:paraId="3E52393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529,000,000</w:t>
            </w:r>
          </w:p>
        </w:tc>
      </w:tr>
      <w:tr w:rsidR="00AC3A56" w:rsidRPr="00836212" w14:paraId="6A94FA06"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5C84EF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5089DD8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743,906,000</w:t>
            </w:r>
          </w:p>
        </w:tc>
        <w:tc>
          <w:tcPr>
            <w:tcW w:w="3060" w:type="dxa"/>
            <w:tcBorders>
              <w:top w:val="single" w:sz="4" w:space="0" w:color="auto"/>
              <w:left w:val="single" w:sz="4" w:space="0" w:color="auto"/>
              <w:bottom w:val="single" w:sz="4" w:space="0" w:color="auto"/>
              <w:right w:val="single" w:sz="4" w:space="0" w:color="auto"/>
            </w:tcBorders>
            <w:hideMark/>
          </w:tcPr>
          <w:p w14:paraId="54054E2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669,515,000</w:t>
            </w:r>
          </w:p>
        </w:tc>
      </w:tr>
      <w:tr w:rsidR="00AC3A56" w:rsidRPr="00836212" w14:paraId="0507E01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048A4AC"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2DE25B4A"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818,297,000</w:t>
            </w:r>
          </w:p>
        </w:tc>
        <w:tc>
          <w:tcPr>
            <w:tcW w:w="3060" w:type="dxa"/>
            <w:tcBorders>
              <w:top w:val="single" w:sz="4" w:space="0" w:color="auto"/>
              <w:left w:val="single" w:sz="4" w:space="0" w:color="auto"/>
              <w:bottom w:val="single" w:sz="4" w:space="0" w:color="auto"/>
              <w:right w:val="single" w:sz="4" w:space="0" w:color="auto"/>
            </w:tcBorders>
            <w:hideMark/>
          </w:tcPr>
          <w:p w14:paraId="5FD4E2A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818,297,000</w:t>
            </w:r>
          </w:p>
        </w:tc>
      </w:tr>
      <w:tr w:rsidR="00AC3A56" w:rsidRPr="00836212" w14:paraId="0F192794"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A2B6C8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2790" w:type="dxa"/>
            <w:tcBorders>
              <w:top w:val="single" w:sz="4" w:space="0" w:color="auto"/>
              <w:left w:val="single" w:sz="4" w:space="0" w:color="auto"/>
              <w:bottom w:val="single" w:sz="4" w:space="0" w:color="auto"/>
              <w:right w:val="single" w:sz="4" w:space="0" w:color="auto"/>
            </w:tcBorders>
            <w:hideMark/>
          </w:tcPr>
          <w:p w14:paraId="0EF0338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900,127,000</w:t>
            </w:r>
          </w:p>
        </w:tc>
        <w:tc>
          <w:tcPr>
            <w:tcW w:w="3060" w:type="dxa"/>
            <w:tcBorders>
              <w:top w:val="single" w:sz="4" w:space="0" w:color="auto"/>
              <w:left w:val="single" w:sz="4" w:space="0" w:color="auto"/>
              <w:bottom w:val="single" w:sz="4" w:space="0" w:color="auto"/>
              <w:right w:val="single" w:sz="4" w:space="0" w:color="auto"/>
            </w:tcBorders>
            <w:hideMark/>
          </w:tcPr>
          <w:p w14:paraId="2FF6189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900,127,000</w:t>
            </w:r>
          </w:p>
        </w:tc>
      </w:tr>
    </w:tbl>
    <w:p w14:paraId="2B11286B"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Based on the age of the management and their health the analyst assesses only a 50% chance that they would compete if not constrained by the agreement.</w:t>
      </w:r>
    </w:p>
    <w:p w14:paraId="1D14B4FE" w14:textId="36C83855" w:rsidR="00AC3A56" w:rsidRPr="00836212" w:rsidRDefault="00AC3A56" w:rsidP="00836212">
      <w:pPr>
        <w:spacing w:before="120" w:after="120" w:line="360" w:lineRule="auto"/>
        <w:jc w:val="both"/>
        <w:rPr>
          <w:rFonts w:ascii="Open Sans" w:hAnsi="Open Sans" w:cs="Open Sans"/>
          <w:sz w:val="20"/>
        </w:rPr>
      </w:pPr>
      <w:r w:rsidRPr="00DD49DE">
        <w:rPr>
          <w:rFonts w:ascii="Open Sans" w:hAnsi="Open Sans" w:cs="Open Sans"/>
          <w:b/>
          <w:sz w:val="20"/>
          <w:szCs w:val="20"/>
        </w:rPr>
        <w:t>Existing Technology</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Beta has existing technology as well as technology in progress.  While the right to use the technology lasts in perpetuity it is determined that existing technology will only produce</w:t>
      </w:r>
      <w:r w:rsidRPr="00836212">
        <w:rPr>
          <w:rFonts w:ascii="Open Sans" w:hAnsi="Open Sans" w:cs="Open Sans"/>
          <w:sz w:val="20"/>
        </w:rPr>
        <w:t xml:space="preserve"> revenue for 5 years.  The expected sales due to existing technology for this period are:</w:t>
      </w:r>
    </w:p>
    <w:tbl>
      <w:tblPr>
        <w:tblStyle w:val="TableGrid"/>
        <w:tblW w:w="0" w:type="auto"/>
        <w:tblInd w:w="720" w:type="dxa"/>
        <w:tblLook w:val="04A0" w:firstRow="1" w:lastRow="0" w:firstColumn="1" w:lastColumn="0" w:noHBand="0" w:noVBand="1"/>
      </w:tblPr>
      <w:tblGrid>
        <w:gridCol w:w="1008"/>
        <w:gridCol w:w="3060"/>
      </w:tblGrid>
      <w:tr w:rsidR="00AC3A56" w:rsidRPr="00836212" w14:paraId="154A4AC1"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E702D2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3060" w:type="dxa"/>
            <w:tcBorders>
              <w:top w:val="single" w:sz="4" w:space="0" w:color="auto"/>
              <w:left w:val="single" w:sz="4" w:space="0" w:color="auto"/>
              <w:bottom w:val="single" w:sz="4" w:space="0" w:color="auto"/>
              <w:right w:val="single" w:sz="4" w:space="0" w:color="auto"/>
            </w:tcBorders>
            <w:hideMark/>
          </w:tcPr>
          <w:p w14:paraId="7080B91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from Existing Tech</w:t>
            </w:r>
          </w:p>
        </w:tc>
      </w:tr>
      <w:tr w:rsidR="00AC3A56" w:rsidRPr="00836212" w14:paraId="17EAFCE9"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E22910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3060" w:type="dxa"/>
            <w:tcBorders>
              <w:top w:val="single" w:sz="4" w:space="0" w:color="auto"/>
              <w:left w:val="single" w:sz="4" w:space="0" w:color="auto"/>
              <w:bottom w:val="single" w:sz="4" w:space="0" w:color="auto"/>
              <w:right w:val="single" w:sz="4" w:space="0" w:color="auto"/>
            </w:tcBorders>
            <w:hideMark/>
          </w:tcPr>
          <w:p w14:paraId="6F2274E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$515,000,000</w:t>
            </w:r>
          </w:p>
        </w:tc>
      </w:tr>
      <w:tr w:rsidR="00AC3A56" w:rsidRPr="00836212" w14:paraId="76AB1269"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CF5456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3060" w:type="dxa"/>
            <w:tcBorders>
              <w:top w:val="single" w:sz="4" w:space="0" w:color="auto"/>
              <w:left w:val="single" w:sz="4" w:space="0" w:color="auto"/>
              <w:bottom w:val="single" w:sz="4" w:space="0" w:color="auto"/>
              <w:right w:val="single" w:sz="4" w:space="0" w:color="auto"/>
            </w:tcBorders>
            <w:hideMark/>
          </w:tcPr>
          <w:p w14:paraId="587409D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318,270,000</w:t>
            </w:r>
          </w:p>
        </w:tc>
      </w:tr>
      <w:tr w:rsidR="00AC3A56" w:rsidRPr="00836212" w14:paraId="78BBD9A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BEE500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3060" w:type="dxa"/>
            <w:tcBorders>
              <w:top w:val="single" w:sz="4" w:space="0" w:color="auto"/>
              <w:left w:val="single" w:sz="4" w:space="0" w:color="auto"/>
              <w:bottom w:val="single" w:sz="4" w:space="0" w:color="auto"/>
              <w:right w:val="single" w:sz="4" w:space="0" w:color="auto"/>
            </w:tcBorders>
            <w:hideMark/>
          </w:tcPr>
          <w:p w14:paraId="2080655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273,182,000</w:t>
            </w:r>
          </w:p>
        </w:tc>
      </w:tr>
      <w:tr w:rsidR="00AC3A56" w:rsidRPr="00836212" w14:paraId="19A50834"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9998D7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3060" w:type="dxa"/>
            <w:tcBorders>
              <w:top w:val="single" w:sz="4" w:space="0" w:color="auto"/>
              <w:left w:val="single" w:sz="4" w:space="0" w:color="auto"/>
              <w:bottom w:val="single" w:sz="4" w:space="0" w:color="auto"/>
              <w:right w:val="single" w:sz="4" w:space="0" w:color="auto"/>
            </w:tcBorders>
            <w:hideMark/>
          </w:tcPr>
          <w:p w14:paraId="72D6130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196,964,000</w:t>
            </w:r>
          </w:p>
        </w:tc>
      </w:tr>
      <w:tr w:rsidR="00AC3A56" w:rsidRPr="00836212" w14:paraId="13A1BDD7"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B3874C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3060" w:type="dxa"/>
            <w:tcBorders>
              <w:top w:val="single" w:sz="4" w:space="0" w:color="auto"/>
              <w:left w:val="single" w:sz="4" w:space="0" w:color="auto"/>
              <w:bottom w:val="single" w:sz="4" w:space="0" w:color="auto"/>
              <w:right w:val="single" w:sz="4" w:space="0" w:color="auto"/>
            </w:tcBorders>
            <w:hideMark/>
          </w:tcPr>
          <w:p w14:paraId="6FE3DCF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115,928,000</w:t>
            </w:r>
          </w:p>
        </w:tc>
      </w:tr>
    </w:tbl>
    <w:p w14:paraId="6E758418" w14:textId="2030341F"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technology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DD49DE">
        <w:rPr>
          <w:rFonts w:ascii="Open Sans" w:hAnsi="Open Sans" w:cs="Open Sans"/>
          <w:sz w:val="20"/>
          <w:szCs w:val="20"/>
        </w:rPr>
        <w:t xml:space="preserve"> </w:t>
      </w:r>
    </w:p>
    <w:p w14:paraId="2D598368"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Based on a review of royalty databases and analysis of the royalty rates that company margins could support a 10% royalty payment is deemed appropriate.</w:t>
      </w:r>
    </w:p>
    <w:p w14:paraId="17D87783" w14:textId="0E47B70A" w:rsidR="00AC3A56" w:rsidRPr="00836212"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t>In Process R&amp;D</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Beta has existing technology as well as technology in progress.  While the right to use the technology lasts in perpetuity it is determined that existing technology will only produce revenue for 6 years.  The expected sales due to technology in process for this period are:</w:t>
      </w:r>
    </w:p>
    <w:tbl>
      <w:tblPr>
        <w:tblStyle w:val="TableGrid"/>
        <w:tblW w:w="0" w:type="auto"/>
        <w:tblInd w:w="720" w:type="dxa"/>
        <w:tblLook w:val="04A0" w:firstRow="1" w:lastRow="0" w:firstColumn="1" w:lastColumn="0" w:noHBand="0" w:noVBand="1"/>
      </w:tblPr>
      <w:tblGrid>
        <w:gridCol w:w="1008"/>
        <w:gridCol w:w="2790"/>
      </w:tblGrid>
      <w:tr w:rsidR="00AC3A56" w:rsidRPr="00836212" w14:paraId="39FEC78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66D8A5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2790" w:type="dxa"/>
            <w:tcBorders>
              <w:top w:val="single" w:sz="4" w:space="0" w:color="auto"/>
              <w:left w:val="single" w:sz="4" w:space="0" w:color="auto"/>
              <w:bottom w:val="single" w:sz="4" w:space="0" w:color="auto"/>
              <w:right w:val="single" w:sz="4" w:space="0" w:color="auto"/>
            </w:tcBorders>
            <w:hideMark/>
          </w:tcPr>
          <w:p w14:paraId="136237A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from IPR&amp;D</w:t>
            </w:r>
          </w:p>
        </w:tc>
      </w:tr>
      <w:tr w:rsidR="00AC3A56" w:rsidRPr="00836212" w14:paraId="64C8F3ED"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E39848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7F9DD38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$60,000,000</w:t>
            </w:r>
          </w:p>
        </w:tc>
      </w:tr>
      <w:tr w:rsidR="00AC3A56" w:rsidRPr="00836212" w14:paraId="2568389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C42BE1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77843167"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104,640,000</w:t>
            </w:r>
          </w:p>
        </w:tc>
      </w:tr>
      <w:tr w:rsidR="00AC3A56" w:rsidRPr="00836212" w14:paraId="27CD21A6"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A4F387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3C37127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98,771,000</w:t>
            </w:r>
          </w:p>
        </w:tc>
      </w:tr>
      <w:tr w:rsidR="00AC3A56" w:rsidRPr="00836212" w14:paraId="08E2DE5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390A7CA"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5F8192A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89,440,000</w:t>
            </w:r>
          </w:p>
        </w:tc>
      </w:tr>
      <w:tr w:rsidR="00AC3A56" w:rsidRPr="00836212" w14:paraId="57171A7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2787DC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lastRenderedPageBreak/>
              <w:t>2019</w:t>
            </w:r>
          </w:p>
        </w:tc>
        <w:tc>
          <w:tcPr>
            <w:tcW w:w="2790" w:type="dxa"/>
            <w:tcBorders>
              <w:top w:val="single" w:sz="4" w:space="0" w:color="auto"/>
              <w:left w:val="single" w:sz="4" w:space="0" w:color="auto"/>
              <w:bottom w:val="single" w:sz="4" w:space="0" w:color="auto"/>
              <w:right w:val="single" w:sz="4" w:space="0" w:color="auto"/>
            </w:tcBorders>
            <w:hideMark/>
          </w:tcPr>
          <w:p w14:paraId="637D404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64,098,000</w:t>
            </w:r>
          </w:p>
        </w:tc>
      </w:tr>
      <w:tr w:rsidR="00AC3A56" w:rsidRPr="00836212" w14:paraId="297F229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C5E323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2020</w:t>
            </w:r>
          </w:p>
        </w:tc>
        <w:tc>
          <w:tcPr>
            <w:tcW w:w="2790" w:type="dxa"/>
            <w:tcBorders>
              <w:top w:val="single" w:sz="4" w:space="0" w:color="auto"/>
              <w:left w:val="single" w:sz="4" w:space="0" w:color="auto"/>
              <w:bottom w:val="single" w:sz="4" w:space="0" w:color="auto"/>
              <w:right w:val="single" w:sz="4" w:space="0" w:color="auto"/>
            </w:tcBorders>
            <w:hideMark/>
          </w:tcPr>
          <w:p w14:paraId="34B89D8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37,061,000</w:t>
            </w:r>
          </w:p>
        </w:tc>
      </w:tr>
    </w:tbl>
    <w:p w14:paraId="04C2C2C6" w14:textId="705E194C"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technology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DD49DE">
        <w:rPr>
          <w:rFonts w:ascii="Open Sans" w:hAnsi="Open Sans" w:cs="Open Sans"/>
          <w:sz w:val="20"/>
          <w:szCs w:val="20"/>
        </w:rPr>
        <w:t xml:space="preserve"> </w:t>
      </w:r>
      <w:r w:rsidRPr="00836212">
        <w:rPr>
          <w:rFonts w:ascii="Open Sans" w:hAnsi="Open Sans" w:cs="Open Sans"/>
          <w:sz w:val="20"/>
          <w:szCs w:val="20"/>
        </w:rPr>
        <w:t>Based on a review of royalty databases and analysis of the royalty rates that company margins could support a 10% royalty payment is deemed appropriate.</w:t>
      </w:r>
    </w:p>
    <w:p w14:paraId="4AB8AF50" w14:textId="0C16B952" w:rsidR="00AC3A56" w:rsidRPr="00836212"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t>Customer Relationship</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Based on a remaining useful life of 7 years and a survivorship curve the sales to existing customers as of the acquisition date is estimated at:</w:t>
      </w:r>
    </w:p>
    <w:tbl>
      <w:tblPr>
        <w:tblStyle w:val="TableGrid"/>
        <w:tblW w:w="6858" w:type="dxa"/>
        <w:tblInd w:w="720" w:type="dxa"/>
        <w:tblLook w:val="04A0" w:firstRow="1" w:lastRow="0" w:firstColumn="1" w:lastColumn="0" w:noHBand="0" w:noVBand="1"/>
      </w:tblPr>
      <w:tblGrid>
        <w:gridCol w:w="1008"/>
        <w:gridCol w:w="2790"/>
        <w:gridCol w:w="3060"/>
      </w:tblGrid>
      <w:tr w:rsidR="00AC3A56" w:rsidRPr="00836212" w14:paraId="3046011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A2A743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2790" w:type="dxa"/>
            <w:tcBorders>
              <w:top w:val="single" w:sz="4" w:space="0" w:color="auto"/>
              <w:left w:val="single" w:sz="4" w:space="0" w:color="auto"/>
              <w:bottom w:val="single" w:sz="4" w:space="0" w:color="auto"/>
              <w:right w:val="single" w:sz="4" w:space="0" w:color="auto"/>
            </w:tcBorders>
            <w:hideMark/>
          </w:tcPr>
          <w:p w14:paraId="39BA42B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Survivorship Percentage</w:t>
            </w:r>
          </w:p>
        </w:tc>
        <w:tc>
          <w:tcPr>
            <w:tcW w:w="3060" w:type="dxa"/>
            <w:tcBorders>
              <w:top w:val="single" w:sz="4" w:space="0" w:color="auto"/>
              <w:left w:val="single" w:sz="4" w:space="0" w:color="auto"/>
              <w:bottom w:val="single" w:sz="4" w:space="0" w:color="auto"/>
              <w:right w:val="single" w:sz="4" w:space="0" w:color="auto"/>
            </w:tcBorders>
            <w:hideMark/>
          </w:tcPr>
          <w:p w14:paraId="399F532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With Existing Cust.</w:t>
            </w:r>
          </w:p>
        </w:tc>
      </w:tr>
      <w:tr w:rsidR="00AC3A56" w:rsidRPr="00836212" w14:paraId="4F0C5DB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8A4CE3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2014</w:t>
            </w:r>
          </w:p>
        </w:tc>
        <w:tc>
          <w:tcPr>
            <w:tcW w:w="2790" w:type="dxa"/>
            <w:tcBorders>
              <w:top w:val="single" w:sz="4" w:space="0" w:color="auto"/>
              <w:left w:val="single" w:sz="4" w:space="0" w:color="auto"/>
              <w:bottom w:val="single" w:sz="4" w:space="0" w:color="auto"/>
              <w:right w:val="single" w:sz="4" w:space="0" w:color="auto"/>
            </w:tcBorders>
            <w:hideMark/>
          </w:tcPr>
          <w:p w14:paraId="3587B4F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Existing</w:t>
            </w:r>
          </w:p>
        </w:tc>
        <w:tc>
          <w:tcPr>
            <w:tcW w:w="3060" w:type="dxa"/>
            <w:tcBorders>
              <w:top w:val="single" w:sz="4" w:space="0" w:color="auto"/>
              <w:left w:val="single" w:sz="4" w:space="0" w:color="auto"/>
              <w:bottom w:val="single" w:sz="4" w:space="0" w:color="auto"/>
              <w:right w:val="single" w:sz="4" w:space="0" w:color="auto"/>
            </w:tcBorders>
            <w:hideMark/>
          </w:tcPr>
          <w:p w14:paraId="3235A51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$500,000,000</w:t>
            </w:r>
          </w:p>
        </w:tc>
      </w:tr>
      <w:tr w:rsidR="00AC3A56" w:rsidRPr="00836212" w14:paraId="52E82C8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87526C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315E6C1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92.9%</w:t>
            </w:r>
          </w:p>
        </w:tc>
        <w:tc>
          <w:tcPr>
            <w:tcW w:w="3060" w:type="dxa"/>
            <w:tcBorders>
              <w:top w:val="single" w:sz="4" w:space="0" w:color="auto"/>
              <w:left w:val="single" w:sz="4" w:space="0" w:color="auto"/>
              <w:bottom w:val="single" w:sz="4" w:space="0" w:color="auto"/>
              <w:right w:val="single" w:sz="4" w:space="0" w:color="auto"/>
            </w:tcBorders>
            <w:hideMark/>
          </w:tcPr>
          <w:p w14:paraId="0E64FA6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487,725,000</w:t>
            </w:r>
          </w:p>
        </w:tc>
      </w:tr>
      <w:tr w:rsidR="00AC3A56" w:rsidRPr="00836212" w14:paraId="7195484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000CD0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29C534F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78.6%</w:t>
            </w:r>
          </w:p>
        </w:tc>
        <w:tc>
          <w:tcPr>
            <w:tcW w:w="3060" w:type="dxa"/>
            <w:tcBorders>
              <w:top w:val="single" w:sz="4" w:space="0" w:color="auto"/>
              <w:left w:val="single" w:sz="4" w:space="0" w:color="auto"/>
              <w:bottom w:val="single" w:sz="4" w:space="0" w:color="auto"/>
              <w:right w:val="single" w:sz="4" w:space="0" w:color="auto"/>
            </w:tcBorders>
            <w:hideMark/>
          </w:tcPr>
          <w:p w14:paraId="0D8CE76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433,283,000</w:t>
            </w:r>
          </w:p>
        </w:tc>
      </w:tr>
      <w:tr w:rsidR="00AC3A56" w:rsidRPr="00836212" w14:paraId="0A08BB82"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703D0E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3871C51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64.3%</w:t>
            </w:r>
          </w:p>
        </w:tc>
        <w:tc>
          <w:tcPr>
            <w:tcW w:w="3060" w:type="dxa"/>
            <w:tcBorders>
              <w:top w:val="single" w:sz="4" w:space="0" w:color="auto"/>
              <w:left w:val="single" w:sz="4" w:space="0" w:color="auto"/>
              <w:bottom w:val="single" w:sz="4" w:space="0" w:color="auto"/>
              <w:right w:val="single" w:sz="4" w:space="0" w:color="auto"/>
            </w:tcBorders>
            <w:hideMark/>
          </w:tcPr>
          <w:p w14:paraId="7FA2223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372,177,000</w:t>
            </w:r>
          </w:p>
        </w:tc>
      </w:tr>
      <w:tr w:rsidR="00AC3A56" w:rsidRPr="00836212" w14:paraId="1235B0E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C0E1E0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14A1D38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50.0%</w:t>
            </w:r>
          </w:p>
        </w:tc>
        <w:tc>
          <w:tcPr>
            <w:tcW w:w="3060" w:type="dxa"/>
            <w:tcBorders>
              <w:top w:val="single" w:sz="4" w:space="0" w:color="auto"/>
              <w:left w:val="single" w:sz="4" w:space="0" w:color="auto"/>
              <w:bottom w:val="single" w:sz="4" w:space="0" w:color="auto"/>
              <w:right w:val="single" w:sz="4" w:space="0" w:color="auto"/>
            </w:tcBorders>
            <w:hideMark/>
          </w:tcPr>
          <w:p w14:paraId="1F3D6AC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303,877,000</w:t>
            </w:r>
          </w:p>
        </w:tc>
      </w:tr>
      <w:tr w:rsidR="00AC3A56" w:rsidRPr="00836212" w14:paraId="0C81DCD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0D1582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2790" w:type="dxa"/>
            <w:tcBorders>
              <w:top w:val="single" w:sz="4" w:space="0" w:color="auto"/>
              <w:left w:val="single" w:sz="4" w:space="0" w:color="auto"/>
              <w:bottom w:val="single" w:sz="4" w:space="0" w:color="auto"/>
              <w:right w:val="single" w:sz="4" w:space="0" w:color="auto"/>
            </w:tcBorders>
            <w:hideMark/>
          </w:tcPr>
          <w:p w14:paraId="6A2EB04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35.7%</w:t>
            </w:r>
          </w:p>
        </w:tc>
        <w:tc>
          <w:tcPr>
            <w:tcW w:w="3060" w:type="dxa"/>
            <w:tcBorders>
              <w:top w:val="single" w:sz="4" w:space="0" w:color="auto"/>
              <w:left w:val="single" w:sz="4" w:space="0" w:color="auto"/>
              <w:bottom w:val="single" w:sz="4" w:space="0" w:color="auto"/>
              <w:right w:val="single" w:sz="4" w:space="0" w:color="auto"/>
            </w:tcBorders>
            <w:hideMark/>
          </w:tcPr>
          <w:p w14:paraId="1C2D2F7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227,817,000</w:t>
            </w:r>
          </w:p>
        </w:tc>
      </w:tr>
      <w:tr w:rsidR="00AC3A56" w:rsidRPr="00836212" w14:paraId="3A823F61"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D02E9D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2020</w:t>
            </w:r>
          </w:p>
        </w:tc>
        <w:tc>
          <w:tcPr>
            <w:tcW w:w="2790" w:type="dxa"/>
            <w:tcBorders>
              <w:top w:val="single" w:sz="4" w:space="0" w:color="auto"/>
              <w:left w:val="single" w:sz="4" w:space="0" w:color="auto"/>
              <w:bottom w:val="single" w:sz="4" w:space="0" w:color="auto"/>
              <w:right w:val="single" w:sz="4" w:space="0" w:color="auto"/>
            </w:tcBorders>
            <w:hideMark/>
          </w:tcPr>
          <w:p w14:paraId="23D0E77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21.4%</w:t>
            </w:r>
          </w:p>
        </w:tc>
        <w:tc>
          <w:tcPr>
            <w:tcW w:w="3060" w:type="dxa"/>
            <w:tcBorders>
              <w:top w:val="single" w:sz="4" w:space="0" w:color="auto"/>
              <w:left w:val="single" w:sz="4" w:space="0" w:color="auto"/>
              <w:bottom w:val="single" w:sz="4" w:space="0" w:color="auto"/>
              <w:right w:val="single" w:sz="4" w:space="0" w:color="auto"/>
            </w:tcBorders>
            <w:hideMark/>
          </w:tcPr>
          <w:p w14:paraId="204CB9D7"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143,390,000</w:t>
            </w:r>
          </w:p>
        </w:tc>
      </w:tr>
      <w:tr w:rsidR="00AC3A56" w:rsidRPr="00836212" w14:paraId="3906A00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1C630A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2021</w:t>
            </w:r>
          </w:p>
        </w:tc>
        <w:tc>
          <w:tcPr>
            <w:tcW w:w="2790" w:type="dxa"/>
            <w:tcBorders>
              <w:top w:val="single" w:sz="4" w:space="0" w:color="auto"/>
              <w:left w:val="single" w:sz="4" w:space="0" w:color="auto"/>
              <w:bottom w:val="single" w:sz="4" w:space="0" w:color="auto"/>
              <w:right w:val="single" w:sz="4" w:space="0" w:color="auto"/>
            </w:tcBorders>
            <w:hideMark/>
          </w:tcPr>
          <w:p w14:paraId="1B4523E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7.1%</w:t>
            </w:r>
          </w:p>
        </w:tc>
        <w:tc>
          <w:tcPr>
            <w:tcW w:w="3060" w:type="dxa"/>
            <w:tcBorders>
              <w:top w:val="single" w:sz="4" w:space="0" w:color="auto"/>
              <w:left w:val="single" w:sz="4" w:space="0" w:color="auto"/>
              <w:bottom w:val="single" w:sz="4" w:space="0" w:color="auto"/>
              <w:right w:val="single" w:sz="4" w:space="0" w:color="auto"/>
            </w:tcBorders>
            <w:hideMark/>
          </w:tcPr>
          <w:p w14:paraId="468009D9"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49,952,000</w:t>
            </w:r>
          </w:p>
        </w:tc>
      </w:tr>
    </w:tbl>
    <w:p w14:paraId="1808FCFA" w14:textId="352B4326"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customer relationship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multi-period excess earning model method is determined to be the most appropriate valuation method.</w:t>
      </w:r>
      <w:r w:rsidR="00DD49DE">
        <w:rPr>
          <w:rFonts w:ascii="Open Sans" w:hAnsi="Open Sans" w:cs="Open Sans"/>
          <w:sz w:val="20"/>
          <w:szCs w:val="20"/>
        </w:rPr>
        <w:t xml:space="preserve"> </w:t>
      </w:r>
      <w:r w:rsidRPr="00836212">
        <w:rPr>
          <w:rFonts w:ascii="Open Sans" w:hAnsi="Open Sans" w:cs="Open Sans"/>
          <w:sz w:val="20"/>
          <w:szCs w:val="20"/>
        </w:rPr>
        <w:t>Contributory asset charges for most assets are assessed based on discount rates and allocations of assets.  For the trade name and technology intangible assets the contributor charge is based on the identified royalty rates.  The contributory asset balances are:</w:t>
      </w:r>
    </w:p>
    <w:tbl>
      <w:tblPr>
        <w:tblStyle w:val="TableGrid"/>
        <w:tblW w:w="0" w:type="auto"/>
        <w:tblInd w:w="720" w:type="dxa"/>
        <w:tblLook w:val="04A0" w:firstRow="1" w:lastRow="0" w:firstColumn="1" w:lastColumn="0" w:noHBand="0" w:noVBand="1"/>
      </w:tblPr>
      <w:tblGrid>
        <w:gridCol w:w="1107"/>
        <w:gridCol w:w="1107"/>
        <w:gridCol w:w="1107"/>
        <w:gridCol w:w="1107"/>
        <w:gridCol w:w="1107"/>
        <w:gridCol w:w="1107"/>
        <w:gridCol w:w="1107"/>
        <w:gridCol w:w="1107"/>
      </w:tblGrid>
      <w:tr w:rsidR="00AC3A56" w:rsidRPr="00836212" w14:paraId="1C1B9CEC" w14:textId="77777777" w:rsidTr="00AC3A56">
        <w:tc>
          <w:tcPr>
            <w:tcW w:w="1107" w:type="dxa"/>
            <w:tcBorders>
              <w:top w:val="single" w:sz="4" w:space="0" w:color="auto"/>
              <w:left w:val="single" w:sz="4" w:space="0" w:color="auto"/>
              <w:bottom w:val="single" w:sz="4" w:space="0" w:color="auto"/>
              <w:right w:val="single" w:sz="4" w:space="0" w:color="auto"/>
            </w:tcBorders>
            <w:hideMark/>
          </w:tcPr>
          <w:p w14:paraId="2BDDBC38"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Asset</w:t>
            </w:r>
          </w:p>
        </w:tc>
        <w:tc>
          <w:tcPr>
            <w:tcW w:w="1107" w:type="dxa"/>
            <w:tcBorders>
              <w:top w:val="single" w:sz="4" w:space="0" w:color="auto"/>
              <w:left w:val="single" w:sz="4" w:space="0" w:color="auto"/>
              <w:bottom w:val="single" w:sz="4" w:space="0" w:color="auto"/>
              <w:right w:val="single" w:sz="4" w:space="0" w:color="auto"/>
            </w:tcBorders>
            <w:hideMark/>
          </w:tcPr>
          <w:p w14:paraId="748A749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2015</w:t>
            </w:r>
          </w:p>
        </w:tc>
        <w:tc>
          <w:tcPr>
            <w:tcW w:w="1107" w:type="dxa"/>
            <w:tcBorders>
              <w:top w:val="single" w:sz="4" w:space="0" w:color="auto"/>
              <w:left w:val="single" w:sz="4" w:space="0" w:color="auto"/>
              <w:bottom w:val="single" w:sz="4" w:space="0" w:color="auto"/>
              <w:right w:val="single" w:sz="4" w:space="0" w:color="auto"/>
            </w:tcBorders>
            <w:hideMark/>
          </w:tcPr>
          <w:p w14:paraId="7EA6B40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2016</w:t>
            </w:r>
          </w:p>
        </w:tc>
        <w:tc>
          <w:tcPr>
            <w:tcW w:w="1107" w:type="dxa"/>
            <w:tcBorders>
              <w:top w:val="single" w:sz="4" w:space="0" w:color="auto"/>
              <w:left w:val="single" w:sz="4" w:space="0" w:color="auto"/>
              <w:bottom w:val="single" w:sz="4" w:space="0" w:color="auto"/>
              <w:right w:val="single" w:sz="4" w:space="0" w:color="auto"/>
            </w:tcBorders>
            <w:hideMark/>
          </w:tcPr>
          <w:p w14:paraId="5C56695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2017</w:t>
            </w:r>
          </w:p>
        </w:tc>
        <w:tc>
          <w:tcPr>
            <w:tcW w:w="1107" w:type="dxa"/>
            <w:tcBorders>
              <w:top w:val="single" w:sz="4" w:space="0" w:color="auto"/>
              <w:left w:val="single" w:sz="4" w:space="0" w:color="auto"/>
              <w:bottom w:val="single" w:sz="4" w:space="0" w:color="auto"/>
              <w:right w:val="single" w:sz="4" w:space="0" w:color="auto"/>
            </w:tcBorders>
            <w:hideMark/>
          </w:tcPr>
          <w:p w14:paraId="7A14B40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2018</w:t>
            </w:r>
          </w:p>
        </w:tc>
        <w:tc>
          <w:tcPr>
            <w:tcW w:w="1107" w:type="dxa"/>
            <w:tcBorders>
              <w:top w:val="single" w:sz="4" w:space="0" w:color="auto"/>
              <w:left w:val="single" w:sz="4" w:space="0" w:color="auto"/>
              <w:bottom w:val="single" w:sz="4" w:space="0" w:color="auto"/>
              <w:right w:val="single" w:sz="4" w:space="0" w:color="auto"/>
            </w:tcBorders>
            <w:hideMark/>
          </w:tcPr>
          <w:p w14:paraId="074B66EF"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2019</w:t>
            </w:r>
          </w:p>
        </w:tc>
        <w:tc>
          <w:tcPr>
            <w:tcW w:w="1107" w:type="dxa"/>
            <w:tcBorders>
              <w:top w:val="single" w:sz="4" w:space="0" w:color="auto"/>
              <w:left w:val="single" w:sz="4" w:space="0" w:color="auto"/>
              <w:bottom w:val="single" w:sz="4" w:space="0" w:color="auto"/>
              <w:right w:val="single" w:sz="4" w:space="0" w:color="auto"/>
            </w:tcBorders>
            <w:hideMark/>
          </w:tcPr>
          <w:p w14:paraId="72B891FF"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2020</w:t>
            </w:r>
          </w:p>
        </w:tc>
        <w:tc>
          <w:tcPr>
            <w:tcW w:w="1107" w:type="dxa"/>
            <w:tcBorders>
              <w:top w:val="single" w:sz="4" w:space="0" w:color="auto"/>
              <w:left w:val="single" w:sz="4" w:space="0" w:color="auto"/>
              <w:bottom w:val="single" w:sz="4" w:space="0" w:color="auto"/>
              <w:right w:val="single" w:sz="4" w:space="0" w:color="auto"/>
            </w:tcBorders>
            <w:hideMark/>
          </w:tcPr>
          <w:p w14:paraId="2DC5E62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2021</w:t>
            </w:r>
          </w:p>
        </w:tc>
      </w:tr>
      <w:tr w:rsidR="00AC3A56" w:rsidRPr="00836212" w14:paraId="5BD028AC"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6A5FBE08"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Net WC</w:t>
            </w:r>
          </w:p>
        </w:tc>
        <w:tc>
          <w:tcPr>
            <w:tcW w:w="1107" w:type="dxa"/>
            <w:tcBorders>
              <w:top w:val="single" w:sz="4" w:space="0" w:color="auto"/>
              <w:left w:val="single" w:sz="4" w:space="0" w:color="auto"/>
              <w:bottom w:val="single" w:sz="4" w:space="0" w:color="auto"/>
              <w:right w:val="single" w:sz="4" w:space="0" w:color="auto"/>
            </w:tcBorders>
            <w:hideMark/>
          </w:tcPr>
          <w:p w14:paraId="760A30D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$72,125</w:t>
            </w:r>
          </w:p>
        </w:tc>
        <w:tc>
          <w:tcPr>
            <w:tcW w:w="1107" w:type="dxa"/>
            <w:tcBorders>
              <w:top w:val="single" w:sz="4" w:space="0" w:color="auto"/>
              <w:left w:val="single" w:sz="4" w:space="0" w:color="auto"/>
              <w:bottom w:val="single" w:sz="4" w:space="0" w:color="auto"/>
              <w:right w:val="single" w:sz="4" w:space="0" w:color="auto"/>
            </w:tcBorders>
            <w:hideMark/>
          </w:tcPr>
          <w:p w14:paraId="0001871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$92,719</w:t>
            </w:r>
          </w:p>
        </w:tc>
        <w:tc>
          <w:tcPr>
            <w:tcW w:w="1107" w:type="dxa"/>
            <w:tcBorders>
              <w:top w:val="single" w:sz="4" w:space="0" w:color="auto"/>
              <w:left w:val="single" w:sz="4" w:space="0" w:color="auto"/>
              <w:bottom w:val="single" w:sz="4" w:space="0" w:color="auto"/>
              <w:right w:val="single" w:sz="4" w:space="0" w:color="auto"/>
            </w:tcBorders>
            <w:hideMark/>
          </w:tcPr>
          <w:p w14:paraId="55A78FE2"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$105,387</w:t>
            </w:r>
          </w:p>
        </w:tc>
        <w:tc>
          <w:tcPr>
            <w:tcW w:w="1107" w:type="dxa"/>
            <w:tcBorders>
              <w:top w:val="single" w:sz="4" w:space="0" w:color="auto"/>
              <w:left w:val="single" w:sz="4" w:space="0" w:color="auto"/>
              <w:bottom w:val="single" w:sz="4" w:space="0" w:color="auto"/>
              <w:right w:val="single" w:sz="4" w:space="0" w:color="auto"/>
            </w:tcBorders>
            <w:hideMark/>
          </w:tcPr>
          <w:p w14:paraId="1847C2D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$117,165</w:t>
            </w:r>
          </w:p>
        </w:tc>
        <w:tc>
          <w:tcPr>
            <w:tcW w:w="1107" w:type="dxa"/>
            <w:tcBorders>
              <w:top w:val="single" w:sz="4" w:space="0" w:color="auto"/>
              <w:left w:val="single" w:sz="4" w:space="0" w:color="auto"/>
              <w:bottom w:val="single" w:sz="4" w:space="0" w:color="auto"/>
              <w:right w:val="single" w:sz="4" w:space="0" w:color="auto"/>
            </w:tcBorders>
            <w:hideMark/>
          </w:tcPr>
          <w:p w14:paraId="140AB5D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$128,882</w:t>
            </w:r>
          </w:p>
        </w:tc>
        <w:tc>
          <w:tcPr>
            <w:tcW w:w="1107" w:type="dxa"/>
            <w:tcBorders>
              <w:top w:val="single" w:sz="4" w:space="0" w:color="auto"/>
              <w:left w:val="single" w:sz="4" w:space="0" w:color="auto"/>
              <w:bottom w:val="single" w:sz="4" w:space="0" w:color="auto"/>
              <w:right w:val="single" w:sz="4" w:space="0" w:color="auto"/>
            </w:tcBorders>
            <w:hideMark/>
          </w:tcPr>
          <w:p w14:paraId="79EE6C4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$140,082</w:t>
            </w:r>
          </w:p>
        </w:tc>
        <w:tc>
          <w:tcPr>
            <w:tcW w:w="1107" w:type="dxa"/>
            <w:tcBorders>
              <w:top w:val="single" w:sz="4" w:space="0" w:color="auto"/>
              <w:left w:val="single" w:sz="4" w:space="0" w:color="auto"/>
              <w:bottom w:val="single" w:sz="4" w:space="0" w:color="auto"/>
              <w:right w:val="single" w:sz="4" w:space="0" w:color="auto"/>
            </w:tcBorders>
            <w:hideMark/>
          </w:tcPr>
          <w:p w14:paraId="4ABD50C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$150,588</w:t>
            </w:r>
          </w:p>
        </w:tc>
      </w:tr>
      <w:tr w:rsidR="00AC3A56" w:rsidRPr="00836212" w14:paraId="029C68B2"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5BB53489"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Land</w:t>
            </w:r>
          </w:p>
        </w:tc>
        <w:tc>
          <w:tcPr>
            <w:tcW w:w="1107" w:type="dxa"/>
            <w:tcBorders>
              <w:top w:val="single" w:sz="4" w:space="0" w:color="auto"/>
              <w:left w:val="single" w:sz="4" w:space="0" w:color="auto"/>
              <w:bottom w:val="single" w:sz="4" w:space="0" w:color="auto"/>
              <w:right w:val="single" w:sz="4" w:space="0" w:color="auto"/>
            </w:tcBorders>
            <w:hideMark/>
          </w:tcPr>
          <w:p w14:paraId="51AD54B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36,644</w:t>
            </w:r>
          </w:p>
        </w:tc>
        <w:tc>
          <w:tcPr>
            <w:tcW w:w="1107" w:type="dxa"/>
            <w:tcBorders>
              <w:top w:val="single" w:sz="4" w:space="0" w:color="auto"/>
              <w:left w:val="single" w:sz="4" w:space="0" w:color="auto"/>
              <w:bottom w:val="single" w:sz="4" w:space="0" w:color="auto"/>
              <w:right w:val="single" w:sz="4" w:space="0" w:color="auto"/>
            </w:tcBorders>
            <w:hideMark/>
          </w:tcPr>
          <w:p w14:paraId="0198E93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38,029</w:t>
            </w:r>
          </w:p>
        </w:tc>
        <w:tc>
          <w:tcPr>
            <w:tcW w:w="1107" w:type="dxa"/>
            <w:tcBorders>
              <w:top w:val="single" w:sz="4" w:space="0" w:color="auto"/>
              <w:left w:val="single" w:sz="4" w:space="0" w:color="auto"/>
              <w:bottom w:val="single" w:sz="4" w:space="0" w:color="auto"/>
              <w:right w:val="single" w:sz="4" w:space="0" w:color="auto"/>
            </w:tcBorders>
            <w:hideMark/>
          </w:tcPr>
          <w:p w14:paraId="6237EE4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39,605</w:t>
            </w:r>
          </w:p>
        </w:tc>
        <w:tc>
          <w:tcPr>
            <w:tcW w:w="1107" w:type="dxa"/>
            <w:tcBorders>
              <w:top w:val="single" w:sz="4" w:space="0" w:color="auto"/>
              <w:left w:val="single" w:sz="4" w:space="0" w:color="auto"/>
              <w:bottom w:val="single" w:sz="4" w:space="0" w:color="auto"/>
              <w:right w:val="single" w:sz="4" w:space="0" w:color="auto"/>
            </w:tcBorders>
            <w:hideMark/>
          </w:tcPr>
          <w:p w14:paraId="16BCC09C"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41,357</w:t>
            </w:r>
          </w:p>
        </w:tc>
        <w:tc>
          <w:tcPr>
            <w:tcW w:w="1107" w:type="dxa"/>
            <w:tcBorders>
              <w:top w:val="single" w:sz="4" w:space="0" w:color="auto"/>
              <w:left w:val="single" w:sz="4" w:space="0" w:color="auto"/>
              <w:bottom w:val="single" w:sz="4" w:space="0" w:color="auto"/>
              <w:right w:val="single" w:sz="4" w:space="0" w:color="auto"/>
            </w:tcBorders>
            <w:hideMark/>
          </w:tcPr>
          <w:p w14:paraId="6235E30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43,277</w:t>
            </w:r>
          </w:p>
        </w:tc>
        <w:tc>
          <w:tcPr>
            <w:tcW w:w="1107" w:type="dxa"/>
            <w:tcBorders>
              <w:top w:val="single" w:sz="4" w:space="0" w:color="auto"/>
              <w:left w:val="single" w:sz="4" w:space="0" w:color="auto"/>
              <w:bottom w:val="single" w:sz="4" w:space="0" w:color="auto"/>
              <w:right w:val="single" w:sz="4" w:space="0" w:color="auto"/>
            </w:tcBorders>
            <w:hideMark/>
          </w:tcPr>
          <w:p w14:paraId="48548DB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45,349</w:t>
            </w:r>
          </w:p>
        </w:tc>
        <w:tc>
          <w:tcPr>
            <w:tcW w:w="1107" w:type="dxa"/>
            <w:tcBorders>
              <w:top w:val="single" w:sz="4" w:space="0" w:color="auto"/>
              <w:left w:val="single" w:sz="4" w:space="0" w:color="auto"/>
              <w:bottom w:val="single" w:sz="4" w:space="0" w:color="auto"/>
              <w:right w:val="single" w:sz="4" w:space="0" w:color="auto"/>
            </w:tcBorders>
            <w:hideMark/>
          </w:tcPr>
          <w:p w14:paraId="6ECE7CF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47,555</w:t>
            </w:r>
          </w:p>
        </w:tc>
      </w:tr>
      <w:tr w:rsidR="00AC3A56" w:rsidRPr="00836212" w14:paraId="1DAA947A"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569363A"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Machinery</w:t>
            </w:r>
          </w:p>
        </w:tc>
        <w:tc>
          <w:tcPr>
            <w:tcW w:w="1107" w:type="dxa"/>
            <w:tcBorders>
              <w:top w:val="single" w:sz="4" w:space="0" w:color="auto"/>
              <w:left w:val="single" w:sz="4" w:space="0" w:color="auto"/>
              <w:bottom w:val="single" w:sz="4" w:space="0" w:color="auto"/>
              <w:right w:val="single" w:sz="4" w:space="0" w:color="auto"/>
            </w:tcBorders>
            <w:hideMark/>
          </w:tcPr>
          <w:p w14:paraId="7052267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80,652</w:t>
            </w:r>
          </w:p>
        </w:tc>
        <w:tc>
          <w:tcPr>
            <w:tcW w:w="1107" w:type="dxa"/>
            <w:tcBorders>
              <w:top w:val="single" w:sz="4" w:space="0" w:color="auto"/>
              <w:left w:val="single" w:sz="4" w:space="0" w:color="auto"/>
              <w:bottom w:val="single" w:sz="4" w:space="0" w:color="auto"/>
              <w:right w:val="single" w:sz="4" w:space="0" w:color="auto"/>
            </w:tcBorders>
            <w:hideMark/>
          </w:tcPr>
          <w:p w14:paraId="1A997F9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67,386</w:t>
            </w:r>
          </w:p>
        </w:tc>
        <w:tc>
          <w:tcPr>
            <w:tcW w:w="1107" w:type="dxa"/>
            <w:tcBorders>
              <w:top w:val="single" w:sz="4" w:space="0" w:color="auto"/>
              <w:left w:val="single" w:sz="4" w:space="0" w:color="auto"/>
              <w:bottom w:val="single" w:sz="4" w:space="0" w:color="auto"/>
              <w:right w:val="single" w:sz="4" w:space="0" w:color="auto"/>
            </w:tcBorders>
            <w:hideMark/>
          </w:tcPr>
          <w:p w14:paraId="0DC082B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52,348</w:t>
            </w:r>
          </w:p>
        </w:tc>
        <w:tc>
          <w:tcPr>
            <w:tcW w:w="1107" w:type="dxa"/>
            <w:tcBorders>
              <w:top w:val="single" w:sz="4" w:space="0" w:color="auto"/>
              <w:left w:val="single" w:sz="4" w:space="0" w:color="auto"/>
              <w:bottom w:val="single" w:sz="4" w:space="0" w:color="auto"/>
              <w:right w:val="single" w:sz="4" w:space="0" w:color="auto"/>
            </w:tcBorders>
            <w:hideMark/>
          </w:tcPr>
          <w:p w14:paraId="2D63B5E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42,080</w:t>
            </w:r>
          </w:p>
        </w:tc>
        <w:tc>
          <w:tcPr>
            <w:tcW w:w="1107" w:type="dxa"/>
            <w:tcBorders>
              <w:top w:val="single" w:sz="4" w:space="0" w:color="auto"/>
              <w:left w:val="single" w:sz="4" w:space="0" w:color="auto"/>
              <w:bottom w:val="single" w:sz="4" w:space="0" w:color="auto"/>
              <w:right w:val="single" w:sz="4" w:space="0" w:color="auto"/>
            </w:tcBorders>
            <w:hideMark/>
          </w:tcPr>
          <w:p w14:paraId="6545DEF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35,212</w:t>
            </w:r>
          </w:p>
        </w:tc>
        <w:tc>
          <w:tcPr>
            <w:tcW w:w="1107" w:type="dxa"/>
            <w:tcBorders>
              <w:top w:val="single" w:sz="4" w:space="0" w:color="auto"/>
              <w:left w:val="single" w:sz="4" w:space="0" w:color="auto"/>
              <w:bottom w:val="single" w:sz="4" w:space="0" w:color="auto"/>
              <w:right w:val="single" w:sz="4" w:space="0" w:color="auto"/>
            </w:tcBorders>
            <w:hideMark/>
          </w:tcPr>
          <w:p w14:paraId="4488971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29,620</w:t>
            </w:r>
          </w:p>
        </w:tc>
        <w:tc>
          <w:tcPr>
            <w:tcW w:w="1107" w:type="dxa"/>
            <w:tcBorders>
              <w:top w:val="single" w:sz="4" w:space="0" w:color="auto"/>
              <w:left w:val="single" w:sz="4" w:space="0" w:color="auto"/>
              <w:bottom w:val="single" w:sz="4" w:space="0" w:color="auto"/>
              <w:right w:val="single" w:sz="4" w:space="0" w:color="auto"/>
            </w:tcBorders>
            <w:hideMark/>
          </w:tcPr>
          <w:p w14:paraId="4718CE2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23,716</w:t>
            </w:r>
          </w:p>
        </w:tc>
      </w:tr>
      <w:tr w:rsidR="00AC3A56" w:rsidRPr="00836212" w14:paraId="7F8FC932"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340ED706"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Acq. Soft</w:t>
            </w:r>
          </w:p>
        </w:tc>
        <w:tc>
          <w:tcPr>
            <w:tcW w:w="1107" w:type="dxa"/>
            <w:tcBorders>
              <w:top w:val="single" w:sz="4" w:space="0" w:color="auto"/>
              <w:left w:val="single" w:sz="4" w:space="0" w:color="auto"/>
              <w:bottom w:val="single" w:sz="4" w:space="0" w:color="auto"/>
              <w:right w:val="single" w:sz="4" w:space="0" w:color="auto"/>
            </w:tcBorders>
            <w:hideMark/>
          </w:tcPr>
          <w:p w14:paraId="385BDEB1"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377AFA2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03DB7972"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15CEC4A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385A59D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7D36330C"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2351434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r>
      <w:tr w:rsidR="00AC3A56" w:rsidRPr="00836212" w14:paraId="3C20C15D"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A267667"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Workforce</w:t>
            </w:r>
          </w:p>
        </w:tc>
        <w:tc>
          <w:tcPr>
            <w:tcW w:w="1107" w:type="dxa"/>
            <w:tcBorders>
              <w:top w:val="single" w:sz="4" w:space="0" w:color="auto"/>
              <w:left w:val="single" w:sz="4" w:space="0" w:color="auto"/>
              <w:bottom w:val="single" w:sz="4" w:space="0" w:color="auto"/>
              <w:right w:val="single" w:sz="4" w:space="0" w:color="auto"/>
            </w:tcBorders>
            <w:hideMark/>
          </w:tcPr>
          <w:p w14:paraId="40993558"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50A04856"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3003DD2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1F47760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138712F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3FEEE78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4B349AB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r>
      <w:tr w:rsidR="00AC3A56" w:rsidRPr="00836212" w14:paraId="3C30947E"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FA6E6EC"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Non-comp</w:t>
            </w:r>
          </w:p>
        </w:tc>
        <w:tc>
          <w:tcPr>
            <w:tcW w:w="1107" w:type="dxa"/>
            <w:tcBorders>
              <w:top w:val="single" w:sz="4" w:space="0" w:color="auto"/>
              <w:left w:val="single" w:sz="4" w:space="0" w:color="auto"/>
              <w:bottom w:val="single" w:sz="4" w:space="0" w:color="auto"/>
              <w:right w:val="single" w:sz="4" w:space="0" w:color="auto"/>
            </w:tcBorders>
            <w:hideMark/>
          </w:tcPr>
          <w:p w14:paraId="50F5D94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029D6811"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6BADFD8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0CE454C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2E9619C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4F6706C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3E7C28A8"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r>
      <w:tr w:rsidR="00AC3A56" w:rsidRPr="00836212" w14:paraId="5D2EB76B"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tcPr>
          <w:p w14:paraId="2EBD68FC"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337162C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1FE6BD2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1F3C46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2FC3977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D9577A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6A1D3FC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F25836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r>
      <w:tr w:rsidR="00AC3A56" w:rsidRPr="00836212" w14:paraId="2BB6840C"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643F7C47"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Deprec.</w:t>
            </w:r>
          </w:p>
        </w:tc>
        <w:tc>
          <w:tcPr>
            <w:tcW w:w="1107" w:type="dxa"/>
            <w:tcBorders>
              <w:top w:val="single" w:sz="4" w:space="0" w:color="auto"/>
              <w:left w:val="single" w:sz="4" w:space="0" w:color="auto"/>
              <w:bottom w:val="single" w:sz="4" w:space="0" w:color="auto"/>
              <w:right w:val="single" w:sz="4" w:space="0" w:color="auto"/>
            </w:tcBorders>
            <w:hideMark/>
          </w:tcPr>
          <w:p w14:paraId="728FAC0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5,580</w:t>
            </w:r>
          </w:p>
        </w:tc>
        <w:tc>
          <w:tcPr>
            <w:tcW w:w="1107" w:type="dxa"/>
            <w:tcBorders>
              <w:top w:val="single" w:sz="4" w:space="0" w:color="auto"/>
              <w:left w:val="single" w:sz="4" w:space="0" w:color="auto"/>
              <w:bottom w:val="single" w:sz="4" w:space="0" w:color="auto"/>
              <w:right w:val="single" w:sz="4" w:space="0" w:color="auto"/>
            </w:tcBorders>
            <w:hideMark/>
          </w:tcPr>
          <w:p w14:paraId="0CC7422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7.524</w:t>
            </w:r>
          </w:p>
        </w:tc>
        <w:tc>
          <w:tcPr>
            <w:tcW w:w="1107" w:type="dxa"/>
            <w:tcBorders>
              <w:top w:val="single" w:sz="4" w:space="0" w:color="auto"/>
              <w:left w:val="single" w:sz="4" w:space="0" w:color="auto"/>
              <w:bottom w:val="single" w:sz="4" w:space="0" w:color="auto"/>
              <w:right w:val="single" w:sz="4" w:space="0" w:color="auto"/>
            </w:tcBorders>
            <w:hideMark/>
          </w:tcPr>
          <w:p w14:paraId="534212F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4,506</w:t>
            </w:r>
          </w:p>
        </w:tc>
        <w:tc>
          <w:tcPr>
            <w:tcW w:w="1107" w:type="dxa"/>
            <w:tcBorders>
              <w:top w:val="single" w:sz="4" w:space="0" w:color="auto"/>
              <w:left w:val="single" w:sz="4" w:space="0" w:color="auto"/>
              <w:bottom w:val="single" w:sz="4" w:space="0" w:color="auto"/>
              <w:right w:val="single" w:sz="4" w:space="0" w:color="auto"/>
            </w:tcBorders>
            <w:hideMark/>
          </w:tcPr>
          <w:p w14:paraId="28DE28B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2,720</w:t>
            </w:r>
          </w:p>
        </w:tc>
        <w:tc>
          <w:tcPr>
            <w:tcW w:w="1107" w:type="dxa"/>
            <w:tcBorders>
              <w:top w:val="single" w:sz="4" w:space="0" w:color="auto"/>
              <w:left w:val="single" w:sz="4" w:space="0" w:color="auto"/>
              <w:bottom w:val="single" w:sz="4" w:space="0" w:color="auto"/>
              <w:right w:val="single" w:sz="4" w:space="0" w:color="auto"/>
            </w:tcBorders>
            <w:hideMark/>
          </w:tcPr>
          <w:p w14:paraId="6DCC6A36"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1,573</w:t>
            </w:r>
          </w:p>
        </w:tc>
        <w:tc>
          <w:tcPr>
            <w:tcW w:w="1107" w:type="dxa"/>
            <w:tcBorders>
              <w:top w:val="single" w:sz="4" w:space="0" w:color="auto"/>
              <w:left w:val="single" w:sz="4" w:space="0" w:color="auto"/>
              <w:bottom w:val="single" w:sz="4" w:space="0" w:color="auto"/>
              <w:right w:val="single" w:sz="4" w:space="0" w:color="auto"/>
            </w:tcBorders>
            <w:hideMark/>
          </w:tcPr>
          <w:p w14:paraId="56139E3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984</w:t>
            </w:r>
          </w:p>
        </w:tc>
        <w:tc>
          <w:tcPr>
            <w:tcW w:w="1107" w:type="dxa"/>
            <w:tcBorders>
              <w:top w:val="single" w:sz="4" w:space="0" w:color="auto"/>
              <w:left w:val="single" w:sz="4" w:space="0" w:color="auto"/>
              <w:bottom w:val="single" w:sz="4" w:space="0" w:color="auto"/>
              <w:right w:val="single" w:sz="4" w:space="0" w:color="auto"/>
            </w:tcBorders>
            <w:hideMark/>
          </w:tcPr>
          <w:p w14:paraId="49AA777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341</w:t>
            </w:r>
          </w:p>
        </w:tc>
      </w:tr>
    </w:tbl>
    <w:p w14:paraId="0E06AEA4"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lastRenderedPageBreak/>
        <w:t>Operating expenses for existing customers is less than in the overall assumptions due to 6% for solicitation of new customers and 7% for developing new technology.  In cash flow valuations the depreciation and amortization will not be added back to account for “return of” the wasting assets.</w:t>
      </w:r>
    </w:p>
    <w:p w14:paraId="35B2016A" w14:textId="0577053E" w:rsidR="00AC3A56"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t>Goodwill</w:t>
      </w:r>
      <w:r w:rsidRPr="00836212">
        <w:rPr>
          <w:rFonts w:ascii="Open Sans" w:hAnsi="Open Sans" w:cs="Open Sans"/>
          <w:sz w:val="20"/>
          <w:szCs w:val="20"/>
        </w:rPr>
        <w:t xml:space="preserve"> is to be valued based on a residual basis.  After the valuations are complete a comparison with the weighted average return on all assets to WACC for the entity should be performed.</w:t>
      </w:r>
    </w:p>
    <w:p w14:paraId="5E0B329F" w14:textId="5E031BD0" w:rsidR="00DD49DE" w:rsidRPr="00836212" w:rsidRDefault="00DD49DE" w:rsidP="00DD49DE">
      <w:pPr>
        <w:keepNext/>
        <w:keepLines/>
        <w:spacing w:before="200"/>
        <w:outlineLvl w:val="1"/>
        <w:rPr>
          <w:rFonts w:ascii="Open Sans" w:hAnsi="Open Sans" w:cs="Open Sans"/>
          <w:b/>
          <w:color w:val="33006F"/>
          <w:sz w:val="20"/>
          <w:szCs w:val="20"/>
        </w:rPr>
      </w:pPr>
      <w:r w:rsidRPr="00836212">
        <w:rPr>
          <w:rFonts w:ascii="Open Sans" w:hAnsi="Open Sans" w:cs="Open Sans"/>
          <w:b/>
          <w:color w:val="33006F"/>
          <w:sz w:val="20"/>
          <w:szCs w:val="20"/>
        </w:rPr>
        <w:t>Application</w:t>
      </w:r>
      <w:r>
        <w:rPr>
          <w:rFonts w:ascii="Open Sans" w:hAnsi="Open Sans" w:cs="Open Sans"/>
          <w:b/>
          <w:color w:val="33006F"/>
          <w:sz w:val="20"/>
          <w:szCs w:val="20"/>
        </w:rPr>
        <w:t xml:space="preserve"> to Facebook’s acquisition of WhatsApp</w:t>
      </w:r>
    </w:p>
    <w:p w14:paraId="63A01233" w14:textId="77777777" w:rsidR="00DD49DE" w:rsidRDefault="00DD49DE" w:rsidP="00DD49DE">
      <w:pPr>
        <w:spacing w:before="120" w:after="120" w:line="360" w:lineRule="auto"/>
        <w:jc w:val="both"/>
        <w:rPr>
          <w:rFonts w:ascii="Open Sans" w:hAnsi="Open Sans" w:cs="Open Sans"/>
          <w:sz w:val="20"/>
          <w:szCs w:val="20"/>
        </w:rPr>
      </w:pPr>
      <w:r w:rsidRPr="00DD49DE">
        <w:rPr>
          <w:rFonts w:ascii="Open Sans" w:hAnsi="Open Sans" w:cs="Open Sans"/>
          <w:sz w:val="20"/>
          <w:szCs w:val="20"/>
        </w:rPr>
        <w:t>Facebook has attracted a large amount of media, both positive and negative, about a string of potentially “high priced” Billion dollar plus acquisitions including Instagram (photo sharing) for $1Bn, WhatsApp (mobile messaging) for $19Bn and Oculus VR (Virtual reality software/hardware) for $2Bn.  One of the issues raised in the media is that these companies’ revenue streams cannot justify these high prices. In addition, the prior owners of WhatsApp went on record to never sell advertising on their network and they also do not keep personal data. Hence, WhatsApp is diametrically opposite to Facebook’s core business model. Note that these acquisitions have been paid for with substantial amounts of Facebook’s stock. Historical evidence suggests that managers make stock based acquisitions with overpriced stock – a perfect historical example is seen with AOL’s acquisition of Time-Warner during the peak of the internet bubble. Facebook’s use of stock and the sheer size of these acquisitions raise the obvious question about if and when these investments will pay-off for Facebook’s investors. But both more subtly and more importantly,</w:t>
      </w:r>
      <w:r>
        <w:rPr>
          <w:rFonts w:ascii="Open Sans" w:hAnsi="Open Sans" w:cs="Open Sans"/>
          <w:sz w:val="20"/>
          <w:szCs w:val="20"/>
        </w:rPr>
        <w:t xml:space="preserve"> the trends </w:t>
      </w:r>
      <w:r w:rsidRPr="00DD49DE">
        <w:rPr>
          <w:rFonts w:ascii="Open Sans" w:hAnsi="Open Sans" w:cs="Open Sans"/>
          <w:sz w:val="20"/>
          <w:szCs w:val="20"/>
        </w:rPr>
        <w:t>appear</w:t>
      </w:r>
      <w:r>
        <w:rPr>
          <w:rFonts w:ascii="Open Sans" w:hAnsi="Open Sans" w:cs="Open Sans"/>
          <w:sz w:val="20"/>
          <w:szCs w:val="20"/>
        </w:rPr>
        <w:t>ed</w:t>
      </w:r>
      <w:r w:rsidRPr="00DD49DE">
        <w:rPr>
          <w:rFonts w:ascii="Open Sans" w:hAnsi="Open Sans" w:cs="Open Sans"/>
          <w:sz w:val="20"/>
          <w:szCs w:val="20"/>
        </w:rPr>
        <w:t xml:space="preserve"> to foreshadow a decline in the revenues of social media companies as the transition of the primary internet access point continues to move from PCs to mobile devices. </w:t>
      </w:r>
    </w:p>
    <w:p w14:paraId="7182AB0B" w14:textId="0F356A71" w:rsidR="00DD49DE" w:rsidRPr="00DD49DE" w:rsidRDefault="00DD49DE" w:rsidP="00DD49DE">
      <w:pPr>
        <w:spacing w:before="120" w:after="120" w:line="360" w:lineRule="auto"/>
        <w:jc w:val="both"/>
        <w:rPr>
          <w:rFonts w:ascii="Open Sans" w:hAnsi="Open Sans" w:cs="Open Sans"/>
          <w:sz w:val="20"/>
          <w:szCs w:val="20"/>
        </w:rPr>
      </w:pPr>
      <w:r w:rsidRPr="00DD49DE">
        <w:rPr>
          <w:rFonts w:ascii="Open Sans" w:hAnsi="Open Sans" w:cs="Open Sans"/>
          <w:sz w:val="20"/>
          <w:szCs w:val="20"/>
        </w:rPr>
        <w:t xml:space="preserve">Figure </w:t>
      </w:r>
      <w:r>
        <w:rPr>
          <w:rFonts w:ascii="Open Sans" w:hAnsi="Open Sans" w:cs="Open Sans"/>
          <w:sz w:val="20"/>
          <w:szCs w:val="20"/>
        </w:rPr>
        <w:t>1</w:t>
      </w:r>
      <w:r w:rsidRPr="00DD49DE">
        <w:rPr>
          <w:rFonts w:ascii="Open Sans" w:hAnsi="Open Sans" w:cs="Open Sans"/>
          <w:sz w:val="20"/>
          <w:szCs w:val="20"/>
        </w:rPr>
        <w:t xml:space="preserve"> reports the classification of the assets acquired in the WhatsApp acquisition</w:t>
      </w:r>
      <w:r>
        <w:rPr>
          <w:rFonts w:ascii="Open Sans" w:hAnsi="Open Sans" w:cs="Open Sans"/>
          <w:sz w:val="20"/>
          <w:szCs w:val="20"/>
        </w:rPr>
        <w:t xml:space="preserve"> taken from Facebook’s 10-K after the acquisition</w:t>
      </w:r>
      <w:r w:rsidRPr="00DD49DE">
        <w:rPr>
          <w:rFonts w:ascii="Open Sans" w:hAnsi="Open Sans" w:cs="Open Sans"/>
          <w:sz w:val="20"/>
          <w:szCs w:val="20"/>
        </w:rPr>
        <w:t>. Note that the final amount paid for WhatsApp was “only” $17.193 Billion, as the value of Facebook’s shares declined between the time of the $19 Billion offer and the date of the acquisition.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6485"/>
      </w:tblGrid>
      <w:tr w:rsidR="00DD49DE" w14:paraId="39CB4832" w14:textId="77777777" w:rsidTr="00DC0336">
        <w:trPr>
          <w:jc w:val="center"/>
        </w:trPr>
        <w:tc>
          <w:tcPr>
            <w:tcW w:w="9576" w:type="dxa"/>
            <w:gridSpan w:val="2"/>
          </w:tcPr>
          <w:p w14:paraId="3CE8C859" w14:textId="427964D0" w:rsidR="00DD49DE" w:rsidRPr="009C6099" w:rsidRDefault="00DD49DE" w:rsidP="00DC0336">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Pr>
                <w:rFonts w:asciiTheme="majorHAnsi" w:hAnsiTheme="majorHAnsi"/>
                <w:b/>
                <w:noProof/>
              </w:rPr>
              <w:t>1</w:t>
            </w:r>
            <w:r>
              <w:rPr>
                <w:rFonts w:asciiTheme="majorHAnsi" w:hAnsiTheme="majorHAnsi"/>
                <w:b/>
              </w:rPr>
              <w:fldChar w:fldCharType="end"/>
            </w:r>
          </w:p>
          <w:p w14:paraId="495AC1D8" w14:textId="77777777" w:rsidR="00DD49DE" w:rsidRDefault="00DD49DE" w:rsidP="00DC0336">
            <w:pPr>
              <w:jc w:val="center"/>
            </w:pPr>
            <w:r>
              <w:rPr>
                <w:rFonts w:asciiTheme="majorHAnsi" w:hAnsiTheme="majorHAnsi"/>
                <w:b/>
              </w:rPr>
              <w:t>Disclosure of the assets recorded due to the WhatsApp acquisition</w:t>
            </w:r>
          </w:p>
        </w:tc>
      </w:tr>
      <w:tr w:rsidR="00DD49DE" w14:paraId="14BDCAA9" w14:textId="77777777" w:rsidTr="00DC0336">
        <w:trPr>
          <w:trHeight w:val="2844"/>
          <w:jc w:val="center"/>
        </w:trPr>
        <w:tc>
          <w:tcPr>
            <w:tcW w:w="9576" w:type="dxa"/>
            <w:gridSpan w:val="2"/>
          </w:tcPr>
          <w:p w14:paraId="469D8001" w14:textId="77777777" w:rsidR="00DD49DE" w:rsidRPr="009F2527" w:rsidRDefault="00DD49DE" w:rsidP="00DC0336">
            <w:pPr>
              <w:spacing w:after="200" w:line="276" w:lineRule="auto"/>
              <w:jc w:val="center"/>
              <w:rPr>
                <w:rFonts w:ascii="Calibri" w:eastAsia="Calibri" w:hAnsi="Calibri" w:cs="Times New Roman"/>
              </w:rPr>
            </w:pPr>
            <w:r w:rsidRPr="009F2527">
              <w:rPr>
                <w:rFonts w:ascii="Calibri" w:eastAsia="Calibri" w:hAnsi="Calibri" w:cs="Times New Roman"/>
                <w:noProof/>
              </w:rPr>
              <w:lastRenderedPageBreak/>
              <w:drawing>
                <wp:inline distT="0" distB="0" distL="0" distR="0" wp14:anchorId="5A721D0D" wp14:editId="66D16D29">
                  <wp:extent cx="4029075" cy="2590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29075" cy="2590800"/>
                          </a:xfrm>
                          <a:prstGeom prst="rect">
                            <a:avLst/>
                          </a:prstGeom>
                        </pic:spPr>
                      </pic:pic>
                    </a:graphicData>
                  </a:graphic>
                </wp:inline>
              </w:drawing>
            </w:r>
          </w:p>
          <w:p w14:paraId="2344780A" w14:textId="77777777" w:rsidR="00DD49DE" w:rsidRDefault="00DD49DE" w:rsidP="00DC0336">
            <w:pPr>
              <w:spacing w:after="200" w:line="276" w:lineRule="auto"/>
              <w:jc w:val="center"/>
            </w:pPr>
            <w:r w:rsidRPr="009F2527">
              <w:rPr>
                <w:rFonts w:ascii="Calibri" w:eastAsia="Calibri" w:hAnsi="Calibri" w:cs="Times New Roman"/>
                <w:noProof/>
              </w:rPr>
              <w:drawing>
                <wp:inline distT="0" distB="0" distL="0" distR="0" wp14:anchorId="0B55BE40" wp14:editId="7370567E">
                  <wp:extent cx="5943600" cy="681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681355"/>
                          </a:xfrm>
                          <a:prstGeom prst="rect">
                            <a:avLst/>
                          </a:prstGeom>
                        </pic:spPr>
                      </pic:pic>
                    </a:graphicData>
                  </a:graphic>
                </wp:inline>
              </w:drawing>
            </w:r>
          </w:p>
        </w:tc>
      </w:tr>
      <w:tr w:rsidR="00DD49DE" w:rsidRPr="009C6099" w14:paraId="28DA31EF" w14:textId="77777777" w:rsidTr="00DC0336">
        <w:trPr>
          <w:trHeight w:val="85"/>
          <w:jc w:val="center"/>
        </w:trPr>
        <w:tc>
          <w:tcPr>
            <w:tcW w:w="3091" w:type="dxa"/>
            <w:tcBorders>
              <w:bottom w:val="single" w:sz="8" w:space="0" w:color="33006F"/>
            </w:tcBorders>
          </w:tcPr>
          <w:p w14:paraId="5014839E" w14:textId="77777777" w:rsidR="00DD49DE" w:rsidRPr="009C6099" w:rsidRDefault="00DD49DE" w:rsidP="00DC0336">
            <w:pPr>
              <w:rPr>
                <w:sz w:val="8"/>
              </w:rPr>
            </w:pPr>
          </w:p>
        </w:tc>
        <w:tc>
          <w:tcPr>
            <w:tcW w:w="6485" w:type="dxa"/>
          </w:tcPr>
          <w:p w14:paraId="3E0A3684" w14:textId="77777777" w:rsidR="00DD49DE" w:rsidRPr="009C6099" w:rsidRDefault="00DD49DE" w:rsidP="00DC0336">
            <w:pPr>
              <w:rPr>
                <w:sz w:val="8"/>
              </w:rPr>
            </w:pPr>
          </w:p>
        </w:tc>
      </w:tr>
      <w:tr w:rsidR="00DD49DE" w14:paraId="68DBFC7C" w14:textId="77777777" w:rsidTr="00DC0336">
        <w:trPr>
          <w:trHeight w:val="612"/>
          <w:jc w:val="center"/>
        </w:trPr>
        <w:tc>
          <w:tcPr>
            <w:tcW w:w="9576" w:type="dxa"/>
            <w:gridSpan w:val="2"/>
          </w:tcPr>
          <w:p w14:paraId="55BA5858" w14:textId="77777777" w:rsidR="00DD49DE" w:rsidRPr="00AE45C3" w:rsidRDefault="00DD49DE" w:rsidP="00DC0336">
            <w:pPr>
              <w:spacing w:line="240" w:lineRule="auto"/>
              <w:jc w:val="both"/>
              <w:rPr>
                <w:sz w:val="20"/>
                <w:szCs w:val="20"/>
              </w:rPr>
            </w:pPr>
            <w:r w:rsidRPr="00AE45C3">
              <w:rPr>
                <w:sz w:val="20"/>
                <w:szCs w:val="20"/>
              </w:rPr>
              <w:t xml:space="preserve">Notes: </w:t>
            </w:r>
            <w:r>
              <w:rPr>
                <w:sz w:val="20"/>
                <w:szCs w:val="20"/>
              </w:rPr>
              <w:t xml:space="preserve">This disclosure of the </w:t>
            </w:r>
            <w:r w:rsidRPr="00F73E77">
              <w:rPr>
                <w:sz w:val="20"/>
                <w:szCs w:val="20"/>
              </w:rPr>
              <w:t xml:space="preserve">classification of share-based compensation at Facebook </w:t>
            </w:r>
            <w:r>
              <w:rPr>
                <w:sz w:val="20"/>
                <w:szCs w:val="20"/>
              </w:rPr>
              <w:t xml:space="preserve">was extracted from the Facebook 10-K for fiscal year </w:t>
            </w:r>
            <w:r w:rsidRPr="00F73E77">
              <w:rPr>
                <w:sz w:val="20"/>
                <w:szCs w:val="20"/>
              </w:rPr>
              <w:t>201</w:t>
            </w:r>
            <w:r>
              <w:rPr>
                <w:sz w:val="20"/>
                <w:szCs w:val="20"/>
              </w:rPr>
              <w:t>4.</w:t>
            </w:r>
          </w:p>
        </w:tc>
      </w:tr>
    </w:tbl>
    <w:p w14:paraId="2FF39D9D" w14:textId="2E02410E" w:rsidR="00DD49DE" w:rsidRDefault="00DD49DE" w:rsidP="00DD49DE">
      <w:pPr>
        <w:spacing w:before="120" w:after="120" w:line="360" w:lineRule="auto"/>
        <w:jc w:val="both"/>
        <w:rPr>
          <w:rFonts w:ascii="Open Sans" w:hAnsi="Open Sans" w:cs="Open Sans"/>
          <w:sz w:val="20"/>
          <w:szCs w:val="20"/>
        </w:rPr>
      </w:pPr>
      <w:r>
        <w:rPr>
          <w:rFonts w:ascii="Open Sans" w:hAnsi="Open Sans" w:cs="Open Sans"/>
          <w:sz w:val="20"/>
          <w:szCs w:val="20"/>
        </w:rPr>
        <w:t>As seen in Figure 1, the bulk of the acquisition cost, 89.2%, was allocated to goodwill (15,342 / 17,193). Thus, not only is the size of the acquisition very significant, the bulk of the perceived value from the acquisition is unidentifiable.</w:t>
      </w:r>
    </w:p>
    <w:p w14:paraId="278671F5" w14:textId="185F082A" w:rsidR="006D37A5" w:rsidRDefault="00935E3D" w:rsidP="00DD49DE">
      <w:pPr>
        <w:spacing w:before="120" w:after="120" w:line="360" w:lineRule="auto"/>
        <w:jc w:val="both"/>
        <w:rPr>
          <w:rFonts w:ascii="Open Sans" w:hAnsi="Open Sans" w:cs="Open Sans"/>
          <w:sz w:val="20"/>
          <w:szCs w:val="20"/>
        </w:rPr>
      </w:pPr>
      <w:r>
        <w:rPr>
          <w:rFonts w:ascii="Open Sans" w:hAnsi="Open Sans" w:cs="Open Sans"/>
          <w:sz w:val="20"/>
          <w:szCs w:val="20"/>
        </w:rPr>
        <w:t>As of 2017, Facebook has recorded no impairments to Goodwill or the intangible assets relating to the WhatsApp purchase, despite that WhatsApp no longer generates any direct revenues (previously WhatsApp charged 99 cents to continue using the app after a free year-long trial period). Exhibit 2 provides the details from their most recent 10-Q filing.</w:t>
      </w:r>
    </w:p>
    <w:p w14:paraId="02114030" w14:textId="585CFD95" w:rsidR="006D37A5" w:rsidRDefault="006D37A5" w:rsidP="00DD49DE">
      <w:pPr>
        <w:spacing w:before="120" w:after="120" w:line="360" w:lineRule="auto"/>
        <w:jc w:val="both"/>
        <w:rPr>
          <w:rFonts w:ascii="Open Sans" w:hAnsi="Open Sans" w:cs="Open Sans"/>
          <w:sz w:val="20"/>
          <w:szCs w:val="20"/>
        </w:rPr>
      </w:pPr>
    </w:p>
    <w:p w14:paraId="7FE61E4A" w14:textId="77777777" w:rsidR="00DD49DE" w:rsidRDefault="00DD49DE">
      <w:pPr>
        <w:spacing w:line="240" w:lineRule="auto"/>
        <w:rPr>
          <w:rFonts w:ascii="Open Sans" w:hAnsi="Open Sans" w:cs="Open Sans"/>
          <w:sz w:val="20"/>
          <w:szCs w:val="20"/>
        </w:rPr>
      </w:pPr>
      <w:r>
        <w:rPr>
          <w:rFonts w:ascii="Open Sans" w:hAnsi="Open Sans" w:cs="Open Sans"/>
          <w:sz w:val="20"/>
          <w:szCs w:val="20"/>
        </w:rPr>
        <w:br w:type="page"/>
      </w:r>
    </w:p>
    <w:p w14:paraId="6770F527" w14:textId="38ADB909" w:rsidR="00AE4AA3" w:rsidRDefault="00AE4AA3" w:rsidP="00AE4AA3">
      <w:pPr>
        <w:pStyle w:val="Heading1"/>
        <w:rPr>
          <w:rFonts w:ascii="Open Sans" w:hAnsi="Open Sans" w:cs="Open Sans"/>
          <w:smallCaps/>
          <w:color w:val="33006F"/>
        </w:rPr>
      </w:pPr>
      <w:bookmarkStart w:id="5" w:name="_Toc477954627"/>
      <w:bookmarkStart w:id="6" w:name="_Toc494529326"/>
      <w:r w:rsidRPr="00836212">
        <w:rPr>
          <w:rFonts w:ascii="Open Sans" w:hAnsi="Open Sans" w:cs="Open Sans"/>
          <w:smallCaps/>
          <w:color w:val="33006F"/>
        </w:rPr>
        <w:lastRenderedPageBreak/>
        <w:t>References</w:t>
      </w:r>
      <w:bookmarkEnd w:id="5"/>
      <w:bookmarkEnd w:id="6"/>
    </w:p>
    <w:p w14:paraId="40001C6F" w14:textId="77777777" w:rsidR="00083009" w:rsidRPr="00083009" w:rsidRDefault="00083009" w:rsidP="00083009">
      <w:pPr>
        <w:pStyle w:val="EndNoteBibliography"/>
        <w:ind w:left="720" w:hanging="720"/>
        <w:rPr>
          <w:rFonts w:ascii="Open Sans" w:hAnsi="Open Sans" w:cs="Open Sans"/>
        </w:rPr>
      </w:pPr>
      <w:r w:rsidRPr="00083009">
        <w:rPr>
          <w:rFonts w:ascii="Open Sans" w:hAnsi="Open Sans" w:cs="Open Sans"/>
          <w:smallCaps/>
          <w:color w:val="33006F"/>
        </w:rPr>
        <w:fldChar w:fldCharType="begin"/>
      </w:r>
      <w:r w:rsidRPr="00083009">
        <w:rPr>
          <w:rFonts w:ascii="Open Sans" w:hAnsi="Open Sans" w:cs="Open Sans"/>
          <w:smallCaps/>
          <w:color w:val="33006F"/>
        </w:rPr>
        <w:instrText xml:space="preserve"> ADDIN EN.REFLIST </w:instrText>
      </w:r>
      <w:r w:rsidRPr="00083009">
        <w:rPr>
          <w:rFonts w:ascii="Open Sans" w:hAnsi="Open Sans" w:cs="Open Sans"/>
          <w:smallCaps/>
          <w:color w:val="33006F"/>
        </w:rPr>
        <w:fldChar w:fldCharType="separate"/>
      </w:r>
      <w:r w:rsidRPr="00083009">
        <w:rPr>
          <w:rFonts w:ascii="Open Sans" w:hAnsi="Open Sans" w:cs="Open Sans"/>
        </w:rPr>
        <w:t xml:space="preserve">Jovanovic, B., and P. L. Rousseau. 2002. The Q-Theory of Mergers. </w:t>
      </w:r>
      <w:r w:rsidRPr="00083009">
        <w:rPr>
          <w:rFonts w:ascii="Open Sans" w:hAnsi="Open Sans" w:cs="Open Sans"/>
          <w:i/>
        </w:rPr>
        <w:t>The American Economic Review</w:t>
      </w:r>
      <w:r w:rsidRPr="00083009">
        <w:rPr>
          <w:rFonts w:ascii="Open Sans" w:hAnsi="Open Sans" w:cs="Open Sans"/>
        </w:rPr>
        <w:t xml:space="preserve"> 92 (2):198-204.</w:t>
      </w:r>
    </w:p>
    <w:p w14:paraId="5F4FA1DE" w14:textId="77777777" w:rsidR="00083009" w:rsidRPr="00083009" w:rsidRDefault="00083009" w:rsidP="00083009">
      <w:pPr>
        <w:pStyle w:val="EndNoteBibliography"/>
        <w:ind w:left="720" w:hanging="720"/>
        <w:rPr>
          <w:rFonts w:ascii="Open Sans" w:hAnsi="Open Sans" w:cs="Open Sans"/>
        </w:rPr>
      </w:pPr>
      <w:r w:rsidRPr="00083009">
        <w:rPr>
          <w:rFonts w:ascii="Open Sans" w:hAnsi="Open Sans" w:cs="Open Sans"/>
        </w:rPr>
        <w:t xml:space="preserve">Shleifer, A., and R. W. Vishny. 2003. Stock market driven acquisitions. </w:t>
      </w:r>
      <w:r w:rsidRPr="00083009">
        <w:rPr>
          <w:rFonts w:ascii="Open Sans" w:hAnsi="Open Sans" w:cs="Open Sans"/>
          <w:i/>
        </w:rPr>
        <w:t>Journal of Financial Economics</w:t>
      </w:r>
      <w:r w:rsidRPr="00083009">
        <w:rPr>
          <w:rFonts w:ascii="Open Sans" w:hAnsi="Open Sans" w:cs="Open Sans"/>
        </w:rPr>
        <w:t xml:space="preserve"> 70 (3):295-311.</w:t>
      </w:r>
    </w:p>
    <w:p w14:paraId="7BA05B5E" w14:textId="0D01AFCC" w:rsidR="00083009" w:rsidRPr="00083009" w:rsidRDefault="00083009" w:rsidP="00083009">
      <w:r w:rsidRPr="00083009">
        <w:rPr>
          <w:rFonts w:ascii="Open Sans" w:hAnsi="Open Sans" w:cs="Open Sans"/>
          <w:smallCaps/>
          <w:color w:val="33006F"/>
        </w:rPr>
        <w:fldChar w:fldCharType="end"/>
      </w:r>
    </w:p>
    <w:p w14:paraId="485D71E0" w14:textId="26050760" w:rsidR="00C74BEF" w:rsidRPr="00836212" w:rsidRDefault="00EB02F2" w:rsidP="00EB02F2">
      <w:pPr>
        <w:pStyle w:val="Heading1"/>
        <w:rPr>
          <w:rFonts w:ascii="Open Sans" w:hAnsi="Open Sans" w:cs="Open Sans"/>
        </w:rPr>
      </w:pPr>
      <w:bookmarkStart w:id="7" w:name="_Toc494529327"/>
      <w:r w:rsidRPr="00836212">
        <w:rPr>
          <w:rFonts w:ascii="Open Sans" w:hAnsi="Open Sans" w:cs="Open Sans"/>
          <w:smallCaps/>
          <w:color w:val="33006F"/>
        </w:rPr>
        <w:t>Endnotes</w:t>
      </w:r>
      <w:bookmarkEnd w:id="7"/>
    </w:p>
    <w:p w14:paraId="43E68C85" w14:textId="77777777" w:rsidR="000B4980" w:rsidRPr="00836212" w:rsidRDefault="000B4980">
      <w:pPr>
        <w:spacing w:line="240" w:lineRule="auto"/>
        <w:rPr>
          <w:rFonts w:ascii="Open Sans" w:hAnsi="Open Sans" w:cs="Open Sans"/>
        </w:rPr>
        <w:sectPr w:rsidR="000B4980" w:rsidRPr="00836212" w:rsidSect="001E52E9">
          <w:headerReference w:type="default" r:id="rId17"/>
          <w:footerReference w:type="default" r:id="rId18"/>
          <w:headerReference w:type="first" r:id="rId19"/>
          <w:pgSz w:w="12240" w:h="15840" w:code="1"/>
          <w:pgMar w:top="1440" w:right="1440" w:bottom="1440" w:left="1152" w:header="907" w:footer="576" w:gutter="0"/>
          <w:cols w:space="720"/>
          <w:titlePg/>
          <w:docGrid w:linePitch="360"/>
        </w:sectPr>
      </w:pPr>
    </w:p>
    <w:p w14:paraId="1BBA8DB1" w14:textId="77777777" w:rsidR="007E0371" w:rsidRDefault="00356226" w:rsidP="00356226">
      <w:pPr>
        <w:pStyle w:val="Heading1"/>
      </w:pPr>
      <w:bookmarkStart w:id="8" w:name="_Toc494529328"/>
      <w:r w:rsidRPr="00836212">
        <w:rPr>
          <w:rFonts w:ascii="Open Sans" w:hAnsi="Open Sans" w:cs="Open Sans"/>
          <w:smallCaps/>
          <w:color w:val="33006F"/>
        </w:rPr>
        <w:lastRenderedPageBreak/>
        <w:t>Appendix</w:t>
      </w:r>
      <w:r w:rsidR="004D57EB" w:rsidRPr="004D57EB">
        <w:t xml:space="preserve"> </w:t>
      </w:r>
    </w:p>
    <w:p w14:paraId="0805E654" w14:textId="6ABE25BC" w:rsidR="00356226" w:rsidRPr="007E0371" w:rsidRDefault="004D57EB" w:rsidP="007E0371">
      <w:pPr>
        <w:keepNext/>
        <w:keepLines/>
        <w:spacing w:before="200"/>
        <w:outlineLvl w:val="1"/>
        <w:rPr>
          <w:rFonts w:ascii="Open Sans" w:hAnsi="Open Sans" w:cs="Open Sans"/>
          <w:b/>
          <w:color w:val="33006F"/>
          <w:sz w:val="20"/>
          <w:szCs w:val="20"/>
        </w:rPr>
      </w:pPr>
      <w:r w:rsidRPr="007E0371">
        <w:rPr>
          <w:rFonts w:ascii="Open Sans" w:hAnsi="Open Sans" w:cs="Open Sans"/>
          <w:b/>
          <w:color w:val="33006F"/>
          <w:sz w:val="20"/>
          <w:szCs w:val="20"/>
        </w:rPr>
        <w:t>Exhibit 1</w:t>
      </w:r>
    </w:p>
    <w:bookmarkEnd w:id="8"/>
    <w:tbl>
      <w:tblPr>
        <w:tblW w:w="5000" w:type="pct"/>
        <w:tblLook w:val="04A0" w:firstRow="1" w:lastRow="0" w:firstColumn="1" w:lastColumn="0" w:noHBand="0" w:noVBand="1"/>
      </w:tblPr>
      <w:tblGrid>
        <w:gridCol w:w="2197"/>
        <w:gridCol w:w="925"/>
        <w:gridCol w:w="925"/>
        <w:gridCol w:w="925"/>
        <w:gridCol w:w="925"/>
        <w:gridCol w:w="925"/>
        <w:gridCol w:w="925"/>
        <w:gridCol w:w="925"/>
        <w:gridCol w:w="1072"/>
        <w:gridCol w:w="1072"/>
        <w:gridCol w:w="1072"/>
        <w:gridCol w:w="1072"/>
      </w:tblGrid>
      <w:tr w:rsidR="00DD49DE" w:rsidRPr="004D57EB" w14:paraId="710208D9" w14:textId="77777777" w:rsidTr="004D57EB">
        <w:trPr>
          <w:trHeight w:val="300"/>
        </w:trPr>
        <w:tc>
          <w:tcPr>
            <w:tcW w:w="860" w:type="pct"/>
            <w:noWrap/>
            <w:vAlign w:val="bottom"/>
            <w:hideMark/>
          </w:tcPr>
          <w:p w14:paraId="4DAF35ED" w14:textId="77777777" w:rsidR="00DD49DE" w:rsidRPr="004D57EB" w:rsidRDefault="00DD49DE" w:rsidP="00DC0336">
            <w:pPr>
              <w:rPr>
                <w:rFonts w:ascii="Open Sans" w:hAnsi="Open Sans" w:cs="Open Sans"/>
                <w:sz w:val="18"/>
              </w:rPr>
            </w:pPr>
          </w:p>
        </w:tc>
        <w:tc>
          <w:tcPr>
            <w:tcW w:w="356" w:type="pct"/>
            <w:noWrap/>
            <w:vAlign w:val="bottom"/>
            <w:hideMark/>
          </w:tcPr>
          <w:p w14:paraId="55B4A41B"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Actual</w:t>
            </w:r>
          </w:p>
        </w:tc>
        <w:tc>
          <w:tcPr>
            <w:tcW w:w="711" w:type="pct"/>
            <w:gridSpan w:val="2"/>
            <w:noWrap/>
            <w:vAlign w:val="bottom"/>
            <w:hideMark/>
          </w:tcPr>
          <w:p w14:paraId="0E0885F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Forecast</w:t>
            </w:r>
          </w:p>
        </w:tc>
        <w:tc>
          <w:tcPr>
            <w:tcW w:w="356" w:type="pct"/>
            <w:noWrap/>
            <w:vAlign w:val="bottom"/>
            <w:hideMark/>
          </w:tcPr>
          <w:p w14:paraId="780711C4"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42417447" w14:textId="77777777" w:rsidR="00DD49DE" w:rsidRPr="004D57EB" w:rsidRDefault="00DD49DE" w:rsidP="00DC0336">
            <w:pPr>
              <w:rPr>
                <w:rFonts w:ascii="Open Sans" w:hAnsi="Open Sans" w:cs="Open Sans"/>
                <w:sz w:val="18"/>
                <w:szCs w:val="20"/>
              </w:rPr>
            </w:pPr>
          </w:p>
        </w:tc>
        <w:tc>
          <w:tcPr>
            <w:tcW w:w="356" w:type="pct"/>
            <w:noWrap/>
            <w:vAlign w:val="bottom"/>
            <w:hideMark/>
          </w:tcPr>
          <w:p w14:paraId="6416AD2B" w14:textId="77777777" w:rsidR="00DD49DE" w:rsidRPr="004D57EB" w:rsidRDefault="00DD49DE" w:rsidP="00DC0336">
            <w:pPr>
              <w:rPr>
                <w:rFonts w:ascii="Open Sans" w:hAnsi="Open Sans" w:cs="Open Sans"/>
                <w:sz w:val="18"/>
                <w:szCs w:val="20"/>
              </w:rPr>
            </w:pPr>
          </w:p>
        </w:tc>
        <w:tc>
          <w:tcPr>
            <w:tcW w:w="356" w:type="pct"/>
            <w:noWrap/>
            <w:vAlign w:val="bottom"/>
            <w:hideMark/>
          </w:tcPr>
          <w:p w14:paraId="54FE419B" w14:textId="77777777" w:rsidR="00DD49DE" w:rsidRPr="004D57EB" w:rsidRDefault="00DD49DE" w:rsidP="00DC0336">
            <w:pPr>
              <w:rPr>
                <w:rFonts w:ascii="Open Sans" w:hAnsi="Open Sans" w:cs="Open Sans"/>
                <w:sz w:val="18"/>
                <w:szCs w:val="20"/>
              </w:rPr>
            </w:pPr>
          </w:p>
        </w:tc>
        <w:tc>
          <w:tcPr>
            <w:tcW w:w="412" w:type="pct"/>
            <w:noWrap/>
            <w:vAlign w:val="bottom"/>
            <w:hideMark/>
          </w:tcPr>
          <w:p w14:paraId="3927C23B" w14:textId="77777777" w:rsidR="00DD49DE" w:rsidRPr="004D57EB" w:rsidRDefault="00DD49DE" w:rsidP="00DC0336">
            <w:pPr>
              <w:rPr>
                <w:rFonts w:ascii="Open Sans" w:hAnsi="Open Sans" w:cs="Open Sans"/>
                <w:sz w:val="18"/>
                <w:szCs w:val="20"/>
              </w:rPr>
            </w:pPr>
          </w:p>
        </w:tc>
        <w:tc>
          <w:tcPr>
            <w:tcW w:w="412" w:type="pct"/>
            <w:noWrap/>
            <w:vAlign w:val="bottom"/>
            <w:hideMark/>
          </w:tcPr>
          <w:p w14:paraId="455332FD" w14:textId="77777777" w:rsidR="00DD49DE" w:rsidRPr="004D57EB" w:rsidRDefault="00DD49DE" w:rsidP="00DC0336">
            <w:pPr>
              <w:rPr>
                <w:rFonts w:ascii="Open Sans" w:hAnsi="Open Sans" w:cs="Open Sans"/>
                <w:sz w:val="18"/>
                <w:szCs w:val="20"/>
              </w:rPr>
            </w:pPr>
          </w:p>
        </w:tc>
        <w:tc>
          <w:tcPr>
            <w:tcW w:w="412" w:type="pct"/>
            <w:noWrap/>
            <w:vAlign w:val="bottom"/>
            <w:hideMark/>
          </w:tcPr>
          <w:p w14:paraId="23D800C8" w14:textId="77777777" w:rsidR="00DD49DE" w:rsidRPr="004D57EB" w:rsidRDefault="00DD49DE" w:rsidP="00DC0336">
            <w:pPr>
              <w:rPr>
                <w:rFonts w:ascii="Open Sans" w:hAnsi="Open Sans" w:cs="Open Sans"/>
                <w:sz w:val="18"/>
                <w:szCs w:val="20"/>
              </w:rPr>
            </w:pPr>
          </w:p>
        </w:tc>
        <w:tc>
          <w:tcPr>
            <w:tcW w:w="412" w:type="pct"/>
            <w:noWrap/>
            <w:vAlign w:val="bottom"/>
            <w:hideMark/>
          </w:tcPr>
          <w:p w14:paraId="30A2CF93" w14:textId="77777777" w:rsidR="00DD49DE" w:rsidRPr="004D57EB" w:rsidRDefault="00DD49DE" w:rsidP="00DC0336">
            <w:pPr>
              <w:rPr>
                <w:rFonts w:ascii="Open Sans" w:hAnsi="Open Sans" w:cs="Open Sans"/>
                <w:sz w:val="18"/>
                <w:szCs w:val="20"/>
              </w:rPr>
            </w:pPr>
          </w:p>
        </w:tc>
      </w:tr>
      <w:tr w:rsidR="00DD49DE" w:rsidRPr="004D57EB" w14:paraId="50F4BD1A" w14:textId="77777777" w:rsidTr="004D57EB">
        <w:trPr>
          <w:trHeight w:val="300"/>
        </w:trPr>
        <w:tc>
          <w:tcPr>
            <w:tcW w:w="860" w:type="pct"/>
            <w:noWrap/>
            <w:vAlign w:val="bottom"/>
            <w:hideMark/>
          </w:tcPr>
          <w:p w14:paraId="761A73DA" w14:textId="77777777" w:rsidR="00DD49DE" w:rsidRPr="004D57EB" w:rsidRDefault="00DD49DE" w:rsidP="00DC0336">
            <w:pPr>
              <w:rPr>
                <w:rFonts w:ascii="Open Sans" w:hAnsi="Open Sans" w:cs="Open Sans"/>
                <w:sz w:val="18"/>
                <w:szCs w:val="20"/>
              </w:rPr>
            </w:pPr>
          </w:p>
        </w:tc>
        <w:tc>
          <w:tcPr>
            <w:tcW w:w="356" w:type="pct"/>
            <w:noWrap/>
            <w:vAlign w:val="bottom"/>
            <w:hideMark/>
          </w:tcPr>
          <w:p w14:paraId="6FDB585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2014</w:t>
            </w:r>
          </w:p>
        </w:tc>
        <w:tc>
          <w:tcPr>
            <w:tcW w:w="356" w:type="pct"/>
            <w:noWrap/>
            <w:vAlign w:val="bottom"/>
            <w:hideMark/>
          </w:tcPr>
          <w:p w14:paraId="4CD831C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2015</w:t>
            </w:r>
          </w:p>
        </w:tc>
        <w:tc>
          <w:tcPr>
            <w:tcW w:w="356" w:type="pct"/>
            <w:noWrap/>
            <w:vAlign w:val="bottom"/>
            <w:hideMark/>
          </w:tcPr>
          <w:p w14:paraId="1CFB9AF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2016</w:t>
            </w:r>
          </w:p>
        </w:tc>
        <w:tc>
          <w:tcPr>
            <w:tcW w:w="356" w:type="pct"/>
            <w:noWrap/>
            <w:vAlign w:val="bottom"/>
            <w:hideMark/>
          </w:tcPr>
          <w:p w14:paraId="7B746AC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2017</w:t>
            </w:r>
          </w:p>
        </w:tc>
        <w:tc>
          <w:tcPr>
            <w:tcW w:w="356" w:type="pct"/>
            <w:noWrap/>
            <w:vAlign w:val="bottom"/>
            <w:hideMark/>
          </w:tcPr>
          <w:p w14:paraId="3C31B3A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2018</w:t>
            </w:r>
          </w:p>
        </w:tc>
        <w:tc>
          <w:tcPr>
            <w:tcW w:w="356" w:type="pct"/>
            <w:noWrap/>
            <w:vAlign w:val="bottom"/>
            <w:hideMark/>
          </w:tcPr>
          <w:p w14:paraId="59C5F9A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2019</w:t>
            </w:r>
          </w:p>
        </w:tc>
        <w:tc>
          <w:tcPr>
            <w:tcW w:w="356" w:type="pct"/>
            <w:noWrap/>
            <w:vAlign w:val="bottom"/>
            <w:hideMark/>
          </w:tcPr>
          <w:p w14:paraId="1B06D89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2020</w:t>
            </w:r>
          </w:p>
        </w:tc>
        <w:tc>
          <w:tcPr>
            <w:tcW w:w="412" w:type="pct"/>
            <w:noWrap/>
            <w:vAlign w:val="bottom"/>
            <w:hideMark/>
          </w:tcPr>
          <w:p w14:paraId="70B0657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2021</w:t>
            </w:r>
          </w:p>
        </w:tc>
        <w:tc>
          <w:tcPr>
            <w:tcW w:w="412" w:type="pct"/>
            <w:noWrap/>
            <w:vAlign w:val="bottom"/>
            <w:hideMark/>
          </w:tcPr>
          <w:p w14:paraId="3A32223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2022</w:t>
            </w:r>
          </w:p>
        </w:tc>
        <w:tc>
          <w:tcPr>
            <w:tcW w:w="412" w:type="pct"/>
            <w:noWrap/>
            <w:vAlign w:val="bottom"/>
            <w:hideMark/>
          </w:tcPr>
          <w:p w14:paraId="3057354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2023</w:t>
            </w:r>
          </w:p>
        </w:tc>
        <w:tc>
          <w:tcPr>
            <w:tcW w:w="412" w:type="pct"/>
            <w:noWrap/>
            <w:vAlign w:val="bottom"/>
            <w:hideMark/>
          </w:tcPr>
          <w:p w14:paraId="1CA3BF7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2024</w:t>
            </w:r>
          </w:p>
        </w:tc>
      </w:tr>
      <w:tr w:rsidR="00DD49DE" w:rsidRPr="004D57EB" w14:paraId="41D01B29" w14:textId="77777777" w:rsidTr="004D57EB">
        <w:trPr>
          <w:trHeight w:val="300"/>
        </w:trPr>
        <w:tc>
          <w:tcPr>
            <w:tcW w:w="860" w:type="pct"/>
            <w:noWrap/>
            <w:vAlign w:val="bottom"/>
            <w:hideMark/>
          </w:tcPr>
          <w:p w14:paraId="580760DE"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Sales</w:t>
            </w:r>
          </w:p>
        </w:tc>
        <w:tc>
          <w:tcPr>
            <w:tcW w:w="356" w:type="pct"/>
            <w:noWrap/>
            <w:vAlign w:val="bottom"/>
            <w:hideMark/>
          </w:tcPr>
          <w:p w14:paraId="2E1BF6FF"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01DF6005" w14:textId="77777777" w:rsidR="00DD49DE" w:rsidRPr="004D57EB" w:rsidRDefault="00DD49DE" w:rsidP="00DC0336">
            <w:pPr>
              <w:rPr>
                <w:rFonts w:ascii="Open Sans" w:hAnsi="Open Sans" w:cs="Open Sans"/>
                <w:sz w:val="18"/>
                <w:szCs w:val="20"/>
              </w:rPr>
            </w:pPr>
          </w:p>
        </w:tc>
        <w:tc>
          <w:tcPr>
            <w:tcW w:w="356" w:type="pct"/>
            <w:noWrap/>
            <w:vAlign w:val="bottom"/>
            <w:hideMark/>
          </w:tcPr>
          <w:p w14:paraId="717348F3" w14:textId="77777777" w:rsidR="00DD49DE" w:rsidRPr="004D57EB" w:rsidRDefault="00DD49DE" w:rsidP="00DC0336">
            <w:pPr>
              <w:rPr>
                <w:rFonts w:ascii="Open Sans" w:hAnsi="Open Sans" w:cs="Open Sans"/>
                <w:sz w:val="18"/>
                <w:szCs w:val="20"/>
              </w:rPr>
            </w:pPr>
          </w:p>
        </w:tc>
        <w:tc>
          <w:tcPr>
            <w:tcW w:w="356" w:type="pct"/>
            <w:noWrap/>
            <w:vAlign w:val="bottom"/>
            <w:hideMark/>
          </w:tcPr>
          <w:p w14:paraId="6EC287C4" w14:textId="77777777" w:rsidR="00DD49DE" w:rsidRPr="004D57EB" w:rsidRDefault="00DD49DE" w:rsidP="00DC0336">
            <w:pPr>
              <w:rPr>
                <w:rFonts w:ascii="Open Sans" w:hAnsi="Open Sans" w:cs="Open Sans"/>
                <w:sz w:val="18"/>
                <w:szCs w:val="20"/>
              </w:rPr>
            </w:pPr>
          </w:p>
        </w:tc>
        <w:tc>
          <w:tcPr>
            <w:tcW w:w="356" w:type="pct"/>
            <w:noWrap/>
            <w:vAlign w:val="bottom"/>
            <w:hideMark/>
          </w:tcPr>
          <w:p w14:paraId="37DF53EE" w14:textId="77777777" w:rsidR="00DD49DE" w:rsidRPr="004D57EB" w:rsidRDefault="00DD49DE" w:rsidP="00DC0336">
            <w:pPr>
              <w:rPr>
                <w:rFonts w:ascii="Open Sans" w:hAnsi="Open Sans" w:cs="Open Sans"/>
                <w:sz w:val="18"/>
                <w:szCs w:val="20"/>
              </w:rPr>
            </w:pPr>
          </w:p>
        </w:tc>
        <w:tc>
          <w:tcPr>
            <w:tcW w:w="356" w:type="pct"/>
            <w:noWrap/>
            <w:vAlign w:val="bottom"/>
            <w:hideMark/>
          </w:tcPr>
          <w:p w14:paraId="0DA39054" w14:textId="77777777" w:rsidR="00DD49DE" w:rsidRPr="004D57EB" w:rsidRDefault="00DD49DE" w:rsidP="00DC0336">
            <w:pPr>
              <w:rPr>
                <w:rFonts w:ascii="Open Sans" w:hAnsi="Open Sans" w:cs="Open Sans"/>
                <w:sz w:val="18"/>
                <w:szCs w:val="20"/>
              </w:rPr>
            </w:pPr>
          </w:p>
        </w:tc>
        <w:tc>
          <w:tcPr>
            <w:tcW w:w="356" w:type="pct"/>
            <w:noWrap/>
            <w:vAlign w:val="bottom"/>
            <w:hideMark/>
          </w:tcPr>
          <w:p w14:paraId="56E4A933" w14:textId="77777777" w:rsidR="00DD49DE" w:rsidRPr="004D57EB" w:rsidRDefault="00DD49DE" w:rsidP="00DC0336">
            <w:pPr>
              <w:rPr>
                <w:rFonts w:ascii="Open Sans" w:hAnsi="Open Sans" w:cs="Open Sans"/>
                <w:sz w:val="18"/>
                <w:szCs w:val="20"/>
              </w:rPr>
            </w:pPr>
          </w:p>
        </w:tc>
        <w:tc>
          <w:tcPr>
            <w:tcW w:w="412" w:type="pct"/>
            <w:noWrap/>
            <w:vAlign w:val="bottom"/>
            <w:hideMark/>
          </w:tcPr>
          <w:p w14:paraId="1D3BFCB2" w14:textId="77777777" w:rsidR="00DD49DE" w:rsidRPr="004D57EB" w:rsidRDefault="00DD49DE" w:rsidP="00DC0336">
            <w:pPr>
              <w:rPr>
                <w:rFonts w:ascii="Open Sans" w:hAnsi="Open Sans" w:cs="Open Sans"/>
                <w:sz w:val="18"/>
                <w:szCs w:val="20"/>
              </w:rPr>
            </w:pPr>
          </w:p>
        </w:tc>
        <w:tc>
          <w:tcPr>
            <w:tcW w:w="412" w:type="pct"/>
            <w:noWrap/>
            <w:vAlign w:val="bottom"/>
            <w:hideMark/>
          </w:tcPr>
          <w:p w14:paraId="2159F31C" w14:textId="77777777" w:rsidR="00DD49DE" w:rsidRPr="004D57EB" w:rsidRDefault="00DD49DE" w:rsidP="00DC0336">
            <w:pPr>
              <w:rPr>
                <w:rFonts w:ascii="Open Sans" w:hAnsi="Open Sans" w:cs="Open Sans"/>
                <w:sz w:val="18"/>
                <w:szCs w:val="20"/>
              </w:rPr>
            </w:pPr>
          </w:p>
        </w:tc>
        <w:tc>
          <w:tcPr>
            <w:tcW w:w="412" w:type="pct"/>
            <w:noWrap/>
            <w:vAlign w:val="bottom"/>
            <w:hideMark/>
          </w:tcPr>
          <w:p w14:paraId="12D046BA" w14:textId="77777777" w:rsidR="00DD49DE" w:rsidRPr="004D57EB" w:rsidRDefault="00DD49DE" w:rsidP="00DC0336">
            <w:pPr>
              <w:rPr>
                <w:rFonts w:ascii="Open Sans" w:hAnsi="Open Sans" w:cs="Open Sans"/>
                <w:sz w:val="18"/>
                <w:szCs w:val="20"/>
              </w:rPr>
            </w:pPr>
          </w:p>
        </w:tc>
        <w:tc>
          <w:tcPr>
            <w:tcW w:w="412" w:type="pct"/>
            <w:noWrap/>
            <w:vAlign w:val="bottom"/>
            <w:hideMark/>
          </w:tcPr>
          <w:p w14:paraId="5B3600F8" w14:textId="77777777" w:rsidR="00DD49DE" w:rsidRPr="004D57EB" w:rsidRDefault="00DD49DE" w:rsidP="00DC0336">
            <w:pPr>
              <w:rPr>
                <w:rFonts w:ascii="Open Sans" w:hAnsi="Open Sans" w:cs="Open Sans"/>
                <w:sz w:val="18"/>
                <w:szCs w:val="20"/>
              </w:rPr>
            </w:pPr>
          </w:p>
        </w:tc>
      </w:tr>
      <w:tr w:rsidR="00DD49DE" w:rsidRPr="004D57EB" w14:paraId="526B004F" w14:textId="77777777" w:rsidTr="004D57EB">
        <w:trPr>
          <w:trHeight w:val="300"/>
        </w:trPr>
        <w:tc>
          <w:tcPr>
            <w:tcW w:w="860" w:type="pct"/>
            <w:noWrap/>
            <w:vAlign w:val="bottom"/>
            <w:hideMark/>
          </w:tcPr>
          <w:p w14:paraId="67AED167"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Growth %</w:t>
            </w:r>
          </w:p>
        </w:tc>
        <w:tc>
          <w:tcPr>
            <w:tcW w:w="356" w:type="pct"/>
            <w:noWrap/>
            <w:vAlign w:val="bottom"/>
            <w:hideMark/>
          </w:tcPr>
          <w:p w14:paraId="38A450A2"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12B6262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70E17A3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151A224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12.50%</w:t>
            </w:r>
          </w:p>
        </w:tc>
        <w:tc>
          <w:tcPr>
            <w:tcW w:w="356" w:type="pct"/>
            <w:noWrap/>
            <w:vAlign w:val="bottom"/>
            <w:hideMark/>
          </w:tcPr>
          <w:p w14:paraId="26A14A7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10%</w:t>
            </w:r>
          </w:p>
        </w:tc>
        <w:tc>
          <w:tcPr>
            <w:tcW w:w="356" w:type="pct"/>
            <w:noWrap/>
            <w:vAlign w:val="bottom"/>
            <w:hideMark/>
          </w:tcPr>
          <w:p w14:paraId="14B2A72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10%</w:t>
            </w:r>
          </w:p>
        </w:tc>
        <w:tc>
          <w:tcPr>
            <w:tcW w:w="356" w:type="pct"/>
            <w:noWrap/>
            <w:vAlign w:val="bottom"/>
            <w:hideMark/>
          </w:tcPr>
          <w:p w14:paraId="24C42B1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14B4C3C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75C68CC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5D132A3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4348943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r>
      <w:tr w:rsidR="00DD49DE" w:rsidRPr="004D57EB" w14:paraId="0379A4FA" w14:textId="77777777" w:rsidTr="004D57EB">
        <w:trPr>
          <w:trHeight w:val="300"/>
        </w:trPr>
        <w:tc>
          <w:tcPr>
            <w:tcW w:w="860" w:type="pct"/>
            <w:noWrap/>
            <w:vAlign w:val="bottom"/>
            <w:hideMark/>
          </w:tcPr>
          <w:p w14:paraId="6DF7B9FA"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Net Sales</w:t>
            </w:r>
          </w:p>
        </w:tc>
        <w:tc>
          <w:tcPr>
            <w:tcW w:w="356" w:type="pct"/>
            <w:noWrap/>
            <w:vAlign w:val="bottom"/>
            <w:hideMark/>
          </w:tcPr>
          <w:p w14:paraId="53A69F8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500,000 </w:t>
            </w:r>
          </w:p>
        </w:tc>
        <w:tc>
          <w:tcPr>
            <w:tcW w:w="356" w:type="pct"/>
            <w:noWrap/>
            <w:vAlign w:val="bottom"/>
            <w:hideMark/>
          </w:tcPr>
          <w:p w14:paraId="3A42297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575,000 </w:t>
            </w:r>
          </w:p>
        </w:tc>
        <w:tc>
          <w:tcPr>
            <w:tcW w:w="356" w:type="pct"/>
            <w:noWrap/>
            <w:vAlign w:val="bottom"/>
            <w:hideMark/>
          </w:tcPr>
          <w:p w14:paraId="173CF7D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661,250 </w:t>
            </w:r>
          </w:p>
        </w:tc>
        <w:tc>
          <w:tcPr>
            <w:tcW w:w="356" w:type="pct"/>
            <w:noWrap/>
            <w:vAlign w:val="bottom"/>
            <w:hideMark/>
          </w:tcPr>
          <w:p w14:paraId="18FCF5D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743,906 </w:t>
            </w:r>
          </w:p>
        </w:tc>
        <w:tc>
          <w:tcPr>
            <w:tcW w:w="356" w:type="pct"/>
            <w:noWrap/>
            <w:vAlign w:val="bottom"/>
            <w:hideMark/>
          </w:tcPr>
          <w:p w14:paraId="3B70AAF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818,297 </w:t>
            </w:r>
          </w:p>
        </w:tc>
        <w:tc>
          <w:tcPr>
            <w:tcW w:w="356" w:type="pct"/>
            <w:noWrap/>
            <w:vAlign w:val="bottom"/>
            <w:hideMark/>
          </w:tcPr>
          <w:p w14:paraId="6C5BF92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900,127 </w:t>
            </w:r>
          </w:p>
        </w:tc>
        <w:tc>
          <w:tcPr>
            <w:tcW w:w="356" w:type="pct"/>
            <w:noWrap/>
            <w:vAlign w:val="bottom"/>
            <w:hideMark/>
          </w:tcPr>
          <w:p w14:paraId="1F735B0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967,636 </w:t>
            </w:r>
          </w:p>
        </w:tc>
        <w:tc>
          <w:tcPr>
            <w:tcW w:w="412" w:type="pct"/>
            <w:noWrap/>
            <w:vAlign w:val="bottom"/>
            <w:hideMark/>
          </w:tcPr>
          <w:p w14:paraId="277855E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1,040,209 </w:t>
            </w:r>
          </w:p>
        </w:tc>
        <w:tc>
          <w:tcPr>
            <w:tcW w:w="412" w:type="pct"/>
            <w:noWrap/>
            <w:vAlign w:val="bottom"/>
            <w:hideMark/>
          </w:tcPr>
          <w:p w14:paraId="4E83DBB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1,118,224 </w:t>
            </w:r>
          </w:p>
        </w:tc>
        <w:tc>
          <w:tcPr>
            <w:tcW w:w="412" w:type="pct"/>
            <w:noWrap/>
            <w:vAlign w:val="bottom"/>
            <w:hideMark/>
          </w:tcPr>
          <w:p w14:paraId="339053F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1,202,091 </w:t>
            </w:r>
          </w:p>
        </w:tc>
        <w:tc>
          <w:tcPr>
            <w:tcW w:w="412" w:type="pct"/>
            <w:noWrap/>
            <w:vAlign w:val="bottom"/>
            <w:hideMark/>
          </w:tcPr>
          <w:p w14:paraId="42F31BA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1,292,248 </w:t>
            </w:r>
          </w:p>
        </w:tc>
      </w:tr>
      <w:tr w:rsidR="00DD49DE" w:rsidRPr="004D57EB" w14:paraId="13592545" w14:textId="77777777" w:rsidTr="004D57EB">
        <w:trPr>
          <w:trHeight w:val="300"/>
        </w:trPr>
        <w:tc>
          <w:tcPr>
            <w:tcW w:w="860" w:type="pct"/>
            <w:noWrap/>
            <w:vAlign w:val="bottom"/>
            <w:hideMark/>
          </w:tcPr>
          <w:p w14:paraId="6CBAB839"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Expenses</w:t>
            </w:r>
          </w:p>
        </w:tc>
        <w:tc>
          <w:tcPr>
            <w:tcW w:w="356" w:type="pct"/>
            <w:noWrap/>
            <w:vAlign w:val="bottom"/>
            <w:hideMark/>
          </w:tcPr>
          <w:p w14:paraId="523A65C1"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255E917B" w14:textId="77777777" w:rsidR="00DD49DE" w:rsidRPr="004D57EB" w:rsidRDefault="00DD49DE" w:rsidP="00DC0336">
            <w:pPr>
              <w:rPr>
                <w:rFonts w:ascii="Open Sans" w:hAnsi="Open Sans" w:cs="Open Sans"/>
                <w:sz w:val="18"/>
                <w:szCs w:val="20"/>
              </w:rPr>
            </w:pPr>
          </w:p>
        </w:tc>
        <w:tc>
          <w:tcPr>
            <w:tcW w:w="356" w:type="pct"/>
            <w:noWrap/>
            <w:vAlign w:val="bottom"/>
            <w:hideMark/>
          </w:tcPr>
          <w:p w14:paraId="37FFD288" w14:textId="77777777" w:rsidR="00DD49DE" w:rsidRPr="004D57EB" w:rsidRDefault="00DD49DE" w:rsidP="00DC0336">
            <w:pPr>
              <w:rPr>
                <w:rFonts w:ascii="Open Sans" w:hAnsi="Open Sans" w:cs="Open Sans"/>
                <w:sz w:val="18"/>
                <w:szCs w:val="20"/>
              </w:rPr>
            </w:pPr>
          </w:p>
        </w:tc>
        <w:tc>
          <w:tcPr>
            <w:tcW w:w="356" w:type="pct"/>
            <w:noWrap/>
            <w:vAlign w:val="bottom"/>
            <w:hideMark/>
          </w:tcPr>
          <w:p w14:paraId="6C3C83BF" w14:textId="77777777" w:rsidR="00DD49DE" w:rsidRPr="004D57EB" w:rsidRDefault="00DD49DE" w:rsidP="00DC0336">
            <w:pPr>
              <w:rPr>
                <w:rFonts w:ascii="Open Sans" w:hAnsi="Open Sans" w:cs="Open Sans"/>
                <w:sz w:val="18"/>
                <w:szCs w:val="20"/>
              </w:rPr>
            </w:pPr>
          </w:p>
        </w:tc>
        <w:tc>
          <w:tcPr>
            <w:tcW w:w="356" w:type="pct"/>
            <w:noWrap/>
            <w:vAlign w:val="bottom"/>
            <w:hideMark/>
          </w:tcPr>
          <w:p w14:paraId="68971625" w14:textId="77777777" w:rsidR="00DD49DE" w:rsidRPr="004D57EB" w:rsidRDefault="00DD49DE" w:rsidP="00DC0336">
            <w:pPr>
              <w:rPr>
                <w:rFonts w:ascii="Open Sans" w:hAnsi="Open Sans" w:cs="Open Sans"/>
                <w:sz w:val="18"/>
                <w:szCs w:val="20"/>
              </w:rPr>
            </w:pPr>
          </w:p>
        </w:tc>
        <w:tc>
          <w:tcPr>
            <w:tcW w:w="356" w:type="pct"/>
            <w:noWrap/>
            <w:vAlign w:val="bottom"/>
            <w:hideMark/>
          </w:tcPr>
          <w:p w14:paraId="073968AE" w14:textId="77777777" w:rsidR="00DD49DE" w:rsidRPr="004D57EB" w:rsidRDefault="00DD49DE" w:rsidP="00DC0336">
            <w:pPr>
              <w:rPr>
                <w:rFonts w:ascii="Open Sans" w:hAnsi="Open Sans" w:cs="Open Sans"/>
                <w:sz w:val="18"/>
                <w:szCs w:val="20"/>
              </w:rPr>
            </w:pPr>
          </w:p>
        </w:tc>
        <w:tc>
          <w:tcPr>
            <w:tcW w:w="356" w:type="pct"/>
            <w:noWrap/>
            <w:vAlign w:val="bottom"/>
            <w:hideMark/>
          </w:tcPr>
          <w:p w14:paraId="40718984" w14:textId="77777777" w:rsidR="00DD49DE" w:rsidRPr="004D57EB" w:rsidRDefault="00DD49DE" w:rsidP="00DC0336">
            <w:pPr>
              <w:rPr>
                <w:rFonts w:ascii="Open Sans" w:hAnsi="Open Sans" w:cs="Open Sans"/>
                <w:sz w:val="18"/>
                <w:szCs w:val="20"/>
              </w:rPr>
            </w:pPr>
          </w:p>
        </w:tc>
        <w:tc>
          <w:tcPr>
            <w:tcW w:w="412" w:type="pct"/>
            <w:noWrap/>
            <w:vAlign w:val="bottom"/>
            <w:hideMark/>
          </w:tcPr>
          <w:p w14:paraId="5EB57088" w14:textId="77777777" w:rsidR="00DD49DE" w:rsidRPr="004D57EB" w:rsidRDefault="00DD49DE" w:rsidP="00DC0336">
            <w:pPr>
              <w:rPr>
                <w:rFonts w:ascii="Open Sans" w:hAnsi="Open Sans" w:cs="Open Sans"/>
                <w:sz w:val="18"/>
                <w:szCs w:val="20"/>
              </w:rPr>
            </w:pPr>
          </w:p>
        </w:tc>
        <w:tc>
          <w:tcPr>
            <w:tcW w:w="412" w:type="pct"/>
            <w:noWrap/>
            <w:vAlign w:val="bottom"/>
            <w:hideMark/>
          </w:tcPr>
          <w:p w14:paraId="71AAFA9A" w14:textId="77777777" w:rsidR="00DD49DE" w:rsidRPr="004D57EB" w:rsidRDefault="00DD49DE" w:rsidP="00DC0336">
            <w:pPr>
              <w:rPr>
                <w:rFonts w:ascii="Open Sans" w:hAnsi="Open Sans" w:cs="Open Sans"/>
                <w:sz w:val="18"/>
                <w:szCs w:val="20"/>
              </w:rPr>
            </w:pPr>
          </w:p>
        </w:tc>
        <w:tc>
          <w:tcPr>
            <w:tcW w:w="412" w:type="pct"/>
            <w:noWrap/>
            <w:vAlign w:val="bottom"/>
            <w:hideMark/>
          </w:tcPr>
          <w:p w14:paraId="475CE70C" w14:textId="77777777" w:rsidR="00DD49DE" w:rsidRPr="004D57EB" w:rsidRDefault="00DD49DE" w:rsidP="00DC0336">
            <w:pPr>
              <w:rPr>
                <w:rFonts w:ascii="Open Sans" w:hAnsi="Open Sans" w:cs="Open Sans"/>
                <w:sz w:val="18"/>
                <w:szCs w:val="20"/>
              </w:rPr>
            </w:pPr>
          </w:p>
        </w:tc>
        <w:tc>
          <w:tcPr>
            <w:tcW w:w="412" w:type="pct"/>
            <w:noWrap/>
            <w:vAlign w:val="bottom"/>
            <w:hideMark/>
          </w:tcPr>
          <w:p w14:paraId="52189000" w14:textId="77777777" w:rsidR="00DD49DE" w:rsidRPr="004D57EB" w:rsidRDefault="00DD49DE" w:rsidP="00DC0336">
            <w:pPr>
              <w:rPr>
                <w:rFonts w:ascii="Open Sans" w:hAnsi="Open Sans" w:cs="Open Sans"/>
                <w:sz w:val="18"/>
                <w:szCs w:val="20"/>
              </w:rPr>
            </w:pPr>
          </w:p>
        </w:tc>
      </w:tr>
      <w:tr w:rsidR="00DD49DE" w:rsidRPr="004D57EB" w14:paraId="2ED1CA31" w14:textId="77777777" w:rsidTr="004D57EB">
        <w:trPr>
          <w:trHeight w:val="300"/>
        </w:trPr>
        <w:tc>
          <w:tcPr>
            <w:tcW w:w="860" w:type="pct"/>
            <w:noWrap/>
            <w:vAlign w:val="bottom"/>
            <w:hideMark/>
          </w:tcPr>
          <w:p w14:paraId="5DF796AA"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COGS %</w:t>
            </w:r>
          </w:p>
        </w:tc>
        <w:tc>
          <w:tcPr>
            <w:tcW w:w="356" w:type="pct"/>
            <w:noWrap/>
            <w:vAlign w:val="bottom"/>
            <w:hideMark/>
          </w:tcPr>
          <w:p w14:paraId="7E5BE65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50%</w:t>
            </w:r>
          </w:p>
        </w:tc>
        <w:tc>
          <w:tcPr>
            <w:tcW w:w="356" w:type="pct"/>
            <w:noWrap/>
            <w:vAlign w:val="bottom"/>
            <w:hideMark/>
          </w:tcPr>
          <w:p w14:paraId="26A0E86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50%</w:t>
            </w:r>
          </w:p>
        </w:tc>
        <w:tc>
          <w:tcPr>
            <w:tcW w:w="356" w:type="pct"/>
            <w:noWrap/>
            <w:vAlign w:val="bottom"/>
            <w:hideMark/>
          </w:tcPr>
          <w:p w14:paraId="0601A6C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086883A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2C8E6EB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6F3A10E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21A8925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5B02F4A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1B6FF3A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30E3DAE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3051024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r>
      <w:tr w:rsidR="00DD49DE" w:rsidRPr="004D57EB" w14:paraId="2357AFA3" w14:textId="77777777" w:rsidTr="004D57EB">
        <w:trPr>
          <w:trHeight w:val="300"/>
        </w:trPr>
        <w:tc>
          <w:tcPr>
            <w:tcW w:w="860" w:type="pct"/>
            <w:noWrap/>
            <w:vAlign w:val="bottom"/>
            <w:hideMark/>
          </w:tcPr>
          <w:p w14:paraId="41469690"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COGS</w:t>
            </w:r>
          </w:p>
        </w:tc>
        <w:tc>
          <w:tcPr>
            <w:tcW w:w="356" w:type="pct"/>
            <w:noWrap/>
            <w:vAlign w:val="bottom"/>
            <w:hideMark/>
          </w:tcPr>
          <w:p w14:paraId="4C0AE73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250,000 </w:t>
            </w:r>
          </w:p>
        </w:tc>
        <w:tc>
          <w:tcPr>
            <w:tcW w:w="356" w:type="pct"/>
            <w:noWrap/>
            <w:vAlign w:val="bottom"/>
            <w:hideMark/>
          </w:tcPr>
          <w:p w14:paraId="5954AE6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287,500 </w:t>
            </w:r>
          </w:p>
        </w:tc>
        <w:tc>
          <w:tcPr>
            <w:tcW w:w="356" w:type="pct"/>
            <w:noWrap/>
            <w:vAlign w:val="bottom"/>
            <w:hideMark/>
          </w:tcPr>
          <w:p w14:paraId="20B275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324,013 </w:t>
            </w:r>
          </w:p>
        </w:tc>
        <w:tc>
          <w:tcPr>
            <w:tcW w:w="356" w:type="pct"/>
            <w:noWrap/>
            <w:vAlign w:val="bottom"/>
            <w:hideMark/>
          </w:tcPr>
          <w:p w14:paraId="795AA2F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364,514 </w:t>
            </w:r>
          </w:p>
        </w:tc>
        <w:tc>
          <w:tcPr>
            <w:tcW w:w="356" w:type="pct"/>
            <w:noWrap/>
            <w:vAlign w:val="bottom"/>
            <w:hideMark/>
          </w:tcPr>
          <w:p w14:paraId="252B453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400,965 </w:t>
            </w:r>
          </w:p>
        </w:tc>
        <w:tc>
          <w:tcPr>
            <w:tcW w:w="356" w:type="pct"/>
            <w:noWrap/>
            <w:vAlign w:val="bottom"/>
            <w:hideMark/>
          </w:tcPr>
          <w:p w14:paraId="0809F95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441,062 </w:t>
            </w:r>
          </w:p>
        </w:tc>
        <w:tc>
          <w:tcPr>
            <w:tcW w:w="356" w:type="pct"/>
            <w:noWrap/>
            <w:vAlign w:val="bottom"/>
            <w:hideMark/>
          </w:tcPr>
          <w:p w14:paraId="01B01DB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474,142 </w:t>
            </w:r>
          </w:p>
        </w:tc>
        <w:tc>
          <w:tcPr>
            <w:tcW w:w="412" w:type="pct"/>
            <w:noWrap/>
            <w:vAlign w:val="bottom"/>
            <w:hideMark/>
          </w:tcPr>
          <w:p w14:paraId="5C716A9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509,702 </w:t>
            </w:r>
          </w:p>
        </w:tc>
        <w:tc>
          <w:tcPr>
            <w:tcW w:w="412" w:type="pct"/>
            <w:noWrap/>
            <w:vAlign w:val="bottom"/>
            <w:hideMark/>
          </w:tcPr>
          <w:p w14:paraId="0612428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547,930 </w:t>
            </w:r>
          </w:p>
        </w:tc>
        <w:tc>
          <w:tcPr>
            <w:tcW w:w="412" w:type="pct"/>
            <w:noWrap/>
            <w:vAlign w:val="bottom"/>
            <w:hideMark/>
          </w:tcPr>
          <w:p w14:paraId="058E02B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589,025 </w:t>
            </w:r>
          </w:p>
        </w:tc>
        <w:tc>
          <w:tcPr>
            <w:tcW w:w="412" w:type="pct"/>
            <w:noWrap/>
            <w:vAlign w:val="bottom"/>
            <w:hideMark/>
          </w:tcPr>
          <w:p w14:paraId="340AF4A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633,202 </w:t>
            </w:r>
          </w:p>
        </w:tc>
      </w:tr>
      <w:tr w:rsidR="00DD49DE" w:rsidRPr="004D57EB" w14:paraId="3D23CCEC" w14:textId="77777777" w:rsidTr="004D57EB">
        <w:trPr>
          <w:trHeight w:val="300"/>
        </w:trPr>
        <w:tc>
          <w:tcPr>
            <w:tcW w:w="860" w:type="pct"/>
            <w:noWrap/>
            <w:vAlign w:val="bottom"/>
            <w:hideMark/>
          </w:tcPr>
          <w:p w14:paraId="75F9D04F"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Operating Expense %</w:t>
            </w:r>
          </w:p>
        </w:tc>
        <w:tc>
          <w:tcPr>
            <w:tcW w:w="356" w:type="pct"/>
            <w:noWrap/>
            <w:vAlign w:val="bottom"/>
            <w:hideMark/>
          </w:tcPr>
          <w:p w14:paraId="0BB96D9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38%</w:t>
            </w:r>
          </w:p>
        </w:tc>
        <w:tc>
          <w:tcPr>
            <w:tcW w:w="356" w:type="pct"/>
            <w:noWrap/>
            <w:vAlign w:val="bottom"/>
            <w:hideMark/>
          </w:tcPr>
          <w:p w14:paraId="63AD521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38%</w:t>
            </w:r>
          </w:p>
        </w:tc>
        <w:tc>
          <w:tcPr>
            <w:tcW w:w="356" w:type="pct"/>
            <w:noWrap/>
            <w:vAlign w:val="bottom"/>
            <w:hideMark/>
          </w:tcPr>
          <w:p w14:paraId="0B32B38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331D982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116322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23211F8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48C3928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11DA058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741247B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7C55D1C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035DB63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r>
      <w:tr w:rsidR="00DD49DE" w:rsidRPr="004D57EB" w14:paraId="1636A38B" w14:textId="77777777" w:rsidTr="004D57EB">
        <w:trPr>
          <w:trHeight w:val="300"/>
        </w:trPr>
        <w:tc>
          <w:tcPr>
            <w:tcW w:w="860" w:type="pct"/>
            <w:noWrap/>
            <w:vAlign w:val="bottom"/>
            <w:hideMark/>
          </w:tcPr>
          <w:p w14:paraId="21794005"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Operating Expense</w:t>
            </w:r>
          </w:p>
        </w:tc>
        <w:tc>
          <w:tcPr>
            <w:tcW w:w="356" w:type="pct"/>
            <w:noWrap/>
            <w:vAlign w:val="bottom"/>
            <w:hideMark/>
          </w:tcPr>
          <w:p w14:paraId="4399C1D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190,000 </w:t>
            </w:r>
          </w:p>
        </w:tc>
        <w:tc>
          <w:tcPr>
            <w:tcW w:w="356" w:type="pct"/>
            <w:noWrap/>
            <w:vAlign w:val="bottom"/>
            <w:hideMark/>
          </w:tcPr>
          <w:p w14:paraId="7CADBCD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218,500 </w:t>
            </w:r>
          </w:p>
        </w:tc>
        <w:tc>
          <w:tcPr>
            <w:tcW w:w="356" w:type="pct"/>
            <w:noWrap/>
            <w:vAlign w:val="bottom"/>
            <w:hideMark/>
          </w:tcPr>
          <w:p w14:paraId="3031F08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244,663 </w:t>
            </w:r>
          </w:p>
        </w:tc>
        <w:tc>
          <w:tcPr>
            <w:tcW w:w="356" w:type="pct"/>
            <w:noWrap/>
            <w:vAlign w:val="bottom"/>
            <w:hideMark/>
          </w:tcPr>
          <w:p w14:paraId="06E61B7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275,245 </w:t>
            </w:r>
          </w:p>
        </w:tc>
        <w:tc>
          <w:tcPr>
            <w:tcW w:w="356" w:type="pct"/>
            <w:noWrap/>
            <w:vAlign w:val="bottom"/>
            <w:hideMark/>
          </w:tcPr>
          <w:p w14:paraId="44B8F16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302,770 </w:t>
            </w:r>
          </w:p>
        </w:tc>
        <w:tc>
          <w:tcPr>
            <w:tcW w:w="356" w:type="pct"/>
            <w:noWrap/>
            <w:vAlign w:val="bottom"/>
            <w:hideMark/>
          </w:tcPr>
          <w:p w14:paraId="0611232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333,047 </w:t>
            </w:r>
          </w:p>
        </w:tc>
        <w:tc>
          <w:tcPr>
            <w:tcW w:w="356" w:type="pct"/>
            <w:noWrap/>
            <w:vAlign w:val="bottom"/>
            <w:hideMark/>
          </w:tcPr>
          <w:p w14:paraId="5A7F68B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358,025 </w:t>
            </w:r>
          </w:p>
        </w:tc>
        <w:tc>
          <w:tcPr>
            <w:tcW w:w="412" w:type="pct"/>
            <w:noWrap/>
            <w:vAlign w:val="bottom"/>
            <w:hideMark/>
          </w:tcPr>
          <w:p w14:paraId="64E1EA0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384,877 </w:t>
            </w:r>
          </w:p>
        </w:tc>
        <w:tc>
          <w:tcPr>
            <w:tcW w:w="412" w:type="pct"/>
            <w:noWrap/>
            <w:vAlign w:val="bottom"/>
            <w:hideMark/>
          </w:tcPr>
          <w:p w14:paraId="49DB364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413,743 </w:t>
            </w:r>
          </w:p>
        </w:tc>
        <w:tc>
          <w:tcPr>
            <w:tcW w:w="412" w:type="pct"/>
            <w:noWrap/>
            <w:vAlign w:val="bottom"/>
            <w:hideMark/>
          </w:tcPr>
          <w:p w14:paraId="79BE1CA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444,774 </w:t>
            </w:r>
          </w:p>
        </w:tc>
        <w:tc>
          <w:tcPr>
            <w:tcW w:w="412" w:type="pct"/>
            <w:noWrap/>
            <w:vAlign w:val="bottom"/>
            <w:hideMark/>
          </w:tcPr>
          <w:p w14:paraId="0D5F25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478,132 </w:t>
            </w:r>
          </w:p>
        </w:tc>
      </w:tr>
      <w:tr w:rsidR="00DD49DE" w:rsidRPr="004D57EB" w14:paraId="6517861D" w14:textId="77777777" w:rsidTr="004D57EB">
        <w:trPr>
          <w:trHeight w:val="300"/>
        </w:trPr>
        <w:tc>
          <w:tcPr>
            <w:tcW w:w="860" w:type="pct"/>
            <w:noWrap/>
            <w:vAlign w:val="bottom"/>
            <w:hideMark/>
          </w:tcPr>
          <w:p w14:paraId="492CB89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Depreciation (MACRS)</w:t>
            </w:r>
          </w:p>
        </w:tc>
        <w:tc>
          <w:tcPr>
            <w:tcW w:w="356" w:type="pct"/>
            <w:noWrap/>
            <w:vAlign w:val="bottom"/>
            <w:hideMark/>
          </w:tcPr>
          <w:p w14:paraId="53B2D31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7,067 </w:t>
            </w:r>
          </w:p>
        </w:tc>
        <w:tc>
          <w:tcPr>
            <w:tcW w:w="356" w:type="pct"/>
            <w:noWrap/>
            <w:vAlign w:val="bottom"/>
            <w:hideMark/>
          </w:tcPr>
          <w:p w14:paraId="0E5A2AA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13,158 </w:t>
            </w:r>
          </w:p>
        </w:tc>
        <w:tc>
          <w:tcPr>
            <w:tcW w:w="356" w:type="pct"/>
            <w:noWrap/>
            <w:vAlign w:val="bottom"/>
            <w:hideMark/>
          </w:tcPr>
          <w:p w14:paraId="3423DD3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22,967 </w:t>
            </w:r>
          </w:p>
        </w:tc>
        <w:tc>
          <w:tcPr>
            <w:tcW w:w="356" w:type="pct"/>
            <w:noWrap/>
            <w:vAlign w:val="bottom"/>
            <w:hideMark/>
          </w:tcPr>
          <w:p w14:paraId="5EEAE49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18,008 </w:t>
            </w:r>
          </w:p>
        </w:tc>
        <w:tc>
          <w:tcPr>
            <w:tcW w:w="356" w:type="pct"/>
            <w:noWrap/>
            <w:vAlign w:val="bottom"/>
            <w:hideMark/>
          </w:tcPr>
          <w:p w14:paraId="7451667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14,646 </w:t>
            </w:r>
          </w:p>
        </w:tc>
        <w:tc>
          <w:tcPr>
            <w:tcW w:w="356" w:type="pct"/>
            <w:noWrap/>
            <w:vAlign w:val="bottom"/>
            <w:hideMark/>
          </w:tcPr>
          <w:p w14:paraId="71D5316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12,434 </w:t>
            </w:r>
          </w:p>
        </w:tc>
        <w:tc>
          <w:tcPr>
            <w:tcW w:w="356" w:type="pct"/>
            <w:noWrap/>
            <w:vAlign w:val="bottom"/>
            <w:hideMark/>
          </w:tcPr>
          <w:p w14:paraId="1AD6445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13,284 </w:t>
            </w:r>
          </w:p>
        </w:tc>
        <w:tc>
          <w:tcPr>
            <w:tcW w:w="412" w:type="pct"/>
            <w:noWrap/>
            <w:vAlign w:val="bottom"/>
            <w:hideMark/>
          </w:tcPr>
          <w:p w14:paraId="2909AA4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14,191 </w:t>
            </w:r>
          </w:p>
        </w:tc>
        <w:tc>
          <w:tcPr>
            <w:tcW w:w="412" w:type="pct"/>
            <w:noWrap/>
            <w:vAlign w:val="bottom"/>
            <w:hideMark/>
          </w:tcPr>
          <w:p w14:paraId="72D667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11,165 </w:t>
            </w:r>
          </w:p>
        </w:tc>
        <w:tc>
          <w:tcPr>
            <w:tcW w:w="412" w:type="pct"/>
            <w:noWrap/>
            <w:vAlign w:val="bottom"/>
            <w:hideMark/>
          </w:tcPr>
          <w:p w14:paraId="2655D65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10,008 </w:t>
            </w:r>
          </w:p>
        </w:tc>
        <w:tc>
          <w:tcPr>
            <w:tcW w:w="412" w:type="pct"/>
            <w:noWrap/>
            <w:vAlign w:val="bottom"/>
            <w:hideMark/>
          </w:tcPr>
          <w:p w14:paraId="460C68A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 </w:t>
            </w:r>
          </w:p>
        </w:tc>
      </w:tr>
      <w:tr w:rsidR="00DD49DE" w:rsidRPr="004D57EB" w14:paraId="18CD3C57" w14:textId="77777777" w:rsidTr="004D57EB">
        <w:trPr>
          <w:trHeight w:val="300"/>
        </w:trPr>
        <w:tc>
          <w:tcPr>
            <w:tcW w:w="860" w:type="pct"/>
            <w:noWrap/>
            <w:vAlign w:val="bottom"/>
            <w:hideMark/>
          </w:tcPr>
          <w:p w14:paraId="5280F042"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Amortization</w:t>
            </w:r>
          </w:p>
        </w:tc>
        <w:tc>
          <w:tcPr>
            <w:tcW w:w="356" w:type="pct"/>
            <w:noWrap/>
            <w:vAlign w:val="bottom"/>
            <w:hideMark/>
          </w:tcPr>
          <w:p w14:paraId="378DF921"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5C9B491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4C4F087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0F04774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3961960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6FC6125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1CBB68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5CB72DF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7A6A385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5800278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18F8B89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r>
      <w:tr w:rsidR="00DD49DE" w:rsidRPr="004D57EB" w14:paraId="0487A074" w14:textId="77777777" w:rsidTr="004D57EB">
        <w:trPr>
          <w:trHeight w:val="300"/>
        </w:trPr>
        <w:tc>
          <w:tcPr>
            <w:tcW w:w="860" w:type="pct"/>
            <w:noWrap/>
            <w:vAlign w:val="bottom"/>
            <w:hideMark/>
          </w:tcPr>
          <w:p w14:paraId="149088C9"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07DC3CD2" w14:textId="77777777" w:rsidR="00DD49DE" w:rsidRPr="004D57EB" w:rsidRDefault="00DD49DE" w:rsidP="00DC0336">
            <w:pPr>
              <w:rPr>
                <w:rFonts w:ascii="Open Sans" w:hAnsi="Open Sans" w:cs="Open Sans"/>
                <w:sz w:val="18"/>
                <w:szCs w:val="20"/>
              </w:rPr>
            </w:pPr>
          </w:p>
        </w:tc>
        <w:tc>
          <w:tcPr>
            <w:tcW w:w="356" w:type="pct"/>
            <w:noWrap/>
            <w:vAlign w:val="bottom"/>
            <w:hideMark/>
          </w:tcPr>
          <w:p w14:paraId="271607CD" w14:textId="77777777" w:rsidR="00DD49DE" w:rsidRPr="004D57EB" w:rsidRDefault="00DD49DE" w:rsidP="00DC0336">
            <w:pPr>
              <w:rPr>
                <w:rFonts w:ascii="Open Sans" w:hAnsi="Open Sans" w:cs="Open Sans"/>
                <w:sz w:val="18"/>
                <w:szCs w:val="20"/>
              </w:rPr>
            </w:pPr>
          </w:p>
        </w:tc>
        <w:tc>
          <w:tcPr>
            <w:tcW w:w="356" w:type="pct"/>
            <w:noWrap/>
            <w:vAlign w:val="bottom"/>
            <w:hideMark/>
          </w:tcPr>
          <w:p w14:paraId="13361034" w14:textId="77777777" w:rsidR="00DD49DE" w:rsidRPr="004D57EB" w:rsidRDefault="00DD49DE" w:rsidP="00DC0336">
            <w:pPr>
              <w:rPr>
                <w:rFonts w:ascii="Open Sans" w:hAnsi="Open Sans" w:cs="Open Sans"/>
                <w:sz w:val="18"/>
                <w:szCs w:val="20"/>
              </w:rPr>
            </w:pPr>
          </w:p>
        </w:tc>
        <w:tc>
          <w:tcPr>
            <w:tcW w:w="356" w:type="pct"/>
            <w:noWrap/>
            <w:vAlign w:val="bottom"/>
            <w:hideMark/>
          </w:tcPr>
          <w:p w14:paraId="1C184E5E" w14:textId="77777777" w:rsidR="00DD49DE" w:rsidRPr="004D57EB" w:rsidRDefault="00DD49DE" w:rsidP="00DC0336">
            <w:pPr>
              <w:rPr>
                <w:rFonts w:ascii="Open Sans" w:hAnsi="Open Sans" w:cs="Open Sans"/>
                <w:sz w:val="18"/>
                <w:szCs w:val="20"/>
              </w:rPr>
            </w:pPr>
          </w:p>
        </w:tc>
        <w:tc>
          <w:tcPr>
            <w:tcW w:w="356" w:type="pct"/>
            <w:noWrap/>
            <w:vAlign w:val="bottom"/>
            <w:hideMark/>
          </w:tcPr>
          <w:p w14:paraId="6B833DD1" w14:textId="77777777" w:rsidR="00DD49DE" w:rsidRPr="004D57EB" w:rsidRDefault="00DD49DE" w:rsidP="00DC0336">
            <w:pPr>
              <w:rPr>
                <w:rFonts w:ascii="Open Sans" w:hAnsi="Open Sans" w:cs="Open Sans"/>
                <w:sz w:val="18"/>
                <w:szCs w:val="20"/>
              </w:rPr>
            </w:pPr>
          </w:p>
        </w:tc>
        <w:tc>
          <w:tcPr>
            <w:tcW w:w="356" w:type="pct"/>
            <w:noWrap/>
            <w:vAlign w:val="bottom"/>
            <w:hideMark/>
          </w:tcPr>
          <w:p w14:paraId="24E77AAE" w14:textId="77777777" w:rsidR="00DD49DE" w:rsidRPr="004D57EB" w:rsidRDefault="00DD49DE" w:rsidP="00DC0336">
            <w:pPr>
              <w:rPr>
                <w:rFonts w:ascii="Open Sans" w:hAnsi="Open Sans" w:cs="Open Sans"/>
                <w:sz w:val="18"/>
                <w:szCs w:val="20"/>
              </w:rPr>
            </w:pPr>
          </w:p>
        </w:tc>
        <w:tc>
          <w:tcPr>
            <w:tcW w:w="356" w:type="pct"/>
            <w:noWrap/>
            <w:vAlign w:val="bottom"/>
            <w:hideMark/>
          </w:tcPr>
          <w:p w14:paraId="5F5A3382" w14:textId="77777777" w:rsidR="00DD49DE" w:rsidRPr="004D57EB" w:rsidRDefault="00DD49DE" w:rsidP="00DC0336">
            <w:pPr>
              <w:rPr>
                <w:rFonts w:ascii="Open Sans" w:hAnsi="Open Sans" w:cs="Open Sans"/>
                <w:sz w:val="18"/>
                <w:szCs w:val="20"/>
              </w:rPr>
            </w:pPr>
          </w:p>
        </w:tc>
        <w:tc>
          <w:tcPr>
            <w:tcW w:w="412" w:type="pct"/>
            <w:noWrap/>
            <w:vAlign w:val="bottom"/>
            <w:hideMark/>
          </w:tcPr>
          <w:p w14:paraId="2276FB50" w14:textId="77777777" w:rsidR="00DD49DE" w:rsidRPr="004D57EB" w:rsidRDefault="00DD49DE" w:rsidP="00DC0336">
            <w:pPr>
              <w:rPr>
                <w:rFonts w:ascii="Open Sans" w:hAnsi="Open Sans" w:cs="Open Sans"/>
                <w:sz w:val="18"/>
                <w:szCs w:val="20"/>
              </w:rPr>
            </w:pPr>
          </w:p>
        </w:tc>
        <w:tc>
          <w:tcPr>
            <w:tcW w:w="412" w:type="pct"/>
            <w:noWrap/>
            <w:vAlign w:val="bottom"/>
            <w:hideMark/>
          </w:tcPr>
          <w:p w14:paraId="4993F3EB" w14:textId="77777777" w:rsidR="00DD49DE" w:rsidRPr="004D57EB" w:rsidRDefault="00DD49DE" w:rsidP="00DC0336">
            <w:pPr>
              <w:rPr>
                <w:rFonts w:ascii="Open Sans" w:hAnsi="Open Sans" w:cs="Open Sans"/>
                <w:sz w:val="18"/>
                <w:szCs w:val="20"/>
              </w:rPr>
            </w:pPr>
          </w:p>
        </w:tc>
        <w:tc>
          <w:tcPr>
            <w:tcW w:w="412" w:type="pct"/>
            <w:noWrap/>
            <w:vAlign w:val="bottom"/>
            <w:hideMark/>
          </w:tcPr>
          <w:p w14:paraId="4C015FA1" w14:textId="77777777" w:rsidR="00DD49DE" w:rsidRPr="004D57EB" w:rsidRDefault="00DD49DE" w:rsidP="00DC0336">
            <w:pPr>
              <w:rPr>
                <w:rFonts w:ascii="Open Sans" w:hAnsi="Open Sans" w:cs="Open Sans"/>
                <w:sz w:val="18"/>
                <w:szCs w:val="20"/>
              </w:rPr>
            </w:pPr>
          </w:p>
        </w:tc>
        <w:tc>
          <w:tcPr>
            <w:tcW w:w="412" w:type="pct"/>
            <w:noWrap/>
            <w:vAlign w:val="bottom"/>
            <w:hideMark/>
          </w:tcPr>
          <w:p w14:paraId="6BBE747C" w14:textId="77777777" w:rsidR="00DD49DE" w:rsidRPr="004D57EB" w:rsidRDefault="00DD49DE" w:rsidP="00DC0336">
            <w:pPr>
              <w:rPr>
                <w:rFonts w:ascii="Open Sans" w:hAnsi="Open Sans" w:cs="Open Sans"/>
                <w:sz w:val="18"/>
                <w:szCs w:val="20"/>
              </w:rPr>
            </w:pPr>
          </w:p>
        </w:tc>
      </w:tr>
      <w:tr w:rsidR="00DD49DE" w:rsidRPr="004D57EB" w14:paraId="7C751BA4" w14:textId="77777777" w:rsidTr="004D57EB">
        <w:trPr>
          <w:trHeight w:val="300"/>
        </w:trPr>
        <w:tc>
          <w:tcPr>
            <w:tcW w:w="860" w:type="pct"/>
            <w:noWrap/>
            <w:vAlign w:val="bottom"/>
            <w:hideMark/>
          </w:tcPr>
          <w:p w14:paraId="622328B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Cash Flow</w:t>
            </w:r>
          </w:p>
        </w:tc>
        <w:tc>
          <w:tcPr>
            <w:tcW w:w="356" w:type="pct"/>
            <w:noWrap/>
            <w:vAlign w:val="bottom"/>
            <w:hideMark/>
          </w:tcPr>
          <w:p w14:paraId="79DE5650"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61A226BC" w14:textId="77777777" w:rsidR="00DD49DE" w:rsidRPr="004D57EB" w:rsidRDefault="00DD49DE" w:rsidP="00DC0336">
            <w:pPr>
              <w:rPr>
                <w:rFonts w:ascii="Open Sans" w:hAnsi="Open Sans" w:cs="Open Sans"/>
                <w:sz w:val="18"/>
                <w:szCs w:val="20"/>
              </w:rPr>
            </w:pPr>
          </w:p>
        </w:tc>
        <w:tc>
          <w:tcPr>
            <w:tcW w:w="356" w:type="pct"/>
            <w:noWrap/>
            <w:vAlign w:val="bottom"/>
            <w:hideMark/>
          </w:tcPr>
          <w:p w14:paraId="24B4D4E3" w14:textId="77777777" w:rsidR="00DD49DE" w:rsidRPr="004D57EB" w:rsidRDefault="00DD49DE" w:rsidP="00DC0336">
            <w:pPr>
              <w:rPr>
                <w:rFonts w:ascii="Open Sans" w:hAnsi="Open Sans" w:cs="Open Sans"/>
                <w:sz w:val="18"/>
                <w:szCs w:val="20"/>
              </w:rPr>
            </w:pPr>
          </w:p>
        </w:tc>
        <w:tc>
          <w:tcPr>
            <w:tcW w:w="356" w:type="pct"/>
            <w:noWrap/>
            <w:vAlign w:val="bottom"/>
            <w:hideMark/>
          </w:tcPr>
          <w:p w14:paraId="4857D318" w14:textId="77777777" w:rsidR="00DD49DE" w:rsidRPr="004D57EB" w:rsidRDefault="00DD49DE" w:rsidP="00DC0336">
            <w:pPr>
              <w:rPr>
                <w:rFonts w:ascii="Open Sans" w:hAnsi="Open Sans" w:cs="Open Sans"/>
                <w:sz w:val="18"/>
                <w:szCs w:val="20"/>
              </w:rPr>
            </w:pPr>
          </w:p>
        </w:tc>
        <w:tc>
          <w:tcPr>
            <w:tcW w:w="356" w:type="pct"/>
            <w:noWrap/>
            <w:vAlign w:val="bottom"/>
            <w:hideMark/>
          </w:tcPr>
          <w:p w14:paraId="6C4A1642" w14:textId="77777777" w:rsidR="00DD49DE" w:rsidRPr="004D57EB" w:rsidRDefault="00DD49DE" w:rsidP="00DC0336">
            <w:pPr>
              <w:rPr>
                <w:rFonts w:ascii="Open Sans" w:hAnsi="Open Sans" w:cs="Open Sans"/>
                <w:sz w:val="18"/>
                <w:szCs w:val="20"/>
              </w:rPr>
            </w:pPr>
          </w:p>
        </w:tc>
        <w:tc>
          <w:tcPr>
            <w:tcW w:w="356" w:type="pct"/>
            <w:noWrap/>
            <w:vAlign w:val="bottom"/>
            <w:hideMark/>
          </w:tcPr>
          <w:p w14:paraId="7144DA4F" w14:textId="77777777" w:rsidR="00DD49DE" w:rsidRPr="004D57EB" w:rsidRDefault="00DD49DE" w:rsidP="00DC0336">
            <w:pPr>
              <w:rPr>
                <w:rFonts w:ascii="Open Sans" w:hAnsi="Open Sans" w:cs="Open Sans"/>
                <w:sz w:val="18"/>
                <w:szCs w:val="20"/>
              </w:rPr>
            </w:pPr>
          </w:p>
        </w:tc>
        <w:tc>
          <w:tcPr>
            <w:tcW w:w="356" w:type="pct"/>
            <w:noWrap/>
            <w:vAlign w:val="bottom"/>
            <w:hideMark/>
          </w:tcPr>
          <w:p w14:paraId="7977FE1C" w14:textId="77777777" w:rsidR="00DD49DE" w:rsidRPr="004D57EB" w:rsidRDefault="00DD49DE" w:rsidP="00DC0336">
            <w:pPr>
              <w:rPr>
                <w:rFonts w:ascii="Open Sans" w:hAnsi="Open Sans" w:cs="Open Sans"/>
                <w:sz w:val="18"/>
                <w:szCs w:val="20"/>
              </w:rPr>
            </w:pPr>
          </w:p>
        </w:tc>
        <w:tc>
          <w:tcPr>
            <w:tcW w:w="412" w:type="pct"/>
            <w:noWrap/>
            <w:vAlign w:val="bottom"/>
            <w:hideMark/>
          </w:tcPr>
          <w:p w14:paraId="0B5C6A4B" w14:textId="77777777" w:rsidR="00DD49DE" w:rsidRPr="004D57EB" w:rsidRDefault="00DD49DE" w:rsidP="00DC0336">
            <w:pPr>
              <w:rPr>
                <w:rFonts w:ascii="Open Sans" w:hAnsi="Open Sans" w:cs="Open Sans"/>
                <w:sz w:val="18"/>
                <w:szCs w:val="20"/>
              </w:rPr>
            </w:pPr>
          </w:p>
        </w:tc>
        <w:tc>
          <w:tcPr>
            <w:tcW w:w="412" w:type="pct"/>
            <w:noWrap/>
            <w:vAlign w:val="bottom"/>
            <w:hideMark/>
          </w:tcPr>
          <w:p w14:paraId="736664EF" w14:textId="77777777" w:rsidR="00DD49DE" w:rsidRPr="004D57EB" w:rsidRDefault="00DD49DE" w:rsidP="00DC0336">
            <w:pPr>
              <w:rPr>
                <w:rFonts w:ascii="Open Sans" w:hAnsi="Open Sans" w:cs="Open Sans"/>
                <w:sz w:val="18"/>
                <w:szCs w:val="20"/>
              </w:rPr>
            </w:pPr>
          </w:p>
        </w:tc>
        <w:tc>
          <w:tcPr>
            <w:tcW w:w="412" w:type="pct"/>
            <w:noWrap/>
            <w:vAlign w:val="bottom"/>
            <w:hideMark/>
          </w:tcPr>
          <w:p w14:paraId="3A3B0CAD" w14:textId="77777777" w:rsidR="00DD49DE" w:rsidRPr="004D57EB" w:rsidRDefault="00DD49DE" w:rsidP="00DC0336">
            <w:pPr>
              <w:rPr>
                <w:rFonts w:ascii="Open Sans" w:hAnsi="Open Sans" w:cs="Open Sans"/>
                <w:sz w:val="18"/>
                <w:szCs w:val="20"/>
              </w:rPr>
            </w:pPr>
          </w:p>
        </w:tc>
        <w:tc>
          <w:tcPr>
            <w:tcW w:w="412" w:type="pct"/>
            <w:noWrap/>
            <w:vAlign w:val="bottom"/>
            <w:hideMark/>
          </w:tcPr>
          <w:p w14:paraId="06621966" w14:textId="77777777" w:rsidR="00DD49DE" w:rsidRPr="004D57EB" w:rsidRDefault="00DD49DE" w:rsidP="00DC0336">
            <w:pPr>
              <w:rPr>
                <w:rFonts w:ascii="Open Sans" w:hAnsi="Open Sans" w:cs="Open Sans"/>
                <w:sz w:val="18"/>
                <w:szCs w:val="20"/>
              </w:rPr>
            </w:pPr>
          </w:p>
        </w:tc>
      </w:tr>
      <w:tr w:rsidR="00DD49DE" w:rsidRPr="004D57EB" w14:paraId="4DA5A712" w14:textId="77777777" w:rsidTr="004D57EB">
        <w:trPr>
          <w:trHeight w:val="300"/>
        </w:trPr>
        <w:tc>
          <w:tcPr>
            <w:tcW w:w="860" w:type="pct"/>
            <w:noWrap/>
            <w:vAlign w:val="bottom"/>
            <w:hideMark/>
          </w:tcPr>
          <w:p w14:paraId="33B26E9F"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Capital Expenditures %</w:t>
            </w:r>
          </w:p>
        </w:tc>
        <w:tc>
          <w:tcPr>
            <w:tcW w:w="356" w:type="pct"/>
            <w:noWrap/>
            <w:vAlign w:val="bottom"/>
            <w:hideMark/>
          </w:tcPr>
          <w:p w14:paraId="5F4A8FF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4A81FE8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780D536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3246A87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5BBA6AE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19A3C8D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3B5C4D9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5F19C59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7ABE17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69AAE82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5C97FBD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r>
      <w:tr w:rsidR="00DD49DE" w:rsidRPr="004D57EB" w14:paraId="7B11A19A" w14:textId="77777777" w:rsidTr="004D57EB">
        <w:trPr>
          <w:trHeight w:val="300"/>
        </w:trPr>
        <w:tc>
          <w:tcPr>
            <w:tcW w:w="860" w:type="pct"/>
            <w:noWrap/>
            <w:vAlign w:val="bottom"/>
            <w:hideMark/>
          </w:tcPr>
          <w:p w14:paraId="6707455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Capital Expenditures</w:t>
            </w:r>
          </w:p>
        </w:tc>
        <w:tc>
          <w:tcPr>
            <w:tcW w:w="356" w:type="pct"/>
            <w:noWrap/>
            <w:vAlign w:val="bottom"/>
            <w:hideMark/>
          </w:tcPr>
          <w:p w14:paraId="1CFAFDDC"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63E994B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5,750 </w:t>
            </w:r>
          </w:p>
        </w:tc>
        <w:tc>
          <w:tcPr>
            <w:tcW w:w="356" w:type="pct"/>
            <w:noWrap/>
            <w:vAlign w:val="bottom"/>
            <w:hideMark/>
          </w:tcPr>
          <w:p w14:paraId="12FA5E3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6,613 </w:t>
            </w:r>
          </w:p>
        </w:tc>
        <w:tc>
          <w:tcPr>
            <w:tcW w:w="356" w:type="pct"/>
            <w:noWrap/>
            <w:vAlign w:val="bottom"/>
            <w:hideMark/>
          </w:tcPr>
          <w:p w14:paraId="29FD068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7,439 </w:t>
            </w:r>
          </w:p>
        </w:tc>
        <w:tc>
          <w:tcPr>
            <w:tcW w:w="356" w:type="pct"/>
            <w:noWrap/>
            <w:vAlign w:val="bottom"/>
            <w:hideMark/>
          </w:tcPr>
          <w:p w14:paraId="6AF0126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8,183 </w:t>
            </w:r>
          </w:p>
        </w:tc>
        <w:tc>
          <w:tcPr>
            <w:tcW w:w="356" w:type="pct"/>
            <w:noWrap/>
            <w:vAlign w:val="bottom"/>
            <w:hideMark/>
          </w:tcPr>
          <w:p w14:paraId="16FEDD7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9,001 </w:t>
            </w:r>
          </w:p>
        </w:tc>
        <w:tc>
          <w:tcPr>
            <w:tcW w:w="356" w:type="pct"/>
            <w:noWrap/>
            <w:vAlign w:val="bottom"/>
            <w:hideMark/>
          </w:tcPr>
          <w:p w14:paraId="4A824B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9,676 </w:t>
            </w:r>
          </w:p>
        </w:tc>
        <w:tc>
          <w:tcPr>
            <w:tcW w:w="412" w:type="pct"/>
            <w:noWrap/>
            <w:vAlign w:val="bottom"/>
            <w:hideMark/>
          </w:tcPr>
          <w:p w14:paraId="038946B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10,402 </w:t>
            </w:r>
          </w:p>
        </w:tc>
        <w:tc>
          <w:tcPr>
            <w:tcW w:w="412" w:type="pct"/>
            <w:noWrap/>
            <w:vAlign w:val="bottom"/>
            <w:hideMark/>
          </w:tcPr>
          <w:p w14:paraId="4469F15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11,182 </w:t>
            </w:r>
          </w:p>
        </w:tc>
        <w:tc>
          <w:tcPr>
            <w:tcW w:w="412" w:type="pct"/>
            <w:noWrap/>
            <w:vAlign w:val="bottom"/>
            <w:hideMark/>
          </w:tcPr>
          <w:p w14:paraId="2F5D0FF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12,021 </w:t>
            </w:r>
          </w:p>
        </w:tc>
        <w:tc>
          <w:tcPr>
            <w:tcW w:w="412" w:type="pct"/>
            <w:noWrap/>
            <w:vAlign w:val="bottom"/>
            <w:hideMark/>
          </w:tcPr>
          <w:p w14:paraId="203A63C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 </w:t>
            </w:r>
          </w:p>
        </w:tc>
      </w:tr>
      <w:tr w:rsidR="00DD49DE" w:rsidRPr="004D57EB" w14:paraId="77148384" w14:textId="77777777" w:rsidTr="004D57EB">
        <w:trPr>
          <w:trHeight w:val="300"/>
        </w:trPr>
        <w:tc>
          <w:tcPr>
            <w:tcW w:w="860" w:type="pct"/>
            <w:noWrap/>
            <w:vAlign w:val="bottom"/>
            <w:hideMark/>
          </w:tcPr>
          <w:p w14:paraId="6E717D84"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w:t>
            </w:r>
          </w:p>
        </w:tc>
        <w:tc>
          <w:tcPr>
            <w:tcW w:w="356" w:type="pct"/>
            <w:noWrap/>
            <w:vAlign w:val="bottom"/>
            <w:hideMark/>
          </w:tcPr>
          <w:p w14:paraId="12E9127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1275124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304BF5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6D28682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422FEB4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436186E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0F81987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79C32F2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4FF4B2C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797C2ED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2C1D320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r>
      <w:tr w:rsidR="00DD49DE" w:rsidRPr="004D57EB" w14:paraId="47854453" w14:textId="77777777" w:rsidTr="004D57EB">
        <w:trPr>
          <w:trHeight w:val="300"/>
        </w:trPr>
        <w:tc>
          <w:tcPr>
            <w:tcW w:w="860" w:type="pct"/>
            <w:noWrap/>
            <w:vAlign w:val="bottom"/>
            <w:hideMark/>
          </w:tcPr>
          <w:p w14:paraId="69064467"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Balance</w:t>
            </w:r>
          </w:p>
        </w:tc>
        <w:tc>
          <w:tcPr>
            <w:tcW w:w="356" w:type="pct"/>
            <w:noWrap/>
            <w:vAlign w:val="bottom"/>
            <w:hideMark/>
          </w:tcPr>
          <w:p w14:paraId="307B218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58,000 </w:t>
            </w:r>
          </w:p>
        </w:tc>
        <w:tc>
          <w:tcPr>
            <w:tcW w:w="356" w:type="pct"/>
            <w:noWrap/>
            <w:vAlign w:val="bottom"/>
            <w:hideMark/>
          </w:tcPr>
          <w:p w14:paraId="7EC1E00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86,250 </w:t>
            </w:r>
          </w:p>
        </w:tc>
        <w:tc>
          <w:tcPr>
            <w:tcW w:w="356" w:type="pct"/>
            <w:noWrap/>
            <w:vAlign w:val="bottom"/>
            <w:hideMark/>
          </w:tcPr>
          <w:p w14:paraId="6EBD52C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99,188 </w:t>
            </w:r>
          </w:p>
        </w:tc>
        <w:tc>
          <w:tcPr>
            <w:tcW w:w="356" w:type="pct"/>
            <w:noWrap/>
            <w:vAlign w:val="bottom"/>
            <w:hideMark/>
          </w:tcPr>
          <w:p w14:paraId="701D601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111,586 </w:t>
            </w:r>
          </w:p>
        </w:tc>
        <w:tc>
          <w:tcPr>
            <w:tcW w:w="356" w:type="pct"/>
            <w:noWrap/>
            <w:vAlign w:val="bottom"/>
            <w:hideMark/>
          </w:tcPr>
          <w:p w14:paraId="31FCAE1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122,745 </w:t>
            </w:r>
          </w:p>
        </w:tc>
        <w:tc>
          <w:tcPr>
            <w:tcW w:w="356" w:type="pct"/>
            <w:noWrap/>
            <w:vAlign w:val="bottom"/>
            <w:hideMark/>
          </w:tcPr>
          <w:p w14:paraId="45B0ABA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135,019 </w:t>
            </w:r>
          </w:p>
        </w:tc>
        <w:tc>
          <w:tcPr>
            <w:tcW w:w="356" w:type="pct"/>
            <w:noWrap/>
            <w:vAlign w:val="bottom"/>
            <w:hideMark/>
          </w:tcPr>
          <w:p w14:paraId="25B6486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145,145 </w:t>
            </w:r>
          </w:p>
        </w:tc>
        <w:tc>
          <w:tcPr>
            <w:tcW w:w="412" w:type="pct"/>
            <w:noWrap/>
            <w:vAlign w:val="bottom"/>
            <w:hideMark/>
          </w:tcPr>
          <w:p w14:paraId="5D04D21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156,031 </w:t>
            </w:r>
          </w:p>
        </w:tc>
        <w:tc>
          <w:tcPr>
            <w:tcW w:w="412" w:type="pct"/>
            <w:noWrap/>
            <w:vAlign w:val="bottom"/>
            <w:hideMark/>
          </w:tcPr>
          <w:p w14:paraId="1CFB9B9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167,734 </w:t>
            </w:r>
          </w:p>
        </w:tc>
        <w:tc>
          <w:tcPr>
            <w:tcW w:w="412" w:type="pct"/>
            <w:noWrap/>
            <w:vAlign w:val="bottom"/>
            <w:hideMark/>
          </w:tcPr>
          <w:p w14:paraId="7B8B9E6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180,314 </w:t>
            </w:r>
          </w:p>
        </w:tc>
        <w:tc>
          <w:tcPr>
            <w:tcW w:w="412" w:type="pct"/>
            <w:noWrap/>
            <w:vAlign w:val="bottom"/>
            <w:hideMark/>
          </w:tcPr>
          <w:p w14:paraId="3649C7D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193,837 </w:t>
            </w:r>
          </w:p>
        </w:tc>
      </w:tr>
      <w:tr w:rsidR="00DD49DE" w:rsidRPr="004D57EB" w14:paraId="68C3E777" w14:textId="77777777" w:rsidTr="004D57EB">
        <w:trPr>
          <w:trHeight w:val="300"/>
        </w:trPr>
        <w:tc>
          <w:tcPr>
            <w:tcW w:w="860" w:type="pct"/>
            <w:tcBorders>
              <w:bottom w:val="single" w:sz="36" w:space="0" w:color="auto"/>
            </w:tcBorders>
            <w:noWrap/>
            <w:vAlign w:val="bottom"/>
            <w:hideMark/>
          </w:tcPr>
          <w:p w14:paraId="5E9AF23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Addition Required</w:t>
            </w:r>
          </w:p>
        </w:tc>
        <w:tc>
          <w:tcPr>
            <w:tcW w:w="356" w:type="pct"/>
            <w:tcBorders>
              <w:bottom w:val="single" w:sz="36" w:space="0" w:color="auto"/>
            </w:tcBorders>
            <w:noWrap/>
            <w:vAlign w:val="bottom"/>
            <w:hideMark/>
          </w:tcPr>
          <w:p w14:paraId="794B7F3F" w14:textId="77777777" w:rsidR="00DD49DE" w:rsidRPr="004D57EB" w:rsidRDefault="00DD49DE" w:rsidP="00DC0336">
            <w:pPr>
              <w:rPr>
                <w:rFonts w:ascii="Open Sans" w:eastAsia="Times New Roman" w:hAnsi="Open Sans" w:cs="Open Sans"/>
                <w:color w:val="000000"/>
                <w:sz w:val="18"/>
                <w:szCs w:val="20"/>
              </w:rPr>
            </w:pPr>
          </w:p>
        </w:tc>
        <w:tc>
          <w:tcPr>
            <w:tcW w:w="356" w:type="pct"/>
            <w:tcBorders>
              <w:bottom w:val="single" w:sz="36" w:space="0" w:color="auto"/>
            </w:tcBorders>
            <w:noWrap/>
            <w:vAlign w:val="bottom"/>
            <w:hideMark/>
          </w:tcPr>
          <w:p w14:paraId="605D8E7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28,250 </w:t>
            </w:r>
          </w:p>
        </w:tc>
        <w:tc>
          <w:tcPr>
            <w:tcW w:w="356" w:type="pct"/>
            <w:tcBorders>
              <w:bottom w:val="single" w:sz="36" w:space="0" w:color="auto"/>
            </w:tcBorders>
            <w:noWrap/>
            <w:vAlign w:val="bottom"/>
            <w:hideMark/>
          </w:tcPr>
          <w:p w14:paraId="002F71B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12,938 </w:t>
            </w:r>
          </w:p>
        </w:tc>
        <w:tc>
          <w:tcPr>
            <w:tcW w:w="356" w:type="pct"/>
            <w:noWrap/>
            <w:vAlign w:val="bottom"/>
            <w:hideMark/>
          </w:tcPr>
          <w:p w14:paraId="372AC8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12,398 </w:t>
            </w:r>
          </w:p>
        </w:tc>
        <w:tc>
          <w:tcPr>
            <w:tcW w:w="356" w:type="pct"/>
            <w:noWrap/>
            <w:vAlign w:val="bottom"/>
            <w:hideMark/>
          </w:tcPr>
          <w:p w14:paraId="7F4C98D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11,159 </w:t>
            </w:r>
          </w:p>
        </w:tc>
        <w:tc>
          <w:tcPr>
            <w:tcW w:w="356" w:type="pct"/>
            <w:noWrap/>
            <w:vAlign w:val="bottom"/>
            <w:hideMark/>
          </w:tcPr>
          <w:p w14:paraId="38906C3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12,274 </w:t>
            </w:r>
          </w:p>
        </w:tc>
        <w:tc>
          <w:tcPr>
            <w:tcW w:w="356" w:type="pct"/>
            <w:noWrap/>
            <w:vAlign w:val="bottom"/>
            <w:hideMark/>
          </w:tcPr>
          <w:p w14:paraId="17933F7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10,126 </w:t>
            </w:r>
          </w:p>
        </w:tc>
        <w:tc>
          <w:tcPr>
            <w:tcW w:w="412" w:type="pct"/>
            <w:noWrap/>
            <w:vAlign w:val="bottom"/>
            <w:hideMark/>
          </w:tcPr>
          <w:p w14:paraId="06F74DE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10,886 </w:t>
            </w:r>
          </w:p>
        </w:tc>
        <w:tc>
          <w:tcPr>
            <w:tcW w:w="412" w:type="pct"/>
            <w:noWrap/>
            <w:vAlign w:val="bottom"/>
            <w:hideMark/>
          </w:tcPr>
          <w:p w14:paraId="5874E9F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11,702 </w:t>
            </w:r>
          </w:p>
        </w:tc>
        <w:tc>
          <w:tcPr>
            <w:tcW w:w="412" w:type="pct"/>
            <w:noWrap/>
            <w:vAlign w:val="bottom"/>
            <w:hideMark/>
          </w:tcPr>
          <w:p w14:paraId="184182E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12,580 </w:t>
            </w:r>
          </w:p>
        </w:tc>
        <w:tc>
          <w:tcPr>
            <w:tcW w:w="412" w:type="pct"/>
            <w:noWrap/>
            <w:vAlign w:val="bottom"/>
            <w:hideMark/>
          </w:tcPr>
          <w:p w14:paraId="2447924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13,524 </w:t>
            </w:r>
          </w:p>
        </w:tc>
      </w:tr>
      <w:tr w:rsidR="00DD49DE" w:rsidRPr="004D57EB" w14:paraId="5A2541CD" w14:textId="77777777" w:rsidTr="004D57EB">
        <w:trPr>
          <w:trHeight w:val="300"/>
        </w:trPr>
        <w:tc>
          <w:tcPr>
            <w:tcW w:w="860" w:type="pct"/>
            <w:tcBorders>
              <w:top w:val="single" w:sz="36" w:space="0" w:color="auto"/>
              <w:left w:val="single" w:sz="36" w:space="0" w:color="auto"/>
            </w:tcBorders>
            <w:noWrap/>
            <w:vAlign w:val="bottom"/>
            <w:hideMark/>
          </w:tcPr>
          <w:p w14:paraId="31A41EC5"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Effective Tax Rate</w:t>
            </w:r>
          </w:p>
        </w:tc>
        <w:tc>
          <w:tcPr>
            <w:tcW w:w="356" w:type="pct"/>
            <w:tcBorders>
              <w:top w:val="single" w:sz="36" w:space="0" w:color="auto"/>
            </w:tcBorders>
            <w:noWrap/>
            <w:vAlign w:val="bottom"/>
            <w:hideMark/>
          </w:tcPr>
          <w:p w14:paraId="003D26C4" w14:textId="186D5CEE" w:rsidR="00DD49DE" w:rsidRPr="004D57EB" w:rsidRDefault="00DD49DE" w:rsidP="00DC0336">
            <w:pPr>
              <w:jc w:val="right"/>
              <w:rPr>
                <w:rFonts w:ascii="Open Sans" w:eastAsia="Times New Roman" w:hAnsi="Open Sans" w:cs="Open Sans"/>
                <w:color w:val="000000"/>
                <w:sz w:val="18"/>
                <w:szCs w:val="20"/>
              </w:rPr>
            </w:pPr>
          </w:p>
        </w:tc>
        <w:tc>
          <w:tcPr>
            <w:tcW w:w="356" w:type="pct"/>
            <w:tcBorders>
              <w:top w:val="single" w:sz="36" w:space="0" w:color="auto"/>
            </w:tcBorders>
            <w:noWrap/>
            <w:vAlign w:val="bottom"/>
            <w:hideMark/>
          </w:tcPr>
          <w:p w14:paraId="4504CD59" w14:textId="77777777" w:rsidR="00DD49DE" w:rsidRPr="004D57EB" w:rsidRDefault="00DD49DE" w:rsidP="00DC0336">
            <w:pPr>
              <w:rPr>
                <w:rFonts w:ascii="Open Sans" w:eastAsia="Times New Roman" w:hAnsi="Open Sans" w:cs="Open Sans"/>
                <w:color w:val="000000"/>
                <w:sz w:val="18"/>
                <w:szCs w:val="20"/>
              </w:rPr>
            </w:pPr>
          </w:p>
        </w:tc>
        <w:tc>
          <w:tcPr>
            <w:tcW w:w="356" w:type="pct"/>
            <w:tcBorders>
              <w:top w:val="single" w:sz="36" w:space="0" w:color="auto"/>
              <w:right w:val="single" w:sz="36" w:space="0" w:color="auto"/>
            </w:tcBorders>
            <w:noWrap/>
            <w:vAlign w:val="bottom"/>
            <w:hideMark/>
          </w:tcPr>
          <w:p w14:paraId="6446A640" w14:textId="3692CB70" w:rsidR="00DD49DE"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40%</w:t>
            </w:r>
          </w:p>
        </w:tc>
        <w:tc>
          <w:tcPr>
            <w:tcW w:w="356" w:type="pct"/>
            <w:tcBorders>
              <w:left w:val="single" w:sz="36" w:space="0" w:color="auto"/>
            </w:tcBorders>
            <w:noWrap/>
            <w:vAlign w:val="bottom"/>
            <w:hideMark/>
          </w:tcPr>
          <w:p w14:paraId="0564C217" w14:textId="77777777" w:rsidR="00DD49DE" w:rsidRPr="004D57EB" w:rsidRDefault="00DD49DE" w:rsidP="00DC0336">
            <w:pPr>
              <w:rPr>
                <w:rFonts w:ascii="Open Sans" w:hAnsi="Open Sans" w:cs="Open Sans"/>
                <w:sz w:val="18"/>
                <w:szCs w:val="20"/>
              </w:rPr>
            </w:pPr>
          </w:p>
        </w:tc>
        <w:tc>
          <w:tcPr>
            <w:tcW w:w="356" w:type="pct"/>
            <w:noWrap/>
            <w:vAlign w:val="bottom"/>
            <w:hideMark/>
          </w:tcPr>
          <w:p w14:paraId="0576A1DC" w14:textId="77777777" w:rsidR="00DD49DE" w:rsidRPr="004D57EB" w:rsidRDefault="00DD49DE" w:rsidP="00DC0336">
            <w:pPr>
              <w:rPr>
                <w:rFonts w:ascii="Open Sans" w:hAnsi="Open Sans" w:cs="Open Sans"/>
                <w:sz w:val="18"/>
                <w:szCs w:val="20"/>
              </w:rPr>
            </w:pPr>
          </w:p>
        </w:tc>
        <w:tc>
          <w:tcPr>
            <w:tcW w:w="356" w:type="pct"/>
            <w:noWrap/>
            <w:vAlign w:val="bottom"/>
            <w:hideMark/>
          </w:tcPr>
          <w:p w14:paraId="332C1C8F" w14:textId="77777777" w:rsidR="00DD49DE" w:rsidRPr="004D57EB" w:rsidRDefault="00DD49DE" w:rsidP="00DC0336">
            <w:pPr>
              <w:rPr>
                <w:rFonts w:ascii="Open Sans" w:hAnsi="Open Sans" w:cs="Open Sans"/>
                <w:sz w:val="18"/>
                <w:szCs w:val="20"/>
              </w:rPr>
            </w:pPr>
          </w:p>
        </w:tc>
        <w:tc>
          <w:tcPr>
            <w:tcW w:w="356" w:type="pct"/>
            <w:noWrap/>
            <w:vAlign w:val="bottom"/>
            <w:hideMark/>
          </w:tcPr>
          <w:p w14:paraId="3E507729" w14:textId="77777777" w:rsidR="00DD49DE" w:rsidRPr="004D57EB" w:rsidRDefault="00DD49DE" w:rsidP="00DC0336">
            <w:pPr>
              <w:rPr>
                <w:rFonts w:ascii="Open Sans" w:hAnsi="Open Sans" w:cs="Open Sans"/>
                <w:sz w:val="18"/>
                <w:szCs w:val="20"/>
              </w:rPr>
            </w:pPr>
          </w:p>
        </w:tc>
        <w:tc>
          <w:tcPr>
            <w:tcW w:w="412" w:type="pct"/>
            <w:noWrap/>
            <w:vAlign w:val="bottom"/>
            <w:hideMark/>
          </w:tcPr>
          <w:p w14:paraId="2FF8383C" w14:textId="77777777" w:rsidR="00DD49DE" w:rsidRPr="004D57EB" w:rsidRDefault="00DD49DE" w:rsidP="00DC0336">
            <w:pPr>
              <w:rPr>
                <w:rFonts w:ascii="Open Sans" w:hAnsi="Open Sans" w:cs="Open Sans"/>
                <w:sz w:val="18"/>
                <w:szCs w:val="20"/>
              </w:rPr>
            </w:pPr>
          </w:p>
        </w:tc>
        <w:tc>
          <w:tcPr>
            <w:tcW w:w="412" w:type="pct"/>
            <w:noWrap/>
            <w:vAlign w:val="bottom"/>
            <w:hideMark/>
          </w:tcPr>
          <w:p w14:paraId="6092358E" w14:textId="77777777" w:rsidR="00DD49DE" w:rsidRPr="004D57EB" w:rsidRDefault="00DD49DE" w:rsidP="00DC0336">
            <w:pPr>
              <w:rPr>
                <w:rFonts w:ascii="Open Sans" w:hAnsi="Open Sans" w:cs="Open Sans"/>
                <w:sz w:val="18"/>
                <w:szCs w:val="20"/>
              </w:rPr>
            </w:pPr>
          </w:p>
        </w:tc>
        <w:tc>
          <w:tcPr>
            <w:tcW w:w="412" w:type="pct"/>
            <w:noWrap/>
            <w:vAlign w:val="bottom"/>
            <w:hideMark/>
          </w:tcPr>
          <w:p w14:paraId="641D67AB" w14:textId="77777777" w:rsidR="00DD49DE" w:rsidRPr="004D57EB" w:rsidRDefault="00DD49DE" w:rsidP="00DC0336">
            <w:pPr>
              <w:rPr>
                <w:rFonts w:ascii="Open Sans" w:hAnsi="Open Sans" w:cs="Open Sans"/>
                <w:sz w:val="18"/>
                <w:szCs w:val="20"/>
              </w:rPr>
            </w:pPr>
          </w:p>
        </w:tc>
        <w:tc>
          <w:tcPr>
            <w:tcW w:w="412" w:type="pct"/>
            <w:noWrap/>
            <w:vAlign w:val="bottom"/>
            <w:hideMark/>
          </w:tcPr>
          <w:p w14:paraId="571EF837" w14:textId="77777777" w:rsidR="00DD49DE" w:rsidRPr="004D57EB" w:rsidRDefault="00DD49DE" w:rsidP="00DC0336">
            <w:pPr>
              <w:rPr>
                <w:rFonts w:ascii="Open Sans" w:hAnsi="Open Sans" w:cs="Open Sans"/>
                <w:sz w:val="18"/>
                <w:szCs w:val="20"/>
              </w:rPr>
            </w:pPr>
          </w:p>
        </w:tc>
      </w:tr>
      <w:tr w:rsidR="004D57EB" w:rsidRPr="004D57EB" w14:paraId="29E93FF3" w14:textId="77777777" w:rsidTr="004D57EB">
        <w:trPr>
          <w:trHeight w:val="300"/>
        </w:trPr>
        <w:tc>
          <w:tcPr>
            <w:tcW w:w="1572" w:type="pct"/>
            <w:gridSpan w:val="3"/>
            <w:tcBorders>
              <w:left w:val="single" w:sz="36" w:space="0" w:color="auto"/>
            </w:tcBorders>
            <w:noWrap/>
            <w:vAlign w:val="bottom"/>
            <w:hideMark/>
          </w:tcPr>
          <w:p w14:paraId="7FE46B5D" w14:textId="18C2EB11" w:rsidR="004D57EB" w:rsidRPr="004D57EB" w:rsidRDefault="004D57EB"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Required Rate of Return</w:t>
            </w:r>
          </w:p>
        </w:tc>
        <w:tc>
          <w:tcPr>
            <w:tcW w:w="356" w:type="pct"/>
            <w:tcBorders>
              <w:right w:val="single" w:sz="36" w:space="0" w:color="auto"/>
            </w:tcBorders>
            <w:noWrap/>
            <w:vAlign w:val="bottom"/>
            <w:hideMark/>
          </w:tcPr>
          <w:p w14:paraId="78F7BFB3" w14:textId="5926D205" w:rsidR="004D57EB"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15%</w:t>
            </w:r>
          </w:p>
        </w:tc>
        <w:tc>
          <w:tcPr>
            <w:tcW w:w="356" w:type="pct"/>
            <w:tcBorders>
              <w:left w:val="single" w:sz="36" w:space="0" w:color="auto"/>
            </w:tcBorders>
            <w:noWrap/>
            <w:vAlign w:val="bottom"/>
            <w:hideMark/>
          </w:tcPr>
          <w:p w14:paraId="53822C0A" w14:textId="77777777" w:rsidR="004D57EB" w:rsidRPr="004D57EB" w:rsidRDefault="004D57EB" w:rsidP="00DC0336">
            <w:pPr>
              <w:rPr>
                <w:rFonts w:ascii="Open Sans" w:hAnsi="Open Sans" w:cs="Open Sans"/>
                <w:sz w:val="18"/>
                <w:szCs w:val="20"/>
              </w:rPr>
            </w:pPr>
          </w:p>
        </w:tc>
        <w:tc>
          <w:tcPr>
            <w:tcW w:w="356" w:type="pct"/>
            <w:noWrap/>
            <w:vAlign w:val="bottom"/>
            <w:hideMark/>
          </w:tcPr>
          <w:p w14:paraId="43E058C5" w14:textId="77777777" w:rsidR="004D57EB" w:rsidRPr="004D57EB" w:rsidRDefault="004D57EB" w:rsidP="00DC0336">
            <w:pPr>
              <w:rPr>
                <w:rFonts w:ascii="Open Sans" w:hAnsi="Open Sans" w:cs="Open Sans"/>
                <w:sz w:val="18"/>
                <w:szCs w:val="20"/>
              </w:rPr>
            </w:pPr>
          </w:p>
        </w:tc>
        <w:tc>
          <w:tcPr>
            <w:tcW w:w="356" w:type="pct"/>
            <w:noWrap/>
            <w:vAlign w:val="bottom"/>
            <w:hideMark/>
          </w:tcPr>
          <w:p w14:paraId="10BA4EF1" w14:textId="77777777" w:rsidR="004D57EB" w:rsidRPr="004D57EB" w:rsidRDefault="004D57EB" w:rsidP="00DC0336">
            <w:pPr>
              <w:rPr>
                <w:rFonts w:ascii="Open Sans" w:hAnsi="Open Sans" w:cs="Open Sans"/>
                <w:sz w:val="18"/>
                <w:szCs w:val="20"/>
              </w:rPr>
            </w:pPr>
          </w:p>
        </w:tc>
        <w:tc>
          <w:tcPr>
            <w:tcW w:w="356" w:type="pct"/>
            <w:noWrap/>
            <w:vAlign w:val="bottom"/>
            <w:hideMark/>
          </w:tcPr>
          <w:p w14:paraId="56733111" w14:textId="77777777" w:rsidR="004D57EB" w:rsidRPr="004D57EB" w:rsidRDefault="004D57EB" w:rsidP="00DC0336">
            <w:pPr>
              <w:rPr>
                <w:rFonts w:ascii="Open Sans" w:hAnsi="Open Sans" w:cs="Open Sans"/>
                <w:sz w:val="18"/>
                <w:szCs w:val="20"/>
              </w:rPr>
            </w:pPr>
          </w:p>
        </w:tc>
        <w:tc>
          <w:tcPr>
            <w:tcW w:w="412" w:type="pct"/>
            <w:noWrap/>
            <w:vAlign w:val="bottom"/>
            <w:hideMark/>
          </w:tcPr>
          <w:p w14:paraId="1C2E37E3" w14:textId="77777777" w:rsidR="004D57EB" w:rsidRPr="004D57EB" w:rsidRDefault="004D57EB" w:rsidP="00DC0336">
            <w:pPr>
              <w:rPr>
                <w:rFonts w:ascii="Open Sans" w:hAnsi="Open Sans" w:cs="Open Sans"/>
                <w:sz w:val="18"/>
                <w:szCs w:val="20"/>
              </w:rPr>
            </w:pPr>
          </w:p>
        </w:tc>
        <w:tc>
          <w:tcPr>
            <w:tcW w:w="412" w:type="pct"/>
            <w:noWrap/>
            <w:vAlign w:val="bottom"/>
            <w:hideMark/>
          </w:tcPr>
          <w:p w14:paraId="3422C9B8" w14:textId="77777777" w:rsidR="004D57EB" w:rsidRPr="004D57EB" w:rsidRDefault="004D57EB" w:rsidP="00DC0336">
            <w:pPr>
              <w:rPr>
                <w:rFonts w:ascii="Open Sans" w:hAnsi="Open Sans" w:cs="Open Sans"/>
                <w:sz w:val="18"/>
                <w:szCs w:val="20"/>
              </w:rPr>
            </w:pPr>
          </w:p>
        </w:tc>
        <w:tc>
          <w:tcPr>
            <w:tcW w:w="412" w:type="pct"/>
            <w:noWrap/>
            <w:vAlign w:val="bottom"/>
            <w:hideMark/>
          </w:tcPr>
          <w:p w14:paraId="35A171E9" w14:textId="77777777" w:rsidR="004D57EB" w:rsidRPr="004D57EB" w:rsidRDefault="004D57EB" w:rsidP="00DC0336">
            <w:pPr>
              <w:rPr>
                <w:rFonts w:ascii="Open Sans" w:hAnsi="Open Sans" w:cs="Open Sans"/>
                <w:sz w:val="18"/>
                <w:szCs w:val="20"/>
              </w:rPr>
            </w:pPr>
          </w:p>
        </w:tc>
        <w:tc>
          <w:tcPr>
            <w:tcW w:w="412" w:type="pct"/>
            <w:noWrap/>
            <w:vAlign w:val="bottom"/>
            <w:hideMark/>
          </w:tcPr>
          <w:p w14:paraId="0D9BB7DD" w14:textId="77777777" w:rsidR="004D57EB" w:rsidRPr="004D57EB" w:rsidRDefault="004D57EB" w:rsidP="00DC0336">
            <w:pPr>
              <w:rPr>
                <w:rFonts w:ascii="Open Sans" w:hAnsi="Open Sans" w:cs="Open Sans"/>
                <w:sz w:val="18"/>
                <w:szCs w:val="20"/>
              </w:rPr>
            </w:pPr>
          </w:p>
        </w:tc>
      </w:tr>
      <w:tr w:rsidR="00DD49DE" w:rsidRPr="004D57EB" w14:paraId="61EC4A1F" w14:textId="77777777" w:rsidTr="004D57EB">
        <w:trPr>
          <w:trHeight w:val="300"/>
        </w:trPr>
        <w:tc>
          <w:tcPr>
            <w:tcW w:w="860" w:type="pct"/>
            <w:tcBorders>
              <w:left w:val="single" w:sz="36" w:space="0" w:color="auto"/>
              <w:bottom w:val="single" w:sz="36" w:space="0" w:color="auto"/>
            </w:tcBorders>
            <w:noWrap/>
            <w:vAlign w:val="bottom"/>
            <w:hideMark/>
          </w:tcPr>
          <w:p w14:paraId="74471CA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Terminal Growth Rate</w:t>
            </w:r>
          </w:p>
        </w:tc>
        <w:tc>
          <w:tcPr>
            <w:tcW w:w="356" w:type="pct"/>
            <w:tcBorders>
              <w:bottom w:val="single" w:sz="36" w:space="0" w:color="auto"/>
            </w:tcBorders>
            <w:noWrap/>
            <w:vAlign w:val="bottom"/>
            <w:hideMark/>
          </w:tcPr>
          <w:p w14:paraId="67220DAD" w14:textId="7E6D69BD" w:rsidR="00DD49DE" w:rsidRPr="004D57EB" w:rsidRDefault="00DD49DE" w:rsidP="00DC0336">
            <w:pPr>
              <w:jc w:val="right"/>
              <w:rPr>
                <w:rFonts w:ascii="Open Sans" w:eastAsia="Times New Roman" w:hAnsi="Open Sans" w:cs="Open Sans"/>
                <w:color w:val="000000"/>
                <w:sz w:val="18"/>
                <w:szCs w:val="20"/>
              </w:rPr>
            </w:pPr>
          </w:p>
        </w:tc>
        <w:tc>
          <w:tcPr>
            <w:tcW w:w="356" w:type="pct"/>
            <w:tcBorders>
              <w:bottom w:val="single" w:sz="36" w:space="0" w:color="auto"/>
            </w:tcBorders>
            <w:noWrap/>
            <w:vAlign w:val="bottom"/>
            <w:hideMark/>
          </w:tcPr>
          <w:p w14:paraId="207380E3" w14:textId="77777777" w:rsidR="00DD49DE" w:rsidRPr="004D57EB" w:rsidRDefault="00DD49DE" w:rsidP="00DC0336">
            <w:pPr>
              <w:rPr>
                <w:rFonts w:ascii="Open Sans" w:eastAsia="Times New Roman" w:hAnsi="Open Sans" w:cs="Open Sans"/>
                <w:color w:val="000000"/>
                <w:sz w:val="18"/>
                <w:szCs w:val="20"/>
              </w:rPr>
            </w:pPr>
          </w:p>
        </w:tc>
        <w:tc>
          <w:tcPr>
            <w:tcW w:w="356" w:type="pct"/>
            <w:tcBorders>
              <w:bottom w:val="single" w:sz="36" w:space="0" w:color="auto"/>
              <w:right w:val="single" w:sz="36" w:space="0" w:color="auto"/>
            </w:tcBorders>
            <w:noWrap/>
            <w:vAlign w:val="bottom"/>
            <w:hideMark/>
          </w:tcPr>
          <w:p w14:paraId="0A24528B" w14:textId="467E6B0D" w:rsidR="00DD49DE"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5%</w:t>
            </w:r>
          </w:p>
        </w:tc>
        <w:tc>
          <w:tcPr>
            <w:tcW w:w="356" w:type="pct"/>
            <w:tcBorders>
              <w:left w:val="single" w:sz="36" w:space="0" w:color="auto"/>
            </w:tcBorders>
            <w:noWrap/>
            <w:vAlign w:val="bottom"/>
            <w:hideMark/>
          </w:tcPr>
          <w:p w14:paraId="2E7F5C50" w14:textId="77777777" w:rsidR="00DD49DE" w:rsidRPr="004D57EB" w:rsidRDefault="00DD49DE" w:rsidP="00DC0336">
            <w:pPr>
              <w:rPr>
                <w:rFonts w:ascii="Open Sans" w:hAnsi="Open Sans" w:cs="Open Sans"/>
                <w:sz w:val="18"/>
                <w:szCs w:val="20"/>
              </w:rPr>
            </w:pPr>
          </w:p>
        </w:tc>
        <w:tc>
          <w:tcPr>
            <w:tcW w:w="356" w:type="pct"/>
            <w:noWrap/>
            <w:vAlign w:val="bottom"/>
            <w:hideMark/>
          </w:tcPr>
          <w:p w14:paraId="67053D48" w14:textId="77777777" w:rsidR="00DD49DE" w:rsidRPr="004D57EB" w:rsidRDefault="00DD49DE" w:rsidP="00DC0336">
            <w:pPr>
              <w:rPr>
                <w:rFonts w:ascii="Open Sans" w:hAnsi="Open Sans" w:cs="Open Sans"/>
                <w:sz w:val="18"/>
                <w:szCs w:val="20"/>
              </w:rPr>
            </w:pPr>
          </w:p>
        </w:tc>
        <w:tc>
          <w:tcPr>
            <w:tcW w:w="356" w:type="pct"/>
            <w:noWrap/>
            <w:vAlign w:val="bottom"/>
            <w:hideMark/>
          </w:tcPr>
          <w:p w14:paraId="4F0CD34A" w14:textId="77777777" w:rsidR="00DD49DE" w:rsidRPr="004D57EB" w:rsidRDefault="00DD49DE" w:rsidP="00DC0336">
            <w:pPr>
              <w:rPr>
                <w:rFonts w:ascii="Open Sans" w:hAnsi="Open Sans" w:cs="Open Sans"/>
                <w:sz w:val="18"/>
                <w:szCs w:val="20"/>
              </w:rPr>
            </w:pPr>
          </w:p>
        </w:tc>
        <w:tc>
          <w:tcPr>
            <w:tcW w:w="356" w:type="pct"/>
            <w:noWrap/>
            <w:vAlign w:val="bottom"/>
            <w:hideMark/>
          </w:tcPr>
          <w:p w14:paraId="3A129972" w14:textId="77777777" w:rsidR="00DD49DE" w:rsidRPr="004D57EB" w:rsidRDefault="00DD49DE" w:rsidP="00DC0336">
            <w:pPr>
              <w:rPr>
                <w:rFonts w:ascii="Open Sans" w:hAnsi="Open Sans" w:cs="Open Sans"/>
                <w:sz w:val="18"/>
                <w:szCs w:val="20"/>
              </w:rPr>
            </w:pPr>
          </w:p>
        </w:tc>
        <w:tc>
          <w:tcPr>
            <w:tcW w:w="412" w:type="pct"/>
            <w:noWrap/>
            <w:vAlign w:val="bottom"/>
            <w:hideMark/>
          </w:tcPr>
          <w:p w14:paraId="769582E7" w14:textId="77777777" w:rsidR="00DD49DE" w:rsidRPr="004D57EB" w:rsidRDefault="00DD49DE" w:rsidP="00DC0336">
            <w:pPr>
              <w:rPr>
                <w:rFonts w:ascii="Open Sans" w:hAnsi="Open Sans" w:cs="Open Sans"/>
                <w:sz w:val="18"/>
                <w:szCs w:val="20"/>
              </w:rPr>
            </w:pPr>
          </w:p>
        </w:tc>
        <w:tc>
          <w:tcPr>
            <w:tcW w:w="412" w:type="pct"/>
            <w:noWrap/>
            <w:vAlign w:val="bottom"/>
            <w:hideMark/>
          </w:tcPr>
          <w:p w14:paraId="60CBC59C" w14:textId="77777777" w:rsidR="00DD49DE" w:rsidRPr="004D57EB" w:rsidRDefault="00DD49DE" w:rsidP="00DC0336">
            <w:pPr>
              <w:rPr>
                <w:rFonts w:ascii="Open Sans" w:hAnsi="Open Sans" w:cs="Open Sans"/>
                <w:sz w:val="18"/>
                <w:szCs w:val="20"/>
              </w:rPr>
            </w:pPr>
          </w:p>
        </w:tc>
        <w:tc>
          <w:tcPr>
            <w:tcW w:w="412" w:type="pct"/>
            <w:noWrap/>
            <w:vAlign w:val="bottom"/>
            <w:hideMark/>
          </w:tcPr>
          <w:p w14:paraId="0468EEE2" w14:textId="77777777" w:rsidR="00DD49DE" w:rsidRPr="004D57EB" w:rsidRDefault="00DD49DE" w:rsidP="00DC0336">
            <w:pPr>
              <w:rPr>
                <w:rFonts w:ascii="Open Sans" w:hAnsi="Open Sans" w:cs="Open Sans"/>
                <w:sz w:val="18"/>
                <w:szCs w:val="20"/>
              </w:rPr>
            </w:pPr>
          </w:p>
        </w:tc>
        <w:tc>
          <w:tcPr>
            <w:tcW w:w="412" w:type="pct"/>
            <w:noWrap/>
            <w:vAlign w:val="bottom"/>
            <w:hideMark/>
          </w:tcPr>
          <w:p w14:paraId="48A0F538" w14:textId="77777777" w:rsidR="00DD49DE" w:rsidRPr="004D57EB" w:rsidRDefault="00DD49DE" w:rsidP="00DC0336">
            <w:pPr>
              <w:rPr>
                <w:rFonts w:ascii="Open Sans" w:hAnsi="Open Sans" w:cs="Open Sans"/>
                <w:sz w:val="18"/>
                <w:szCs w:val="20"/>
              </w:rPr>
            </w:pPr>
          </w:p>
        </w:tc>
      </w:tr>
    </w:tbl>
    <w:p w14:paraId="13F8E01E" w14:textId="68B0B8DF" w:rsidR="006D37A5" w:rsidRDefault="006D37A5">
      <w:pPr>
        <w:spacing w:line="240" w:lineRule="auto"/>
        <w:rPr>
          <w:rFonts w:ascii="Open Sans" w:hAnsi="Open Sans" w:cs="Open Sans"/>
          <w:smallCaps/>
          <w:color w:val="33006F"/>
        </w:rPr>
      </w:pPr>
      <w:r>
        <w:rPr>
          <w:rFonts w:ascii="Open Sans" w:hAnsi="Open Sans" w:cs="Open Sans"/>
          <w:smallCaps/>
          <w:color w:val="33006F"/>
        </w:rPr>
        <w:br w:type="page"/>
      </w:r>
    </w:p>
    <w:p w14:paraId="59E9F80A" w14:textId="7AC1E32D" w:rsidR="007E0371" w:rsidRPr="007E0371" w:rsidRDefault="007E0371" w:rsidP="007E0371">
      <w:pPr>
        <w:keepNext/>
        <w:keepLines/>
        <w:spacing w:before="200"/>
        <w:outlineLvl w:val="1"/>
        <w:rPr>
          <w:rFonts w:ascii="Open Sans" w:hAnsi="Open Sans" w:cs="Open Sans"/>
          <w:b/>
          <w:color w:val="33006F"/>
          <w:sz w:val="20"/>
          <w:szCs w:val="20"/>
        </w:rPr>
      </w:pPr>
      <w:r>
        <w:rPr>
          <w:rFonts w:ascii="Open Sans" w:hAnsi="Open Sans" w:cs="Open Sans"/>
          <w:b/>
          <w:color w:val="33006F"/>
          <w:sz w:val="20"/>
          <w:szCs w:val="20"/>
        </w:rPr>
        <w:lastRenderedPageBreak/>
        <w:t>Exhibit 2</w:t>
      </w:r>
    </w:p>
    <w:p w14:paraId="5EB144C9" w14:textId="1DBAAB47" w:rsidR="00595436" w:rsidRDefault="006D37A5">
      <w:pPr>
        <w:spacing w:line="240" w:lineRule="auto"/>
        <w:rPr>
          <w:rFonts w:ascii="Open Sans" w:hAnsi="Open Sans" w:cs="Open Sans"/>
          <w:smallCaps/>
          <w:color w:val="33006F"/>
        </w:rPr>
      </w:pPr>
      <w:r>
        <w:rPr>
          <w:noProof/>
        </w:rPr>
        <w:drawing>
          <wp:inline distT="0" distB="0" distL="0" distR="0" wp14:anchorId="26ED0752" wp14:editId="0DAFF25F">
            <wp:extent cx="8353425" cy="3822073"/>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096"/>
                    <a:stretch/>
                  </pic:blipFill>
                  <pic:spPr bwMode="auto">
                    <a:xfrm>
                      <a:off x="0" y="0"/>
                      <a:ext cx="8362390" cy="3826175"/>
                    </a:xfrm>
                    <a:prstGeom prst="rect">
                      <a:avLst/>
                    </a:prstGeom>
                    <a:ln>
                      <a:noFill/>
                    </a:ln>
                    <a:extLst>
                      <a:ext uri="{53640926-AAD7-44D8-BBD7-CCE9431645EC}">
                        <a14:shadowObscured xmlns:a14="http://schemas.microsoft.com/office/drawing/2010/main"/>
                      </a:ext>
                    </a:extLst>
                  </pic:spPr>
                </pic:pic>
              </a:graphicData>
            </a:graphic>
          </wp:inline>
        </w:drawing>
      </w:r>
    </w:p>
    <w:p w14:paraId="4A8DF48E" w14:textId="42EED632" w:rsidR="007E0371" w:rsidRPr="007E0371" w:rsidRDefault="007E0371" w:rsidP="007E0371">
      <w:pPr>
        <w:keepNext/>
        <w:keepLines/>
        <w:spacing w:before="200"/>
        <w:outlineLvl w:val="1"/>
        <w:rPr>
          <w:rFonts w:ascii="Open Sans" w:hAnsi="Open Sans" w:cs="Open Sans"/>
          <w:b/>
          <w:color w:val="33006F"/>
          <w:sz w:val="20"/>
          <w:szCs w:val="20"/>
        </w:rPr>
      </w:pPr>
      <w:r>
        <w:rPr>
          <w:rFonts w:ascii="Open Sans" w:hAnsi="Open Sans" w:cs="Open Sans"/>
          <w:b/>
          <w:color w:val="33006F"/>
          <w:sz w:val="20"/>
          <w:szCs w:val="20"/>
        </w:rPr>
        <w:t>Exhibit 2 Continued on the next page…</w:t>
      </w:r>
    </w:p>
    <w:p w14:paraId="1812F11C" w14:textId="77777777" w:rsidR="007E0371" w:rsidRDefault="007E0371">
      <w:pPr>
        <w:spacing w:line="240" w:lineRule="auto"/>
        <w:rPr>
          <w:rFonts w:ascii="Open Sans" w:hAnsi="Open Sans" w:cs="Open Sans"/>
          <w:smallCaps/>
          <w:color w:val="33006F"/>
        </w:rPr>
      </w:pPr>
    </w:p>
    <w:p w14:paraId="418BF471" w14:textId="77777777" w:rsidR="00083009" w:rsidRDefault="007E0371">
      <w:pPr>
        <w:spacing w:line="240" w:lineRule="auto"/>
        <w:rPr>
          <w:rFonts w:ascii="Open Sans" w:hAnsi="Open Sans" w:cs="Open Sans"/>
          <w:smallCaps/>
          <w:color w:val="33006F"/>
        </w:rPr>
      </w:pPr>
      <w:r>
        <w:rPr>
          <w:noProof/>
        </w:rPr>
        <w:lastRenderedPageBreak/>
        <w:drawing>
          <wp:inline distT="0" distB="0" distL="0" distR="0" wp14:anchorId="36544EA4" wp14:editId="0A5A5202">
            <wp:extent cx="8477250" cy="17710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91" r="987"/>
                    <a:stretch/>
                  </pic:blipFill>
                  <pic:spPr bwMode="auto">
                    <a:xfrm>
                      <a:off x="0" y="0"/>
                      <a:ext cx="8497995" cy="1775349"/>
                    </a:xfrm>
                    <a:prstGeom prst="rect">
                      <a:avLst/>
                    </a:prstGeom>
                    <a:ln>
                      <a:noFill/>
                    </a:ln>
                    <a:extLst>
                      <a:ext uri="{53640926-AAD7-44D8-BBD7-CCE9431645EC}">
                        <a14:shadowObscured xmlns:a14="http://schemas.microsoft.com/office/drawing/2010/main"/>
                      </a:ext>
                    </a:extLst>
                  </pic:spPr>
                </pic:pic>
              </a:graphicData>
            </a:graphic>
          </wp:inline>
        </w:drawing>
      </w:r>
    </w:p>
    <w:p w14:paraId="35052C07" w14:textId="77777777" w:rsidR="00083009" w:rsidRDefault="00083009">
      <w:pPr>
        <w:spacing w:line="240" w:lineRule="auto"/>
        <w:rPr>
          <w:rFonts w:ascii="Open Sans" w:hAnsi="Open Sans" w:cs="Open Sans"/>
          <w:smallCaps/>
          <w:color w:val="33006F"/>
        </w:rPr>
      </w:pPr>
    </w:p>
    <w:p w14:paraId="1D497ED0" w14:textId="7F041878" w:rsidR="007E0371" w:rsidRPr="00836212" w:rsidRDefault="007E0371">
      <w:pPr>
        <w:spacing w:line="240" w:lineRule="auto"/>
        <w:rPr>
          <w:rFonts w:ascii="Open Sans" w:hAnsi="Open Sans" w:cs="Open Sans"/>
          <w:smallCaps/>
          <w:color w:val="33006F"/>
        </w:rPr>
      </w:pPr>
    </w:p>
    <w:sectPr w:rsidR="007E0371" w:rsidRPr="00836212" w:rsidSect="007E0371">
      <w:headerReference w:type="default" r:id="rId22"/>
      <w:footerReference w:type="default" r:id="rId23"/>
      <w:headerReference w:type="first" r:id="rId24"/>
      <w:footerReference w:type="first" r:id="rId25"/>
      <w:pgSz w:w="15840" w:h="12240" w:orient="landscape" w:code="1"/>
      <w:pgMar w:top="1152" w:right="1440" w:bottom="1440" w:left="1440" w:header="907"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3D0AD" w14:textId="77777777" w:rsidR="002D63BC" w:rsidRDefault="002D63BC" w:rsidP="00046408">
      <w:pPr>
        <w:spacing w:line="240" w:lineRule="auto"/>
      </w:pPr>
      <w:r>
        <w:separator/>
      </w:r>
    </w:p>
  </w:endnote>
  <w:endnote w:type="continuationSeparator" w:id="0">
    <w:p w14:paraId="1A3FB614" w14:textId="77777777" w:rsidR="002D63BC" w:rsidRDefault="002D63BC" w:rsidP="00046408">
      <w:pPr>
        <w:spacing w:line="240" w:lineRule="auto"/>
      </w:pPr>
      <w:r>
        <w:continuationSeparator/>
      </w:r>
    </w:p>
  </w:endnote>
  <w:endnote w:id="1">
    <w:p w14:paraId="239EFD35" w14:textId="7C23CBC2" w:rsidR="00B96F8D" w:rsidRPr="00BE6223" w:rsidRDefault="00B96F8D">
      <w:pPr>
        <w:pStyle w:val="EndnoteText"/>
        <w:rPr>
          <w:rFonts w:ascii="Open Sans" w:hAnsi="Open Sans" w:cs="Open Sans"/>
        </w:rPr>
      </w:pPr>
      <w:r w:rsidRPr="00BE6223">
        <w:rPr>
          <w:rStyle w:val="EndnoteReference"/>
          <w:rFonts w:ascii="Open Sans" w:hAnsi="Open Sans" w:cs="Open Sans"/>
        </w:rPr>
        <w:endnoteRef/>
      </w:r>
      <w:r w:rsidRPr="00BE6223">
        <w:rPr>
          <w:rFonts w:ascii="Open Sans" w:hAnsi="Open Sans" w:cs="Open Sans"/>
        </w:rPr>
        <w:t xml:space="preserve"> </w:t>
      </w:r>
      <w:r w:rsidRPr="00BE6223">
        <w:rPr>
          <w:rFonts w:ascii="Open Sans" w:hAnsi="Open Sans" w:cs="Open Sans"/>
          <w:b/>
          <w:color w:val="33006F"/>
        </w:rPr>
        <w:t xml:space="preserve">Acknowledgements: </w:t>
      </w:r>
      <w:r w:rsidRPr="00BE6223">
        <w:rPr>
          <w:rFonts w:ascii="Open Sans" w:hAnsi="Open Sans" w:cs="Open Sans"/>
        </w:rPr>
        <w:t xml:space="preserve">This case was prepared by Asher Curtis in the Autumn of 2017. </w:t>
      </w:r>
    </w:p>
  </w:endnote>
  <w:endnote w:id="2">
    <w:p w14:paraId="4A328D94" w14:textId="696567EC" w:rsidR="00B96F8D" w:rsidRPr="00935E3D" w:rsidRDefault="00B96F8D" w:rsidP="006D37A5">
      <w:pPr>
        <w:pStyle w:val="EndnoteText"/>
        <w:jc w:val="both"/>
        <w:rPr>
          <w:rFonts w:ascii="Open Sans" w:hAnsi="Open Sans" w:cs="Open Sans"/>
        </w:rPr>
      </w:pPr>
      <w:r w:rsidRPr="00935E3D">
        <w:rPr>
          <w:rStyle w:val="EndnoteReference"/>
          <w:rFonts w:ascii="Open Sans" w:hAnsi="Open Sans" w:cs="Open Sans"/>
        </w:rPr>
        <w:endnoteRef/>
      </w:r>
      <w:r w:rsidRPr="00935E3D">
        <w:rPr>
          <w:rFonts w:ascii="Open Sans" w:hAnsi="Open Sans" w:cs="Open Sans"/>
        </w:rPr>
        <w:t xml:space="preserve"> FASB, CON 8, Chapter 1.</w:t>
      </w:r>
    </w:p>
  </w:endnote>
  <w:endnote w:id="3">
    <w:p w14:paraId="4AF9ADD5" w14:textId="366CA6DF" w:rsidR="00B96F8D" w:rsidRDefault="00B96F8D">
      <w:pPr>
        <w:pStyle w:val="EndnoteText"/>
      </w:pPr>
      <w:r w:rsidRPr="00935E3D">
        <w:rPr>
          <w:rStyle w:val="EndnoteReference"/>
          <w:rFonts w:ascii="Open Sans" w:hAnsi="Open Sans" w:cs="Open Sans"/>
        </w:rPr>
        <w:endnoteRef/>
      </w:r>
      <w:r w:rsidRPr="00935E3D">
        <w:rPr>
          <w:rFonts w:ascii="Open Sans" w:hAnsi="Open Sans" w:cs="Open Sans"/>
        </w:rPr>
        <w:t xml:space="preserve"> The valuation specialist is distinct from the real estate appraisers and actuaries (the latter who have expertise in the measurement of various reserves and liabilities related to loan losses and pensions).</w:t>
      </w:r>
    </w:p>
  </w:endnote>
  <w:endnote w:id="4">
    <w:p w14:paraId="17D3700F" w14:textId="77777777" w:rsidR="00B96F8D" w:rsidRPr="002D54E6" w:rsidRDefault="00B96F8D" w:rsidP="0064536F">
      <w:pPr>
        <w:pStyle w:val="EndnoteText"/>
        <w:rPr>
          <w:rFonts w:ascii="Open Sans" w:hAnsi="Open Sans" w:cs="Open Sans"/>
        </w:rPr>
      </w:pPr>
      <w:r w:rsidRPr="002D54E6">
        <w:rPr>
          <w:rStyle w:val="EndnoteReference"/>
          <w:rFonts w:ascii="Open Sans" w:hAnsi="Open Sans" w:cs="Open Sans"/>
        </w:rPr>
        <w:endnoteRef/>
      </w:r>
      <w:r w:rsidRPr="002D54E6">
        <w:rPr>
          <w:rFonts w:ascii="Open Sans" w:hAnsi="Open Sans" w:cs="Open Sans"/>
        </w:rPr>
        <w:t xml:space="preserve"> Some good examples include the discussion on Investopedia: </w:t>
      </w:r>
      <w:hyperlink r:id="rId1" w:history="1">
        <w:r w:rsidRPr="002D54E6">
          <w:rPr>
            <w:rStyle w:val="Hyperlink"/>
            <w:rFonts w:ascii="Open Sans" w:hAnsi="Open Sans" w:cs="Open Sans"/>
          </w:rPr>
          <w:t>http://www.investopedia.com/articles/fundamental/04/011404.asp</w:t>
        </w:r>
      </w:hyperlink>
      <w:r w:rsidRPr="002D54E6">
        <w:rPr>
          <w:rFonts w:ascii="Open Sans" w:hAnsi="Open Sans" w:cs="Open Sans"/>
        </w:rPr>
        <w:t xml:space="preserve"> and Aswath Damodaran’s website: </w:t>
      </w:r>
      <w:hyperlink r:id="rId2" w:history="1">
        <w:r w:rsidRPr="002D54E6">
          <w:rPr>
            <w:rStyle w:val="Hyperlink"/>
            <w:rFonts w:ascii="Open Sans" w:hAnsi="Open Sans" w:cs="Open Sans"/>
          </w:rPr>
          <w:t>http://aswathdamodaran.blogspot.com/2010/03/goodwill-plug-variable-or-real-asset.html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embedRegular r:id="rId1" w:fontKey="{6FB1B1BF-8084-487F-9451-C64E5E6335D4}"/>
    <w:embedBold r:id="rId2" w:fontKey="{51CEACDD-7DB9-4846-ABE5-F63F0A33BF44}"/>
    <w:embedItalic r:id="rId3" w:fontKey="{3F2FA357-AFB0-4990-B797-39D402AB88DC}"/>
    <w:embedBoldItalic r:id="rId4" w:fontKey="{3F3ED9A3-7602-4388-BC5D-A85F06BF7FA7}"/>
  </w:font>
  <w:font w:name="Tahoma">
    <w:panose1 w:val="020B0604030504040204"/>
    <w:charset w:val="00"/>
    <w:family w:val="swiss"/>
    <w:pitch w:val="variable"/>
    <w:sig w:usb0="E1002EFF" w:usb1="C000605B" w:usb2="00000029" w:usb3="00000000" w:csb0="000101FF" w:csb1="00000000"/>
    <w:embedRegular r:id="rId5" w:fontKey="{33A6523E-8A76-4554-B4A3-E793638CBDB0}"/>
  </w:font>
  <w:font w:name="Open Sans">
    <w:panose1 w:val="020B0606030504020204"/>
    <w:charset w:val="00"/>
    <w:family w:val="swiss"/>
    <w:pitch w:val="variable"/>
    <w:sig w:usb0="E00002EF" w:usb1="4000205B" w:usb2="00000028" w:usb3="00000000" w:csb0="0000019F" w:csb1="00000000"/>
    <w:embedRegular r:id="rId6" w:fontKey="{27B9277F-6199-42CB-9C6B-8FDB7B0E8419}"/>
    <w:embedBold r:id="rId7" w:fontKey="{66EAB961-F87F-4E47-90C0-CB06A6CCCB5E}"/>
    <w:embedItalic r:id="rId8" w:fontKey="{1242B2C9-E5DA-45AF-A279-A43D071B523B}"/>
    <w:embedBoldItalic r:id="rId9" w:fontKey="{95DBC03A-9708-4067-9B0C-797BA952DEF4}"/>
  </w:font>
  <w:font w:name="Arimo">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46167"/>
      <w:docPartObj>
        <w:docPartGallery w:val="Page Numbers (Bottom of Page)"/>
        <w:docPartUnique/>
      </w:docPartObj>
    </w:sdtPr>
    <w:sdtEndPr>
      <w:rPr>
        <w:noProof/>
      </w:rPr>
    </w:sdtEndPr>
    <w:sdtContent>
      <w:p w14:paraId="24DD92CA" w14:textId="51092165" w:rsidR="00B96F8D" w:rsidRDefault="00B96F8D">
        <w:pPr>
          <w:pStyle w:val="Footer"/>
          <w:jc w:val="right"/>
        </w:pPr>
        <w:r>
          <w:fldChar w:fldCharType="begin"/>
        </w:r>
        <w:r>
          <w:instrText xml:space="preserve"> PAGE   \* MERGEFORMAT </w:instrText>
        </w:r>
        <w:r>
          <w:fldChar w:fldCharType="separate"/>
        </w:r>
        <w:r w:rsidR="00DB45E2">
          <w:rPr>
            <w:noProof/>
          </w:rPr>
          <w:t>4</w:t>
        </w:r>
        <w:r>
          <w:rPr>
            <w:noProof/>
          </w:rPr>
          <w:fldChar w:fldCharType="end"/>
        </w:r>
      </w:p>
    </w:sdtContent>
  </w:sdt>
  <w:p w14:paraId="535E16AC" w14:textId="77777777" w:rsidR="00B96F8D" w:rsidRDefault="00B96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294606"/>
      <w:docPartObj>
        <w:docPartGallery w:val="Page Numbers (Bottom of Page)"/>
        <w:docPartUnique/>
      </w:docPartObj>
    </w:sdtPr>
    <w:sdtEndPr>
      <w:rPr>
        <w:noProof/>
      </w:rPr>
    </w:sdtEndPr>
    <w:sdtContent>
      <w:p w14:paraId="5F500E5D" w14:textId="6ADC581C" w:rsidR="00B96F8D" w:rsidRDefault="00B96F8D">
        <w:pPr>
          <w:pStyle w:val="Footer"/>
          <w:jc w:val="right"/>
        </w:pPr>
        <w:r>
          <w:fldChar w:fldCharType="begin"/>
        </w:r>
        <w:r>
          <w:instrText xml:space="preserve"> PAGE   \* MERGEFORMAT </w:instrText>
        </w:r>
        <w:r>
          <w:fldChar w:fldCharType="separate"/>
        </w:r>
        <w:r w:rsidR="00DB45E2">
          <w:rPr>
            <w:noProof/>
          </w:rPr>
          <w:t>3</w:t>
        </w:r>
        <w:r>
          <w:rPr>
            <w:noProof/>
          </w:rPr>
          <w:fldChar w:fldCharType="end"/>
        </w:r>
      </w:p>
    </w:sdtContent>
  </w:sdt>
  <w:p w14:paraId="1D43E8EB" w14:textId="77777777" w:rsidR="00B96F8D" w:rsidRDefault="00B96F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2F205" w14:textId="77777777" w:rsidR="00B96F8D" w:rsidRDefault="00B96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6CD4B" w14:textId="77777777" w:rsidR="002D63BC" w:rsidRDefault="002D63BC" w:rsidP="00046408">
      <w:pPr>
        <w:spacing w:line="240" w:lineRule="auto"/>
      </w:pPr>
      <w:r>
        <w:separator/>
      </w:r>
    </w:p>
  </w:footnote>
  <w:footnote w:type="continuationSeparator" w:id="0">
    <w:p w14:paraId="4D1F0D63" w14:textId="77777777" w:rsidR="002D63BC" w:rsidRDefault="002D63BC"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2BED9" w14:textId="186C27C1" w:rsidR="00B96F8D" w:rsidRPr="001F60E1" w:rsidRDefault="00B96F8D" w:rsidP="001E52E9">
    <w:pPr>
      <w:jc w:val="right"/>
      <w:rPr>
        <w:color w:val="33006F"/>
      </w:rPr>
    </w:pPr>
    <w:r>
      <w:rPr>
        <w:color w:val="33006F"/>
      </w:rPr>
      <w:t>MPAcc</w:t>
    </w:r>
    <w:r w:rsidRPr="001F60E1">
      <w:rPr>
        <w:color w:val="33006F"/>
      </w:rPr>
      <w:t xml:space="preserve"> Case</w:t>
    </w:r>
    <w:r>
      <w:rPr>
        <w:color w:val="33006F"/>
      </w:rPr>
      <w:t xml:space="preserve"> #17-05</w:t>
    </w:r>
  </w:p>
  <w:p w14:paraId="20705636" w14:textId="6CC2039B" w:rsidR="00B96F8D" w:rsidRDefault="00B96F8D" w:rsidP="001E52E9">
    <w:pPr>
      <w:jc w:val="right"/>
      <w:rPr>
        <w:color w:val="33006F"/>
      </w:rPr>
    </w:pPr>
    <w:r>
      <w:rPr>
        <w:color w:val="33006F"/>
      </w:rPr>
      <w:t>Acquisitions</w:t>
    </w:r>
  </w:p>
  <w:p w14:paraId="32CD9410" w14:textId="761DA7C5" w:rsidR="00B96F8D" w:rsidRDefault="00B96F8D" w:rsidP="001E52E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5B8B9" w14:textId="618F111B" w:rsidR="00B96F8D" w:rsidRDefault="00B96F8D" w:rsidP="00793977">
    <w:pPr>
      <w:pStyle w:val="FBLogo"/>
      <w:spacing w:after="240"/>
      <w:jc w:val="left"/>
    </w:pPr>
    <w:r>
      <w:rPr>
        <w:noProof/>
      </w:rPr>
      <w:drawing>
        <wp:inline distT="0" distB="0" distL="0" distR="0" wp14:anchorId="48901A24" wp14:editId="5B47AF0B">
          <wp:extent cx="2569464" cy="914400"/>
          <wp:effectExtent l="0" t="0" r="2540" b="0"/>
          <wp:docPr id="2" name="Picture 2" descr="C:\Users\abcurtis\AppData\Local\Temp\wz884a\Foster_logo_MPAcc_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urtis\AppData\Local\Temp\wz884a\Foster_logo_MPAcc_UW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3C87B" w14:textId="77777777" w:rsidR="00B96F8D" w:rsidRDefault="00B96F8D" w:rsidP="006F33FC">
    <w:pPr>
      <w:pStyle w:val="FBLogo"/>
      <w:spacing w:after="120"/>
    </w:pPr>
  </w:p>
  <w:p w14:paraId="15EEFA0B" w14:textId="56858DF3" w:rsidR="00B96F8D" w:rsidRPr="001F60E1" w:rsidRDefault="00B96F8D" w:rsidP="001F60E1">
    <w:pPr>
      <w:jc w:val="right"/>
      <w:rPr>
        <w:color w:val="33006F"/>
      </w:rPr>
    </w:pPr>
    <w:r>
      <w:rPr>
        <w:color w:val="33006F"/>
      </w:rPr>
      <w:t>Appendix to MPAcc</w:t>
    </w:r>
    <w:r w:rsidRPr="001F60E1">
      <w:rPr>
        <w:color w:val="33006F"/>
      </w:rPr>
      <w:t xml:space="preserve"> Case</w:t>
    </w:r>
    <w:r>
      <w:rPr>
        <w:color w:val="33006F"/>
      </w:rPr>
      <w:t xml:space="preserve"> #17-05</w:t>
    </w:r>
  </w:p>
  <w:p w14:paraId="3CF09BF1" w14:textId="14EECAF3" w:rsidR="00B96F8D" w:rsidRPr="001F60E1" w:rsidRDefault="00B96F8D" w:rsidP="001F60E1">
    <w:pPr>
      <w:jc w:val="right"/>
      <w:rPr>
        <w:color w:val="33006F"/>
      </w:rPr>
    </w:pPr>
    <w:r>
      <w:rPr>
        <w:color w:val="33006F"/>
      </w:rPr>
      <w:t>Acquisitions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38BF1" w14:textId="77777777" w:rsidR="00B96F8D" w:rsidRPr="001F60E1" w:rsidRDefault="00B96F8D" w:rsidP="000B4980">
    <w:pPr>
      <w:jc w:val="right"/>
      <w:rPr>
        <w:color w:val="33006F"/>
      </w:rPr>
    </w:pPr>
    <w:r>
      <w:rPr>
        <w:color w:val="33006F"/>
      </w:rPr>
      <w:t>Questions to Accompany MPAcc</w:t>
    </w:r>
    <w:r w:rsidRPr="001F60E1">
      <w:rPr>
        <w:color w:val="33006F"/>
      </w:rPr>
      <w:t xml:space="preserve"> Case</w:t>
    </w:r>
    <w:r>
      <w:rPr>
        <w:color w:val="33006F"/>
      </w:rPr>
      <w:t xml:space="preserve"> #17-01</w:t>
    </w:r>
  </w:p>
  <w:p w14:paraId="590C72DE" w14:textId="77777777" w:rsidR="00B96F8D" w:rsidRDefault="00B96F8D" w:rsidP="000B4980">
    <w:pPr>
      <w:jc w:val="right"/>
      <w:rPr>
        <w:color w:val="33006F"/>
      </w:rPr>
    </w:pPr>
    <w:r>
      <w:rPr>
        <w:color w:val="33006F"/>
      </w:rPr>
      <w:t>Economics of Audit</w:t>
    </w:r>
  </w:p>
  <w:p w14:paraId="4D9F9214" w14:textId="77777777" w:rsidR="00B96F8D" w:rsidRPr="000B4980" w:rsidRDefault="00B96F8D" w:rsidP="000B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01BC"/>
    <w:multiLevelType w:val="hybridMultilevel"/>
    <w:tmpl w:val="741C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84A9C"/>
    <w:multiLevelType w:val="hybridMultilevel"/>
    <w:tmpl w:val="C89EE8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80E42"/>
    <w:multiLevelType w:val="hybridMultilevel"/>
    <w:tmpl w:val="544C5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A3000"/>
    <w:multiLevelType w:val="hybridMultilevel"/>
    <w:tmpl w:val="53B6D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D563D"/>
    <w:multiLevelType w:val="hybridMultilevel"/>
    <w:tmpl w:val="45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B0A20"/>
    <w:multiLevelType w:val="hybridMultilevel"/>
    <w:tmpl w:val="26E45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264F6"/>
    <w:multiLevelType w:val="multilevel"/>
    <w:tmpl w:val="106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A2D2D"/>
    <w:multiLevelType w:val="hybridMultilevel"/>
    <w:tmpl w:val="8ABA7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B05D2"/>
    <w:multiLevelType w:val="hybridMultilevel"/>
    <w:tmpl w:val="DCEE196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78060D"/>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91951"/>
    <w:multiLevelType w:val="hybridMultilevel"/>
    <w:tmpl w:val="9ADA1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43123CC4"/>
    <w:multiLevelType w:val="hybridMultilevel"/>
    <w:tmpl w:val="BC8A7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F0E2E"/>
    <w:multiLevelType w:val="hybridMultilevel"/>
    <w:tmpl w:val="E5BAB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37B33"/>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C17709"/>
    <w:multiLevelType w:val="multilevel"/>
    <w:tmpl w:val="BA0CD1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FC62FA1"/>
    <w:multiLevelType w:val="hybridMultilevel"/>
    <w:tmpl w:val="DC6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0206AF"/>
    <w:multiLevelType w:val="hybridMultilevel"/>
    <w:tmpl w:val="4EE0801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47D34"/>
    <w:multiLevelType w:val="hybridMultilevel"/>
    <w:tmpl w:val="03B0C5B0"/>
    <w:lvl w:ilvl="0" w:tplc="0D747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5"/>
  </w:num>
  <w:num w:numId="3">
    <w:abstractNumId w:val="15"/>
  </w:num>
  <w:num w:numId="4">
    <w:abstractNumId w:val="21"/>
  </w:num>
  <w:num w:numId="5">
    <w:abstractNumId w:val="30"/>
  </w:num>
  <w:num w:numId="6">
    <w:abstractNumId w:val="16"/>
  </w:num>
  <w:num w:numId="7">
    <w:abstractNumId w:val="18"/>
  </w:num>
  <w:num w:numId="8">
    <w:abstractNumId w:val="3"/>
  </w:num>
  <w:num w:numId="9">
    <w:abstractNumId w:val="24"/>
  </w:num>
  <w:num w:numId="10">
    <w:abstractNumId w:val="23"/>
  </w:num>
  <w:num w:numId="11">
    <w:abstractNumId w:val="26"/>
  </w:num>
  <w:num w:numId="12">
    <w:abstractNumId w:val="2"/>
  </w:num>
  <w:num w:numId="13">
    <w:abstractNumId w:val="28"/>
  </w:num>
  <w:num w:numId="14">
    <w:abstractNumId w:val="12"/>
  </w:num>
  <w:num w:numId="15">
    <w:abstractNumId w:val="10"/>
  </w:num>
  <w:num w:numId="16">
    <w:abstractNumId w:val="1"/>
  </w:num>
  <w:num w:numId="17">
    <w:abstractNumId w:val="22"/>
  </w:num>
  <w:num w:numId="18">
    <w:abstractNumId w:val="0"/>
  </w:num>
  <w:num w:numId="19">
    <w:abstractNumId w:val="20"/>
  </w:num>
  <w:num w:numId="20">
    <w:abstractNumId w:val="13"/>
  </w:num>
  <w:num w:numId="21">
    <w:abstractNumId w:val="11"/>
  </w:num>
  <w:num w:numId="22">
    <w:abstractNumId w:val="17"/>
  </w:num>
  <w:num w:numId="23">
    <w:abstractNumId w:val="6"/>
  </w:num>
  <w:num w:numId="24">
    <w:abstractNumId w:val="5"/>
  </w:num>
  <w:num w:numId="25">
    <w:abstractNumId w:val="4"/>
  </w:num>
  <w:num w:numId="26">
    <w:abstractNumId w:val="14"/>
  </w:num>
  <w:num w:numId="27">
    <w:abstractNumId w:val="7"/>
  </w:num>
  <w:num w:numId="28">
    <w:abstractNumId w:val="9"/>
  </w:num>
  <w:num w:numId="29">
    <w:abstractNumId w:val="8"/>
  </w:num>
  <w:num w:numId="30">
    <w:abstractNumId w:val="19"/>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113&lt;/item&gt;&lt;item&gt;116&lt;/item&gt;&lt;/record-ids&gt;&lt;/item&gt;&lt;/Libraries&gt;"/>
  </w:docVars>
  <w:rsids>
    <w:rsidRoot w:val="00875B0E"/>
    <w:rsid w:val="00006A5D"/>
    <w:rsid w:val="00006CC9"/>
    <w:rsid w:val="000203A6"/>
    <w:rsid w:val="000238EF"/>
    <w:rsid w:val="00023A98"/>
    <w:rsid w:val="00025E80"/>
    <w:rsid w:val="000268AA"/>
    <w:rsid w:val="00034606"/>
    <w:rsid w:val="00035D8A"/>
    <w:rsid w:val="0004527D"/>
    <w:rsid w:val="00046408"/>
    <w:rsid w:val="00051203"/>
    <w:rsid w:val="000515EB"/>
    <w:rsid w:val="00053D04"/>
    <w:rsid w:val="00060D17"/>
    <w:rsid w:val="00083009"/>
    <w:rsid w:val="00085F5F"/>
    <w:rsid w:val="000954EA"/>
    <w:rsid w:val="000A288E"/>
    <w:rsid w:val="000A34F1"/>
    <w:rsid w:val="000B4980"/>
    <w:rsid w:val="000B57C4"/>
    <w:rsid w:val="000C7BC8"/>
    <w:rsid w:val="000E2EAB"/>
    <w:rsid w:val="000E4A06"/>
    <w:rsid w:val="000E6B4B"/>
    <w:rsid w:val="000F0B98"/>
    <w:rsid w:val="000F1BCA"/>
    <w:rsid w:val="000F3F77"/>
    <w:rsid w:val="001002F0"/>
    <w:rsid w:val="00102341"/>
    <w:rsid w:val="00111300"/>
    <w:rsid w:val="001128E6"/>
    <w:rsid w:val="001205ED"/>
    <w:rsid w:val="001251A8"/>
    <w:rsid w:val="001414A1"/>
    <w:rsid w:val="00141981"/>
    <w:rsid w:val="00142F8B"/>
    <w:rsid w:val="0015134A"/>
    <w:rsid w:val="00151847"/>
    <w:rsid w:val="00153F15"/>
    <w:rsid w:val="0015600E"/>
    <w:rsid w:val="0016120D"/>
    <w:rsid w:val="00162D6F"/>
    <w:rsid w:val="00171D04"/>
    <w:rsid w:val="0017534F"/>
    <w:rsid w:val="00176AA8"/>
    <w:rsid w:val="00177FDE"/>
    <w:rsid w:val="00180E94"/>
    <w:rsid w:val="00182B43"/>
    <w:rsid w:val="0019347E"/>
    <w:rsid w:val="001A6E2C"/>
    <w:rsid w:val="001B6291"/>
    <w:rsid w:val="001C364B"/>
    <w:rsid w:val="001C4DEA"/>
    <w:rsid w:val="001C60B6"/>
    <w:rsid w:val="001E2250"/>
    <w:rsid w:val="001E415E"/>
    <w:rsid w:val="001E52E9"/>
    <w:rsid w:val="001E63CB"/>
    <w:rsid w:val="001E72E7"/>
    <w:rsid w:val="001E7F69"/>
    <w:rsid w:val="001F5FB0"/>
    <w:rsid w:val="001F60E1"/>
    <w:rsid w:val="001F6130"/>
    <w:rsid w:val="00201681"/>
    <w:rsid w:val="00202439"/>
    <w:rsid w:val="00215292"/>
    <w:rsid w:val="0022050B"/>
    <w:rsid w:val="00223B86"/>
    <w:rsid w:val="00223D48"/>
    <w:rsid w:val="00225F8D"/>
    <w:rsid w:val="00226EDA"/>
    <w:rsid w:val="002338BC"/>
    <w:rsid w:val="00234F29"/>
    <w:rsid w:val="00242057"/>
    <w:rsid w:val="00255F18"/>
    <w:rsid w:val="002615A5"/>
    <w:rsid w:val="00264CC0"/>
    <w:rsid w:val="002706F3"/>
    <w:rsid w:val="00276C9E"/>
    <w:rsid w:val="002773AB"/>
    <w:rsid w:val="00283AF3"/>
    <w:rsid w:val="00285E36"/>
    <w:rsid w:val="0029346F"/>
    <w:rsid w:val="00293B76"/>
    <w:rsid w:val="002A0187"/>
    <w:rsid w:val="002A23D0"/>
    <w:rsid w:val="002B3287"/>
    <w:rsid w:val="002B46F5"/>
    <w:rsid w:val="002B49E8"/>
    <w:rsid w:val="002C0059"/>
    <w:rsid w:val="002C22C5"/>
    <w:rsid w:val="002C4022"/>
    <w:rsid w:val="002C5B76"/>
    <w:rsid w:val="002C739C"/>
    <w:rsid w:val="002D0931"/>
    <w:rsid w:val="002D169F"/>
    <w:rsid w:val="002D54E6"/>
    <w:rsid w:val="002D635A"/>
    <w:rsid w:val="002D63BC"/>
    <w:rsid w:val="002D7825"/>
    <w:rsid w:val="002E4AEB"/>
    <w:rsid w:val="002E4AF3"/>
    <w:rsid w:val="002E5097"/>
    <w:rsid w:val="002F07E0"/>
    <w:rsid w:val="002F0819"/>
    <w:rsid w:val="002F6B23"/>
    <w:rsid w:val="00301C68"/>
    <w:rsid w:val="00313936"/>
    <w:rsid w:val="0031436D"/>
    <w:rsid w:val="00315951"/>
    <w:rsid w:val="003224F7"/>
    <w:rsid w:val="00327D1D"/>
    <w:rsid w:val="00332130"/>
    <w:rsid w:val="00333770"/>
    <w:rsid w:val="003349B1"/>
    <w:rsid w:val="00335B66"/>
    <w:rsid w:val="003406C3"/>
    <w:rsid w:val="00343722"/>
    <w:rsid w:val="00352D83"/>
    <w:rsid w:val="0035481B"/>
    <w:rsid w:val="00356226"/>
    <w:rsid w:val="00362597"/>
    <w:rsid w:val="00387655"/>
    <w:rsid w:val="003931FB"/>
    <w:rsid w:val="003932D1"/>
    <w:rsid w:val="00397077"/>
    <w:rsid w:val="003A2565"/>
    <w:rsid w:val="003A6FC4"/>
    <w:rsid w:val="003A7F49"/>
    <w:rsid w:val="003B13BF"/>
    <w:rsid w:val="003B27F0"/>
    <w:rsid w:val="003C20A0"/>
    <w:rsid w:val="003C4831"/>
    <w:rsid w:val="003C55E8"/>
    <w:rsid w:val="003C6A3D"/>
    <w:rsid w:val="003D11EC"/>
    <w:rsid w:val="003E249A"/>
    <w:rsid w:val="003E2B1F"/>
    <w:rsid w:val="003E3360"/>
    <w:rsid w:val="003F45E7"/>
    <w:rsid w:val="00401D34"/>
    <w:rsid w:val="004033F1"/>
    <w:rsid w:val="00403795"/>
    <w:rsid w:val="0041279F"/>
    <w:rsid w:val="00414FE0"/>
    <w:rsid w:val="004162AB"/>
    <w:rsid w:val="00420D11"/>
    <w:rsid w:val="00432CA9"/>
    <w:rsid w:val="00437BBD"/>
    <w:rsid w:val="004411A7"/>
    <w:rsid w:val="00447B3A"/>
    <w:rsid w:val="0045154C"/>
    <w:rsid w:val="0045172A"/>
    <w:rsid w:val="00451C41"/>
    <w:rsid w:val="00452BF8"/>
    <w:rsid w:val="00460182"/>
    <w:rsid w:val="00460C5F"/>
    <w:rsid w:val="00460E7D"/>
    <w:rsid w:val="00467906"/>
    <w:rsid w:val="00471475"/>
    <w:rsid w:val="00476A32"/>
    <w:rsid w:val="004821F0"/>
    <w:rsid w:val="00483577"/>
    <w:rsid w:val="00490017"/>
    <w:rsid w:val="0049127D"/>
    <w:rsid w:val="004923B2"/>
    <w:rsid w:val="0049264F"/>
    <w:rsid w:val="004927F7"/>
    <w:rsid w:val="004945D1"/>
    <w:rsid w:val="00494E2E"/>
    <w:rsid w:val="004A113F"/>
    <w:rsid w:val="004A19C0"/>
    <w:rsid w:val="004A41B3"/>
    <w:rsid w:val="004B0EDE"/>
    <w:rsid w:val="004B2050"/>
    <w:rsid w:val="004B383F"/>
    <w:rsid w:val="004B6359"/>
    <w:rsid w:val="004C2157"/>
    <w:rsid w:val="004C2760"/>
    <w:rsid w:val="004C5DF5"/>
    <w:rsid w:val="004D57EB"/>
    <w:rsid w:val="004E1417"/>
    <w:rsid w:val="004E3885"/>
    <w:rsid w:val="004E4ED7"/>
    <w:rsid w:val="004E68EB"/>
    <w:rsid w:val="00506E48"/>
    <w:rsid w:val="00512B97"/>
    <w:rsid w:val="00515696"/>
    <w:rsid w:val="005200F8"/>
    <w:rsid w:val="00521637"/>
    <w:rsid w:val="00523739"/>
    <w:rsid w:val="00541305"/>
    <w:rsid w:val="0054441D"/>
    <w:rsid w:val="00547A41"/>
    <w:rsid w:val="005554EF"/>
    <w:rsid w:val="0055749A"/>
    <w:rsid w:val="0056130B"/>
    <w:rsid w:val="00573E63"/>
    <w:rsid w:val="005803BE"/>
    <w:rsid w:val="00580914"/>
    <w:rsid w:val="00585026"/>
    <w:rsid w:val="005857AA"/>
    <w:rsid w:val="00586161"/>
    <w:rsid w:val="00590694"/>
    <w:rsid w:val="00591603"/>
    <w:rsid w:val="00591A3E"/>
    <w:rsid w:val="00593D8D"/>
    <w:rsid w:val="005951C3"/>
    <w:rsid w:val="0059520A"/>
    <w:rsid w:val="00595436"/>
    <w:rsid w:val="00596031"/>
    <w:rsid w:val="005A3ADC"/>
    <w:rsid w:val="005A51E4"/>
    <w:rsid w:val="005B2222"/>
    <w:rsid w:val="005B5BC8"/>
    <w:rsid w:val="005B6994"/>
    <w:rsid w:val="005C3ADF"/>
    <w:rsid w:val="005C4FA7"/>
    <w:rsid w:val="005D016B"/>
    <w:rsid w:val="005D5BE6"/>
    <w:rsid w:val="005D6038"/>
    <w:rsid w:val="005E3F6B"/>
    <w:rsid w:val="005F16DF"/>
    <w:rsid w:val="005F4B04"/>
    <w:rsid w:val="0060351C"/>
    <w:rsid w:val="00603792"/>
    <w:rsid w:val="00603E0A"/>
    <w:rsid w:val="00603EAE"/>
    <w:rsid w:val="006110A3"/>
    <w:rsid w:val="00612054"/>
    <w:rsid w:val="006147F7"/>
    <w:rsid w:val="006178ED"/>
    <w:rsid w:val="00623BB3"/>
    <w:rsid w:val="006265CA"/>
    <w:rsid w:val="00627AC1"/>
    <w:rsid w:val="00631F82"/>
    <w:rsid w:val="006402C3"/>
    <w:rsid w:val="0064536F"/>
    <w:rsid w:val="00645D77"/>
    <w:rsid w:val="00646963"/>
    <w:rsid w:val="00651992"/>
    <w:rsid w:val="00651BE4"/>
    <w:rsid w:val="00665BD7"/>
    <w:rsid w:val="00671175"/>
    <w:rsid w:val="0067167D"/>
    <w:rsid w:val="0067212A"/>
    <w:rsid w:val="0068193B"/>
    <w:rsid w:val="00684559"/>
    <w:rsid w:val="006847B5"/>
    <w:rsid w:val="00690479"/>
    <w:rsid w:val="00690A52"/>
    <w:rsid w:val="006A2C64"/>
    <w:rsid w:val="006A6392"/>
    <w:rsid w:val="006C05B6"/>
    <w:rsid w:val="006C18D4"/>
    <w:rsid w:val="006C4107"/>
    <w:rsid w:val="006C56CC"/>
    <w:rsid w:val="006C6D9F"/>
    <w:rsid w:val="006C7699"/>
    <w:rsid w:val="006D1538"/>
    <w:rsid w:val="006D37A5"/>
    <w:rsid w:val="006D5D5E"/>
    <w:rsid w:val="006E6D5E"/>
    <w:rsid w:val="006F1087"/>
    <w:rsid w:val="006F33FC"/>
    <w:rsid w:val="006F5E79"/>
    <w:rsid w:val="006F5EB4"/>
    <w:rsid w:val="006F7BDC"/>
    <w:rsid w:val="00705483"/>
    <w:rsid w:val="00713373"/>
    <w:rsid w:val="007142E2"/>
    <w:rsid w:val="00730FF5"/>
    <w:rsid w:val="00732C96"/>
    <w:rsid w:val="00743D54"/>
    <w:rsid w:val="00744929"/>
    <w:rsid w:val="007469F5"/>
    <w:rsid w:val="00757DE3"/>
    <w:rsid w:val="00762A53"/>
    <w:rsid w:val="00763459"/>
    <w:rsid w:val="00763893"/>
    <w:rsid w:val="00767941"/>
    <w:rsid w:val="00777141"/>
    <w:rsid w:val="007812AA"/>
    <w:rsid w:val="00782059"/>
    <w:rsid w:val="007869DF"/>
    <w:rsid w:val="00793977"/>
    <w:rsid w:val="007979E7"/>
    <w:rsid w:val="007A2C63"/>
    <w:rsid w:val="007A3C10"/>
    <w:rsid w:val="007A67FB"/>
    <w:rsid w:val="007B5561"/>
    <w:rsid w:val="007C0593"/>
    <w:rsid w:val="007C3508"/>
    <w:rsid w:val="007C77CF"/>
    <w:rsid w:val="007E0371"/>
    <w:rsid w:val="007E32E0"/>
    <w:rsid w:val="007E6FE0"/>
    <w:rsid w:val="007F2673"/>
    <w:rsid w:val="007F2A9D"/>
    <w:rsid w:val="007F66D6"/>
    <w:rsid w:val="00801D24"/>
    <w:rsid w:val="00802737"/>
    <w:rsid w:val="00806081"/>
    <w:rsid w:val="00811A19"/>
    <w:rsid w:val="00816DFB"/>
    <w:rsid w:val="008173F3"/>
    <w:rsid w:val="00821B37"/>
    <w:rsid w:val="0082628A"/>
    <w:rsid w:val="0082791F"/>
    <w:rsid w:val="0083304B"/>
    <w:rsid w:val="00836212"/>
    <w:rsid w:val="0084110C"/>
    <w:rsid w:val="0084466D"/>
    <w:rsid w:val="00854821"/>
    <w:rsid w:val="00856F12"/>
    <w:rsid w:val="00866991"/>
    <w:rsid w:val="00870E92"/>
    <w:rsid w:val="00874033"/>
    <w:rsid w:val="00874440"/>
    <w:rsid w:val="00875B0E"/>
    <w:rsid w:val="008776E4"/>
    <w:rsid w:val="008837FE"/>
    <w:rsid w:val="008900CB"/>
    <w:rsid w:val="00891DA7"/>
    <w:rsid w:val="008A506C"/>
    <w:rsid w:val="008A63B4"/>
    <w:rsid w:val="008A64D1"/>
    <w:rsid w:val="008A6B34"/>
    <w:rsid w:val="008A6B64"/>
    <w:rsid w:val="008B4B0E"/>
    <w:rsid w:val="008B71AC"/>
    <w:rsid w:val="008D0581"/>
    <w:rsid w:val="008D3733"/>
    <w:rsid w:val="008D7A37"/>
    <w:rsid w:val="008E1418"/>
    <w:rsid w:val="008E5B1D"/>
    <w:rsid w:val="008F0755"/>
    <w:rsid w:val="008F216B"/>
    <w:rsid w:val="008F4781"/>
    <w:rsid w:val="008F6B05"/>
    <w:rsid w:val="008F7309"/>
    <w:rsid w:val="009121DA"/>
    <w:rsid w:val="009131A6"/>
    <w:rsid w:val="00914E4C"/>
    <w:rsid w:val="00915228"/>
    <w:rsid w:val="00920902"/>
    <w:rsid w:val="00924FAA"/>
    <w:rsid w:val="009352ED"/>
    <w:rsid w:val="00935E3D"/>
    <w:rsid w:val="00942D09"/>
    <w:rsid w:val="00950258"/>
    <w:rsid w:val="00954123"/>
    <w:rsid w:val="009618EE"/>
    <w:rsid w:val="00961CC7"/>
    <w:rsid w:val="00964CD5"/>
    <w:rsid w:val="00965A88"/>
    <w:rsid w:val="00974968"/>
    <w:rsid w:val="00974D75"/>
    <w:rsid w:val="00976020"/>
    <w:rsid w:val="009849FA"/>
    <w:rsid w:val="00985D5E"/>
    <w:rsid w:val="00987CB7"/>
    <w:rsid w:val="00993A4F"/>
    <w:rsid w:val="00995ED2"/>
    <w:rsid w:val="009A6962"/>
    <w:rsid w:val="009B036D"/>
    <w:rsid w:val="009B2188"/>
    <w:rsid w:val="009B2FF7"/>
    <w:rsid w:val="009B660D"/>
    <w:rsid w:val="009C31A7"/>
    <w:rsid w:val="009C3C7E"/>
    <w:rsid w:val="009C40AB"/>
    <w:rsid w:val="009D4F0B"/>
    <w:rsid w:val="009E2740"/>
    <w:rsid w:val="009E3EF0"/>
    <w:rsid w:val="009E5AF4"/>
    <w:rsid w:val="009E79E2"/>
    <w:rsid w:val="009F1065"/>
    <w:rsid w:val="009F2527"/>
    <w:rsid w:val="009F3F51"/>
    <w:rsid w:val="009F46B9"/>
    <w:rsid w:val="00A005C5"/>
    <w:rsid w:val="00A0264A"/>
    <w:rsid w:val="00A055B2"/>
    <w:rsid w:val="00A06C5F"/>
    <w:rsid w:val="00A0723C"/>
    <w:rsid w:val="00A07B30"/>
    <w:rsid w:val="00A17C6A"/>
    <w:rsid w:val="00A210E7"/>
    <w:rsid w:val="00A227D0"/>
    <w:rsid w:val="00A26258"/>
    <w:rsid w:val="00A373DE"/>
    <w:rsid w:val="00A4093B"/>
    <w:rsid w:val="00A421BD"/>
    <w:rsid w:val="00A471CE"/>
    <w:rsid w:val="00A53159"/>
    <w:rsid w:val="00A56AB6"/>
    <w:rsid w:val="00A613C7"/>
    <w:rsid w:val="00A64B96"/>
    <w:rsid w:val="00A66117"/>
    <w:rsid w:val="00A7063A"/>
    <w:rsid w:val="00A70D39"/>
    <w:rsid w:val="00A746C7"/>
    <w:rsid w:val="00A87312"/>
    <w:rsid w:val="00A92BAA"/>
    <w:rsid w:val="00AA331E"/>
    <w:rsid w:val="00AB170C"/>
    <w:rsid w:val="00AB3E6C"/>
    <w:rsid w:val="00AB4FB5"/>
    <w:rsid w:val="00AC0EAB"/>
    <w:rsid w:val="00AC1A3E"/>
    <w:rsid w:val="00AC33F6"/>
    <w:rsid w:val="00AC3A56"/>
    <w:rsid w:val="00AC3C20"/>
    <w:rsid w:val="00AC482F"/>
    <w:rsid w:val="00AD24E3"/>
    <w:rsid w:val="00AD3607"/>
    <w:rsid w:val="00AD5168"/>
    <w:rsid w:val="00AD5579"/>
    <w:rsid w:val="00AE1226"/>
    <w:rsid w:val="00AE287B"/>
    <w:rsid w:val="00AE45C3"/>
    <w:rsid w:val="00AE4AA3"/>
    <w:rsid w:val="00AE7A3A"/>
    <w:rsid w:val="00AF7D76"/>
    <w:rsid w:val="00B06204"/>
    <w:rsid w:val="00B075F4"/>
    <w:rsid w:val="00B11B2F"/>
    <w:rsid w:val="00B236ED"/>
    <w:rsid w:val="00B32215"/>
    <w:rsid w:val="00B429C5"/>
    <w:rsid w:val="00B42F15"/>
    <w:rsid w:val="00B44620"/>
    <w:rsid w:val="00B47809"/>
    <w:rsid w:val="00B47E78"/>
    <w:rsid w:val="00B53CA2"/>
    <w:rsid w:val="00B56B47"/>
    <w:rsid w:val="00B6098D"/>
    <w:rsid w:val="00B63AF1"/>
    <w:rsid w:val="00B63E84"/>
    <w:rsid w:val="00B65AEA"/>
    <w:rsid w:val="00B71C7E"/>
    <w:rsid w:val="00B71FC0"/>
    <w:rsid w:val="00B80F7D"/>
    <w:rsid w:val="00B85757"/>
    <w:rsid w:val="00B9298F"/>
    <w:rsid w:val="00B964E8"/>
    <w:rsid w:val="00B96F8D"/>
    <w:rsid w:val="00BA0419"/>
    <w:rsid w:val="00BA2428"/>
    <w:rsid w:val="00BA3629"/>
    <w:rsid w:val="00BA4CE4"/>
    <w:rsid w:val="00BA7107"/>
    <w:rsid w:val="00BB0DFD"/>
    <w:rsid w:val="00BB1C07"/>
    <w:rsid w:val="00BB57D0"/>
    <w:rsid w:val="00BC2B5F"/>
    <w:rsid w:val="00BC5C98"/>
    <w:rsid w:val="00BD1946"/>
    <w:rsid w:val="00BD360A"/>
    <w:rsid w:val="00BE010E"/>
    <w:rsid w:val="00BE4E64"/>
    <w:rsid w:val="00BE6223"/>
    <w:rsid w:val="00BF12E2"/>
    <w:rsid w:val="00BF2C70"/>
    <w:rsid w:val="00BF52E2"/>
    <w:rsid w:val="00BF7070"/>
    <w:rsid w:val="00C043C1"/>
    <w:rsid w:val="00C05D0E"/>
    <w:rsid w:val="00C1508C"/>
    <w:rsid w:val="00C16C2D"/>
    <w:rsid w:val="00C207B5"/>
    <w:rsid w:val="00C2159E"/>
    <w:rsid w:val="00C26EF4"/>
    <w:rsid w:val="00C326FE"/>
    <w:rsid w:val="00C403B4"/>
    <w:rsid w:val="00C4429F"/>
    <w:rsid w:val="00C450C7"/>
    <w:rsid w:val="00C461D9"/>
    <w:rsid w:val="00C5464E"/>
    <w:rsid w:val="00C61655"/>
    <w:rsid w:val="00C621F9"/>
    <w:rsid w:val="00C679FA"/>
    <w:rsid w:val="00C71FDA"/>
    <w:rsid w:val="00C74BEF"/>
    <w:rsid w:val="00C779A2"/>
    <w:rsid w:val="00C81E09"/>
    <w:rsid w:val="00C82B3D"/>
    <w:rsid w:val="00C83E72"/>
    <w:rsid w:val="00C84AE5"/>
    <w:rsid w:val="00C8775E"/>
    <w:rsid w:val="00C919B3"/>
    <w:rsid w:val="00CA0EF2"/>
    <w:rsid w:val="00CA1247"/>
    <w:rsid w:val="00CA69B0"/>
    <w:rsid w:val="00CA69D4"/>
    <w:rsid w:val="00CB0B53"/>
    <w:rsid w:val="00CB2E75"/>
    <w:rsid w:val="00CB3716"/>
    <w:rsid w:val="00CC050B"/>
    <w:rsid w:val="00CC3775"/>
    <w:rsid w:val="00CD207C"/>
    <w:rsid w:val="00CD4155"/>
    <w:rsid w:val="00CE1443"/>
    <w:rsid w:val="00CE65E9"/>
    <w:rsid w:val="00CF5D18"/>
    <w:rsid w:val="00CF6231"/>
    <w:rsid w:val="00CF7927"/>
    <w:rsid w:val="00D11308"/>
    <w:rsid w:val="00D144ED"/>
    <w:rsid w:val="00D21539"/>
    <w:rsid w:val="00D32B81"/>
    <w:rsid w:val="00D35FC3"/>
    <w:rsid w:val="00D37EB6"/>
    <w:rsid w:val="00D43E33"/>
    <w:rsid w:val="00D446A5"/>
    <w:rsid w:val="00D46DBF"/>
    <w:rsid w:val="00D50BF5"/>
    <w:rsid w:val="00D61D58"/>
    <w:rsid w:val="00D63EE6"/>
    <w:rsid w:val="00D63EFC"/>
    <w:rsid w:val="00D6575E"/>
    <w:rsid w:val="00D66141"/>
    <w:rsid w:val="00D66505"/>
    <w:rsid w:val="00D7236E"/>
    <w:rsid w:val="00D72A07"/>
    <w:rsid w:val="00D74FE2"/>
    <w:rsid w:val="00D84216"/>
    <w:rsid w:val="00D85435"/>
    <w:rsid w:val="00D93045"/>
    <w:rsid w:val="00DA6AF5"/>
    <w:rsid w:val="00DB22DA"/>
    <w:rsid w:val="00DB3B75"/>
    <w:rsid w:val="00DB45E2"/>
    <w:rsid w:val="00DC0336"/>
    <w:rsid w:val="00DC2A59"/>
    <w:rsid w:val="00DD2170"/>
    <w:rsid w:val="00DD38C0"/>
    <w:rsid w:val="00DD3934"/>
    <w:rsid w:val="00DD49DE"/>
    <w:rsid w:val="00DE244B"/>
    <w:rsid w:val="00DE2462"/>
    <w:rsid w:val="00DE4882"/>
    <w:rsid w:val="00DE6093"/>
    <w:rsid w:val="00DF0B95"/>
    <w:rsid w:val="00DF46DB"/>
    <w:rsid w:val="00E00138"/>
    <w:rsid w:val="00E04D12"/>
    <w:rsid w:val="00E05761"/>
    <w:rsid w:val="00E111C4"/>
    <w:rsid w:val="00E16826"/>
    <w:rsid w:val="00E17992"/>
    <w:rsid w:val="00E2356E"/>
    <w:rsid w:val="00E24F49"/>
    <w:rsid w:val="00E37D3E"/>
    <w:rsid w:val="00E423D7"/>
    <w:rsid w:val="00E45499"/>
    <w:rsid w:val="00E56061"/>
    <w:rsid w:val="00E61DE3"/>
    <w:rsid w:val="00E7310E"/>
    <w:rsid w:val="00E73551"/>
    <w:rsid w:val="00E7753F"/>
    <w:rsid w:val="00E814BB"/>
    <w:rsid w:val="00E83F60"/>
    <w:rsid w:val="00E95557"/>
    <w:rsid w:val="00E96229"/>
    <w:rsid w:val="00E97DE1"/>
    <w:rsid w:val="00EA3205"/>
    <w:rsid w:val="00EA387E"/>
    <w:rsid w:val="00EA427F"/>
    <w:rsid w:val="00EB02F2"/>
    <w:rsid w:val="00EB08E9"/>
    <w:rsid w:val="00EB5750"/>
    <w:rsid w:val="00EC0614"/>
    <w:rsid w:val="00EC3088"/>
    <w:rsid w:val="00EC4EFA"/>
    <w:rsid w:val="00ED4E5F"/>
    <w:rsid w:val="00EE5469"/>
    <w:rsid w:val="00EF0787"/>
    <w:rsid w:val="00EF5DDE"/>
    <w:rsid w:val="00EF717F"/>
    <w:rsid w:val="00F0136F"/>
    <w:rsid w:val="00F02376"/>
    <w:rsid w:val="00F11AA7"/>
    <w:rsid w:val="00F12B3A"/>
    <w:rsid w:val="00F23B20"/>
    <w:rsid w:val="00F2584C"/>
    <w:rsid w:val="00F4108E"/>
    <w:rsid w:val="00F529D0"/>
    <w:rsid w:val="00F5744C"/>
    <w:rsid w:val="00F60916"/>
    <w:rsid w:val="00F641A0"/>
    <w:rsid w:val="00F66580"/>
    <w:rsid w:val="00F66949"/>
    <w:rsid w:val="00F679C9"/>
    <w:rsid w:val="00F7244B"/>
    <w:rsid w:val="00F73E77"/>
    <w:rsid w:val="00F75040"/>
    <w:rsid w:val="00F82B87"/>
    <w:rsid w:val="00F83C94"/>
    <w:rsid w:val="00F848BF"/>
    <w:rsid w:val="00F864BD"/>
    <w:rsid w:val="00F869F5"/>
    <w:rsid w:val="00F8742C"/>
    <w:rsid w:val="00F9634C"/>
    <w:rsid w:val="00FA34D9"/>
    <w:rsid w:val="00FA6FF8"/>
    <w:rsid w:val="00FA75DF"/>
    <w:rsid w:val="00FB0DDC"/>
    <w:rsid w:val="00FC37FF"/>
    <w:rsid w:val="00FC7D96"/>
    <w:rsid w:val="00FD51E4"/>
    <w:rsid w:val="00FD58ED"/>
    <w:rsid w:val="00FD7478"/>
    <w:rsid w:val="00FE4D48"/>
    <w:rsid w:val="00FE791F"/>
    <w:rsid w:val="00FF2E04"/>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0F856"/>
  <w15:docId w15:val="{DEA4F4BB-B399-4B52-8C04-2F9AE1D6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170C"/>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6847B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table" w:customStyle="1" w:styleId="TableGrid21">
    <w:name w:val="Table Grid21"/>
    <w:basedOn w:val="TableNormal"/>
    <w:next w:val="TableGrid"/>
    <w:uiPriority w:val="59"/>
    <w:rsid w:val="006C7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980"/>
    <w:rPr>
      <w:color w:val="808080"/>
      <w:shd w:val="clear" w:color="auto" w:fill="E6E6E6"/>
    </w:rPr>
  </w:style>
  <w:style w:type="paragraph" w:styleId="EndnoteText">
    <w:name w:val="endnote text"/>
    <w:basedOn w:val="Normal"/>
    <w:link w:val="EndnoteTextChar"/>
    <w:uiPriority w:val="99"/>
    <w:semiHidden/>
    <w:unhideWhenUsed/>
    <w:rsid w:val="0015600E"/>
    <w:pPr>
      <w:spacing w:line="240" w:lineRule="auto"/>
    </w:pPr>
    <w:rPr>
      <w:sz w:val="20"/>
      <w:szCs w:val="20"/>
    </w:rPr>
  </w:style>
  <w:style w:type="character" w:customStyle="1" w:styleId="EndnoteTextChar">
    <w:name w:val="Endnote Text Char"/>
    <w:basedOn w:val="DefaultParagraphFont"/>
    <w:link w:val="EndnoteText"/>
    <w:uiPriority w:val="99"/>
    <w:semiHidden/>
    <w:rsid w:val="0015600E"/>
    <w:rPr>
      <w:sz w:val="20"/>
      <w:szCs w:val="20"/>
    </w:rPr>
  </w:style>
  <w:style w:type="character" w:styleId="EndnoteReference">
    <w:name w:val="endnote reference"/>
    <w:basedOn w:val="DefaultParagraphFont"/>
    <w:uiPriority w:val="99"/>
    <w:semiHidden/>
    <w:unhideWhenUsed/>
    <w:rsid w:val="0015600E"/>
    <w:rPr>
      <w:vertAlign w:val="superscript"/>
    </w:rPr>
  </w:style>
  <w:style w:type="paragraph" w:styleId="NormalWeb">
    <w:name w:val="Normal (Web)"/>
    <w:basedOn w:val="Normal"/>
    <w:uiPriority w:val="99"/>
    <w:semiHidden/>
    <w:unhideWhenUsed/>
    <w:rsid w:val="00D63EE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4AE5"/>
  </w:style>
  <w:style w:type="character" w:customStyle="1" w:styleId="Heading3Char">
    <w:name w:val="Heading 3 Char"/>
    <w:basedOn w:val="DefaultParagraphFont"/>
    <w:link w:val="Heading3"/>
    <w:uiPriority w:val="9"/>
    <w:semiHidden/>
    <w:rsid w:val="006847B5"/>
    <w:rPr>
      <w:rFonts w:asciiTheme="majorHAnsi" w:eastAsiaTheme="majorEastAsia" w:hAnsiTheme="majorHAnsi" w:cstheme="majorBidi"/>
      <w:color w:val="1F4D78" w:themeColor="accent1" w:themeShade="7F"/>
      <w:sz w:val="24"/>
      <w:szCs w:val="24"/>
    </w:rPr>
  </w:style>
  <w:style w:type="table" w:customStyle="1" w:styleId="TableGrid4">
    <w:name w:val="Table Grid4"/>
    <w:basedOn w:val="TableNormal"/>
    <w:next w:val="TableGrid"/>
    <w:uiPriority w:val="59"/>
    <w:rsid w:val="003A6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earformatting">
    <w:name w:val="clearformatting"/>
    <w:basedOn w:val="DefaultParagraphFont"/>
    <w:rsid w:val="0016120D"/>
  </w:style>
  <w:style w:type="character" w:customStyle="1" w:styleId="pfn-container">
    <w:name w:val="pfn-container"/>
    <w:basedOn w:val="DefaultParagraphFont"/>
    <w:rsid w:val="00161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5625">
      <w:bodyDiv w:val="1"/>
      <w:marLeft w:val="0"/>
      <w:marRight w:val="0"/>
      <w:marTop w:val="0"/>
      <w:marBottom w:val="0"/>
      <w:divBdr>
        <w:top w:val="none" w:sz="0" w:space="0" w:color="auto"/>
        <w:left w:val="none" w:sz="0" w:space="0" w:color="auto"/>
        <w:bottom w:val="none" w:sz="0" w:space="0" w:color="auto"/>
        <w:right w:val="none" w:sz="0" w:space="0" w:color="auto"/>
      </w:divBdr>
    </w:div>
    <w:div w:id="60450536">
      <w:bodyDiv w:val="1"/>
      <w:marLeft w:val="0"/>
      <w:marRight w:val="0"/>
      <w:marTop w:val="0"/>
      <w:marBottom w:val="0"/>
      <w:divBdr>
        <w:top w:val="none" w:sz="0" w:space="0" w:color="auto"/>
        <w:left w:val="none" w:sz="0" w:space="0" w:color="auto"/>
        <w:bottom w:val="none" w:sz="0" w:space="0" w:color="auto"/>
        <w:right w:val="none" w:sz="0" w:space="0" w:color="auto"/>
      </w:divBdr>
    </w:div>
    <w:div w:id="335693669">
      <w:bodyDiv w:val="1"/>
      <w:marLeft w:val="0"/>
      <w:marRight w:val="0"/>
      <w:marTop w:val="0"/>
      <w:marBottom w:val="0"/>
      <w:divBdr>
        <w:top w:val="none" w:sz="0" w:space="0" w:color="auto"/>
        <w:left w:val="none" w:sz="0" w:space="0" w:color="auto"/>
        <w:bottom w:val="none" w:sz="0" w:space="0" w:color="auto"/>
        <w:right w:val="none" w:sz="0" w:space="0" w:color="auto"/>
      </w:divBdr>
    </w:div>
    <w:div w:id="352387834">
      <w:bodyDiv w:val="1"/>
      <w:marLeft w:val="0"/>
      <w:marRight w:val="0"/>
      <w:marTop w:val="0"/>
      <w:marBottom w:val="0"/>
      <w:divBdr>
        <w:top w:val="none" w:sz="0" w:space="0" w:color="auto"/>
        <w:left w:val="none" w:sz="0" w:space="0" w:color="auto"/>
        <w:bottom w:val="none" w:sz="0" w:space="0" w:color="auto"/>
        <w:right w:val="none" w:sz="0" w:space="0" w:color="auto"/>
      </w:divBdr>
    </w:div>
    <w:div w:id="376972508">
      <w:bodyDiv w:val="1"/>
      <w:marLeft w:val="0"/>
      <w:marRight w:val="0"/>
      <w:marTop w:val="0"/>
      <w:marBottom w:val="0"/>
      <w:divBdr>
        <w:top w:val="none" w:sz="0" w:space="0" w:color="auto"/>
        <w:left w:val="none" w:sz="0" w:space="0" w:color="auto"/>
        <w:bottom w:val="none" w:sz="0" w:space="0" w:color="auto"/>
        <w:right w:val="none" w:sz="0" w:space="0" w:color="auto"/>
      </w:divBdr>
    </w:div>
    <w:div w:id="400710803">
      <w:bodyDiv w:val="1"/>
      <w:marLeft w:val="0"/>
      <w:marRight w:val="0"/>
      <w:marTop w:val="0"/>
      <w:marBottom w:val="0"/>
      <w:divBdr>
        <w:top w:val="none" w:sz="0" w:space="0" w:color="auto"/>
        <w:left w:val="none" w:sz="0" w:space="0" w:color="auto"/>
        <w:bottom w:val="none" w:sz="0" w:space="0" w:color="auto"/>
        <w:right w:val="none" w:sz="0" w:space="0" w:color="auto"/>
      </w:divBdr>
    </w:div>
    <w:div w:id="415787492">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30781664">
      <w:bodyDiv w:val="1"/>
      <w:marLeft w:val="0"/>
      <w:marRight w:val="0"/>
      <w:marTop w:val="0"/>
      <w:marBottom w:val="0"/>
      <w:divBdr>
        <w:top w:val="none" w:sz="0" w:space="0" w:color="auto"/>
        <w:left w:val="none" w:sz="0" w:space="0" w:color="auto"/>
        <w:bottom w:val="none" w:sz="0" w:space="0" w:color="auto"/>
        <w:right w:val="none" w:sz="0" w:space="0" w:color="auto"/>
      </w:divBdr>
    </w:div>
    <w:div w:id="431634766">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7644">
      <w:bodyDiv w:val="1"/>
      <w:marLeft w:val="0"/>
      <w:marRight w:val="0"/>
      <w:marTop w:val="0"/>
      <w:marBottom w:val="0"/>
      <w:divBdr>
        <w:top w:val="none" w:sz="0" w:space="0" w:color="auto"/>
        <w:left w:val="none" w:sz="0" w:space="0" w:color="auto"/>
        <w:bottom w:val="none" w:sz="0" w:space="0" w:color="auto"/>
        <w:right w:val="none" w:sz="0" w:space="0" w:color="auto"/>
      </w:divBdr>
    </w:div>
    <w:div w:id="496383961">
      <w:bodyDiv w:val="1"/>
      <w:marLeft w:val="0"/>
      <w:marRight w:val="0"/>
      <w:marTop w:val="0"/>
      <w:marBottom w:val="0"/>
      <w:divBdr>
        <w:top w:val="none" w:sz="0" w:space="0" w:color="auto"/>
        <w:left w:val="none" w:sz="0" w:space="0" w:color="auto"/>
        <w:bottom w:val="none" w:sz="0" w:space="0" w:color="auto"/>
        <w:right w:val="none" w:sz="0" w:space="0" w:color="auto"/>
      </w:divBdr>
    </w:div>
    <w:div w:id="549270532">
      <w:bodyDiv w:val="1"/>
      <w:marLeft w:val="0"/>
      <w:marRight w:val="0"/>
      <w:marTop w:val="0"/>
      <w:marBottom w:val="0"/>
      <w:divBdr>
        <w:top w:val="none" w:sz="0" w:space="0" w:color="auto"/>
        <w:left w:val="none" w:sz="0" w:space="0" w:color="auto"/>
        <w:bottom w:val="none" w:sz="0" w:space="0" w:color="auto"/>
        <w:right w:val="none" w:sz="0" w:space="0" w:color="auto"/>
      </w:divBdr>
    </w:div>
    <w:div w:id="619649694">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742798019">
      <w:bodyDiv w:val="1"/>
      <w:marLeft w:val="0"/>
      <w:marRight w:val="0"/>
      <w:marTop w:val="0"/>
      <w:marBottom w:val="0"/>
      <w:divBdr>
        <w:top w:val="none" w:sz="0" w:space="0" w:color="auto"/>
        <w:left w:val="none" w:sz="0" w:space="0" w:color="auto"/>
        <w:bottom w:val="none" w:sz="0" w:space="0" w:color="auto"/>
        <w:right w:val="none" w:sz="0" w:space="0" w:color="auto"/>
      </w:divBdr>
    </w:div>
    <w:div w:id="770931024">
      <w:bodyDiv w:val="1"/>
      <w:marLeft w:val="0"/>
      <w:marRight w:val="0"/>
      <w:marTop w:val="0"/>
      <w:marBottom w:val="0"/>
      <w:divBdr>
        <w:top w:val="none" w:sz="0" w:space="0" w:color="auto"/>
        <w:left w:val="none" w:sz="0" w:space="0" w:color="auto"/>
        <w:bottom w:val="none" w:sz="0" w:space="0" w:color="auto"/>
        <w:right w:val="none" w:sz="0" w:space="0" w:color="auto"/>
      </w:divBdr>
    </w:div>
    <w:div w:id="784616334">
      <w:bodyDiv w:val="1"/>
      <w:marLeft w:val="0"/>
      <w:marRight w:val="0"/>
      <w:marTop w:val="0"/>
      <w:marBottom w:val="0"/>
      <w:divBdr>
        <w:top w:val="none" w:sz="0" w:space="0" w:color="auto"/>
        <w:left w:val="none" w:sz="0" w:space="0" w:color="auto"/>
        <w:bottom w:val="none" w:sz="0" w:space="0" w:color="auto"/>
        <w:right w:val="none" w:sz="0" w:space="0" w:color="auto"/>
      </w:divBdr>
    </w:div>
    <w:div w:id="860977530">
      <w:bodyDiv w:val="1"/>
      <w:marLeft w:val="0"/>
      <w:marRight w:val="0"/>
      <w:marTop w:val="0"/>
      <w:marBottom w:val="0"/>
      <w:divBdr>
        <w:top w:val="none" w:sz="0" w:space="0" w:color="auto"/>
        <w:left w:val="none" w:sz="0" w:space="0" w:color="auto"/>
        <w:bottom w:val="none" w:sz="0" w:space="0" w:color="auto"/>
        <w:right w:val="none" w:sz="0" w:space="0" w:color="auto"/>
      </w:divBdr>
    </w:div>
    <w:div w:id="873350846">
      <w:bodyDiv w:val="1"/>
      <w:marLeft w:val="0"/>
      <w:marRight w:val="0"/>
      <w:marTop w:val="0"/>
      <w:marBottom w:val="0"/>
      <w:divBdr>
        <w:top w:val="none" w:sz="0" w:space="0" w:color="auto"/>
        <w:left w:val="none" w:sz="0" w:space="0" w:color="auto"/>
        <w:bottom w:val="none" w:sz="0" w:space="0" w:color="auto"/>
        <w:right w:val="none" w:sz="0" w:space="0" w:color="auto"/>
      </w:divBdr>
    </w:div>
    <w:div w:id="912932263">
      <w:bodyDiv w:val="1"/>
      <w:marLeft w:val="0"/>
      <w:marRight w:val="0"/>
      <w:marTop w:val="0"/>
      <w:marBottom w:val="0"/>
      <w:divBdr>
        <w:top w:val="none" w:sz="0" w:space="0" w:color="auto"/>
        <w:left w:val="none" w:sz="0" w:space="0" w:color="auto"/>
        <w:bottom w:val="none" w:sz="0" w:space="0" w:color="auto"/>
        <w:right w:val="none" w:sz="0" w:space="0" w:color="auto"/>
      </w:divBdr>
    </w:div>
    <w:div w:id="932280873">
      <w:bodyDiv w:val="1"/>
      <w:marLeft w:val="0"/>
      <w:marRight w:val="0"/>
      <w:marTop w:val="0"/>
      <w:marBottom w:val="0"/>
      <w:divBdr>
        <w:top w:val="none" w:sz="0" w:space="0" w:color="auto"/>
        <w:left w:val="none" w:sz="0" w:space="0" w:color="auto"/>
        <w:bottom w:val="none" w:sz="0" w:space="0" w:color="auto"/>
        <w:right w:val="none" w:sz="0" w:space="0" w:color="auto"/>
      </w:divBdr>
    </w:div>
    <w:div w:id="963733958">
      <w:bodyDiv w:val="1"/>
      <w:marLeft w:val="0"/>
      <w:marRight w:val="0"/>
      <w:marTop w:val="0"/>
      <w:marBottom w:val="0"/>
      <w:divBdr>
        <w:top w:val="none" w:sz="0" w:space="0" w:color="auto"/>
        <w:left w:val="none" w:sz="0" w:space="0" w:color="auto"/>
        <w:bottom w:val="none" w:sz="0" w:space="0" w:color="auto"/>
        <w:right w:val="none" w:sz="0" w:space="0" w:color="auto"/>
      </w:divBdr>
    </w:div>
    <w:div w:id="977538867">
      <w:bodyDiv w:val="1"/>
      <w:marLeft w:val="0"/>
      <w:marRight w:val="0"/>
      <w:marTop w:val="0"/>
      <w:marBottom w:val="0"/>
      <w:divBdr>
        <w:top w:val="none" w:sz="0" w:space="0" w:color="auto"/>
        <w:left w:val="none" w:sz="0" w:space="0" w:color="auto"/>
        <w:bottom w:val="none" w:sz="0" w:space="0" w:color="auto"/>
        <w:right w:val="none" w:sz="0" w:space="0" w:color="auto"/>
      </w:divBdr>
    </w:div>
    <w:div w:id="1155606472">
      <w:bodyDiv w:val="1"/>
      <w:marLeft w:val="0"/>
      <w:marRight w:val="0"/>
      <w:marTop w:val="0"/>
      <w:marBottom w:val="0"/>
      <w:divBdr>
        <w:top w:val="none" w:sz="0" w:space="0" w:color="auto"/>
        <w:left w:val="none" w:sz="0" w:space="0" w:color="auto"/>
        <w:bottom w:val="none" w:sz="0" w:space="0" w:color="auto"/>
        <w:right w:val="none" w:sz="0" w:space="0" w:color="auto"/>
      </w:divBdr>
    </w:div>
    <w:div w:id="1184128268">
      <w:bodyDiv w:val="1"/>
      <w:marLeft w:val="0"/>
      <w:marRight w:val="0"/>
      <w:marTop w:val="0"/>
      <w:marBottom w:val="0"/>
      <w:divBdr>
        <w:top w:val="none" w:sz="0" w:space="0" w:color="auto"/>
        <w:left w:val="none" w:sz="0" w:space="0" w:color="auto"/>
        <w:bottom w:val="none" w:sz="0" w:space="0" w:color="auto"/>
        <w:right w:val="none" w:sz="0" w:space="0" w:color="auto"/>
      </w:divBdr>
    </w:div>
    <w:div w:id="1260987785">
      <w:bodyDiv w:val="1"/>
      <w:marLeft w:val="0"/>
      <w:marRight w:val="0"/>
      <w:marTop w:val="0"/>
      <w:marBottom w:val="0"/>
      <w:divBdr>
        <w:top w:val="none" w:sz="0" w:space="0" w:color="auto"/>
        <w:left w:val="none" w:sz="0" w:space="0" w:color="auto"/>
        <w:bottom w:val="none" w:sz="0" w:space="0" w:color="auto"/>
        <w:right w:val="none" w:sz="0" w:space="0" w:color="auto"/>
      </w:divBdr>
    </w:div>
    <w:div w:id="1289049128">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337001503">
      <w:bodyDiv w:val="1"/>
      <w:marLeft w:val="0"/>
      <w:marRight w:val="0"/>
      <w:marTop w:val="0"/>
      <w:marBottom w:val="0"/>
      <w:divBdr>
        <w:top w:val="none" w:sz="0" w:space="0" w:color="auto"/>
        <w:left w:val="none" w:sz="0" w:space="0" w:color="auto"/>
        <w:bottom w:val="none" w:sz="0" w:space="0" w:color="auto"/>
        <w:right w:val="none" w:sz="0" w:space="0" w:color="auto"/>
      </w:divBdr>
    </w:div>
    <w:div w:id="1417553033">
      <w:bodyDiv w:val="1"/>
      <w:marLeft w:val="0"/>
      <w:marRight w:val="0"/>
      <w:marTop w:val="0"/>
      <w:marBottom w:val="0"/>
      <w:divBdr>
        <w:top w:val="none" w:sz="0" w:space="0" w:color="auto"/>
        <w:left w:val="none" w:sz="0" w:space="0" w:color="auto"/>
        <w:bottom w:val="none" w:sz="0" w:space="0" w:color="auto"/>
        <w:right w:val="none" w:sz="0" w:space="0" w:color="auto"/>
      </w:divBdr>
    </w:div>
    <w:div w:id="1447430600">
      <w:bodyDiv w:val="1"/>
      <w:marLeft w:val="0"/>
      <w:marRight w:val="0"/>
      <w:marTop w:val="0"/>
      <w:marBottom w:val="0"/>
      <w:divBdr>
        <w:top w:val="none" w:sz="0" w:space="0" w:color="auto"/>
        <w:left w:val="none" w:sz="0" w:space="0" w:color="auto"/>
        <w:bottom w:val="none" w:sz="0" w:space="0" w:color="auto"/>
        <w:right w:val="none" w:sz="0" w:space="0" w:color="auto"/>
      </w:divBdr>
    </w:div>
    <w:div w:id="1479374579">
      <w:bodyDiv w:val="1"/>
      <w:marLeft w:val="0"/>
      <w:marRight w:val="0"/>
      <w:marTop w:val="0"/>
      <w:marBottom w:val="0"/>
      <w:divBdr>
        <w:top w:val="none" w:sz="0" w:space="0" w:color="auto"/>
        <w:left w:val="none" w:sz="0" w:space="0" w:color="auto"/>
        <w:bottom w:val="none" w:sz="0" w:space="0" w:color="auto"/>
        <w:right w:val="none" w:sz="0" w:space="0" w:color="auto"/>
      </w:divBdr>
    </w:div>
    <w:div w:id="1513447120">
      <w:bodyDiv w:val="1"/>
      <w:marLeft w:val="0"/>
      <w:marRight w:val="0"/>
      <w:marTop w:val="0"/>
      <w:marBottom w:val="0"/>
      <w:divBdr>
        <w:top w:val="none" w:sz="0" w:space="0" w:color="auto"/>
        <w:left w:val="none" w:sz="0" w:space="0" w:color="auto"/>
        <w:bottom w:val="none" w:sz="0" w:space="0" w:color="auto"/>
        <w:right w:val="none" w:sz="0" w:space="0" w:color="auto"/>
      </w:divBdr>
    </w:div>
    <w:div w:id="1686323314">
      <w:bodyDiv w:val="1"/>
      <w:marLeft w:val="0"/>
      <w:marRight w:val="0"/>
      <w:marTop w:val="0"/>
      <w:marBottom w:val="0"/>
      <w:divBdr>
        <w:top w:val="none" w:sz="0" w:space="0" w:color="auto"/>
        <w:left w:val="none" w:sz="0" w:space="0" w:color="auto"/>
        <w:bottom w:val="none" w:sz="0" w:space="0" w:color="auto"/>
        <w:right w:val="none" w:sz="0" w:space="0" w:color="auto"/>
      </w:divBdr>
    </w:div>
    <w:div w:id="1803309023">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1864241262">
      <w:bodyDiv w:val="1"/>
      <w:marLeft w:val="0"/>
      <w:marRight w:val="0"/>
      <w:marTop w:val="0"/>
      <w:marBottom w:val="0"/>
      <w:divBdr>
        <w:top w:val="none" w:sz="0" w:space="0" w:color="auto"/>
        <w:left w:val="none" w:sz="0" w:space="0" w:color="auto"/>
        <w:bottom w:val="none" w:sz="0" w:space="0" w:color="auto"/>
        <w:right w:val="none" w:sz="0" w:space="0" w:color="auto"/>
      </w:divBdr>
    </w:div>
    <w:div w:id="2009360362">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66677986">
      <w:bodyDiv w:val="1"/>
      <w:marLeft w:val="0"/>
      <w:marRight w:val="0"/>
      <w:marTop w:val="0"/>
      <w:marBottom w:val="0"/>
      <w:divBdr>
        <w:top w:val="none" w:sz="0" w:space="0" w:color="auto"/>
        <w:left w:val="none" w:sz="0" w:space="0" w:color="auto"/>
        <w:bottom w:val="none" w:sz="0" w:space="0" w:color="auto"/>
        <w:right w:val="none" w:sz="0" w:space="0" w:color="auto"/>
      </w:divBdr>
    </w:div>
    <w:div w:id="2085831097">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caobus.org/Standards/Auditing/Pages/AS1210.aspx" TargetMode="External"/><Relationship Id="rId22" Type="http://schemas.openxmlformats.org/officeDocument/2006/relationships/header" Target="header3.xml"/><Relationship Id="rId27"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aswathdamodaran.blogspot.com/2010/03/goodwill-plug-variable-or-real-asset.html" TargetMode="External"/><Relationship Id="rId1" Type="http://schemas.openxmlformats.org/officeDocument/2006/relationships/hyperlink" Target="http://www.investopedia.com/articles/fundamental/04/011404.as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4.xml><?xml version="1.0" encoding="utf-8"?>
<ds:datastoreItem xmlns:ds="http://schemas.openxmlformats.org/officeDocument/2006/customXml" ds:itemID="{619A7024-D565-4902-81D8-4E1131DE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17</Pages>
  <Words>4731</Words>
  <Characters>26973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4</cp:revision>
  <cp:lastPrinted>2017-10-02T20:26:00Z</cp:lastPrinted>
  <dcterms:created xsi:type="dcterms:W3CDTF">2017-11-08T21:33:00Z</dcterms:created>
  <dcterms:modified xsi:type="dcterms:W3CDTF">2017-11-14T16:52:00Z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