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Checkout API 2.4.0 release evidence</w:t>
      </w:r>
    </w:p>
    <w:p>
      <w:pPr>
        <w:pStyle w:val="Heading2"/>
      </w:pPr>
      <w:r>
        <w:t xml:space="preserve">Release identity</w:t>
      </w:r>
    </w:p>
    <w:tbl>
      <w:tblPr/>
      <w:tblGrid/>
      <w:tr>
        <w:trPr>
          <w:tblHeader/>
        </w:trPr>
        <w:tc>
          <w:p>
            <w:pPr/>
            <w:r>
              <w:t xml:space="preserve">Field</w:t>
            </w:r>
          </w:p>
        </w:tc>
        <w:tc>
          <w:p>
            <w:pPr/>
            <w:r>
              <w:t xml:space="preserve">Value</w:t>
            </w:r>
          </w:p>
        </w:tc>
      </w:tr>
      <w:tr>
        <w:tc>
          <w:p>
            <w:pPr/>
            <w:r>
              <w:t xml:space="preserve">Service</w:t>
            </w:r>
          </w:p>
        </w:tc>
        <w:tc>
          <w:p>
            <w:pPr/>
            <w:r>
              <w:t xml:space="preserve">checkout-api</w:t>
            </w:r>
          </w:p>
        </w:tc>
      </w:tr>
      <w:tr>
        <w:tc>
          <w:p>
            <w:pPr/>
            <w:r>
              <w:t xml:space="preserve">Version</w:t>
            </w:r>
          </w:p>
        </w:tc>
        <w:tc>
          <w:p>
            <w:pPr/>
            <w:r>
              <w:t xml:space="preserve">2.4.0</w:t>
            </w:r>
          </w:p>
        </w:tc>
      </w:tr>
      <w:tr>
        <w:tc>
          <w:p>
            <w:pPr/>
            <w:r>
              <w:t xml:space="preserve">Pull request</w:t>
            </w:r>
          </w:p>
        </w:tc>
        <w:tc>
          <w:p>
            <w:pPr/>
            <w:r>
              <w:t xml:space="preserve">1842</w:t>
            </w:r>
          </w:p>
        </w:tc>
      </w:tr>
      <w:tr>
        <w:tc>
          <w:p>
            <w:pPr/>
            <w:r>
              <w:t xml:space="preserve">Candidate image</w:t>
            </w:r>
          </w:p>
        </w:tc>
        <w:tc>
          <w:p>
            <w:pPr/>
            <w:r>
              <w:t xml:space="preserve">checkout-api:pr-1842</w:t>
            </w:r>
          </w:p>
        </w:tc>
      </w:tr>
    </w:tbl>
    <w:p>
      <w:pPr>
        <w:pStyle w:val="Heading2"/>
      </w:pPr>
      <w:r>
        <w:t xml:space="preserve">Change summary</w:t>
      </w:r>
    </w:p>
    <w:p>
      <w:pPr/>
      <w:r>
        <w:t xml:space="preserve">The application pull request changed src/config.ts, src/server.ts, and test/server.test.ts. The deployment template was not changed in pull request 1842.</w:t>
      </w:r>
    </w:p>
    <w:p>
      <w:pPr>
        <w:pStyle w:val="Heading2"/>
      </w:pPr>
      <w:r>
        <w:t xml:space="preserve">Build evidence</w:t>
      </w:r>
    </w:p>
    <w:tbl>
      <w:tblPr/>
      <w:tblGrid/>
      <w:tr>
        <w:trPr>
          <w:tblHeader/>
        </w:trPr>
        <w:tc>
          <w:p>
            <w:pPr/>
            <w:r>
              <w:t xml:space="preserve">Check</w:t>
            </w:r>
          </w:p>
        </w:tc>
        <w:tc>
          <w:p>
            <w:pPr/>
            <w:r>
              <w:t xml:space="preserve">Result</w:t>
            </w:r>
          </w:p>
        </w:tc>
        <w:tc>
          <w:p>
            <w:pPr/>
            <w:r>
              <w:t xml:space="preserve">Notes</w:t>
            </w:r>
          </w:p>
        </w:tc>
      </w:tr>
      <w:tr>
        <w:tc>
          <w:p>
            <w:pPr/>
            <w:r>
              <w:t xml:space="preserve">Application build</w:t>
            </w:r>
          </w:p>
        </w:tc>
        <w:tc>
          <w:p>
            <w:pPr/>
            <w:r>
              <w:t xml:space="preserve">Passed</w:t>
            </w:r>
          </w:p>
        </w:tc>
        <w:tc>
          <w:p>
            <w:pPr/>
            <w:r>
              <w:t xml:space="preserve">Exit code 0</w:t>
            </w:r>
          </w:p>
        </w:tc>
      </w:tr>
      <w:tr>
        <w:tc>
          <w:p>
            <w:pPr/>
            <w:r>
              <w:t xml:space="preserve">Container build</w:t>
            </w:r>
          </w:p>
        </w:tc>
        <w:tc>
          <w:p>
            <w:pPr/>
            <w:r>
              <w:t xml:space="preserve">Passed</w:t>
            </w:r>
          </w:p>
        </w:tc>
        <w:tc>
          <w:p>
            <w:pPr/>
            <w:r>
              <w:t xml:space="preserve">Reproducible digest recorded</w:t>
            </w:r>
          </w:p>
        </w:tc>
      </w:tr>
      <w:tr>
        <w:tc>
          <w:p>
            <w:pPr/>
            <w:r>
              <w:t xml:space="preserve">Container push</w:t>
            </w:r>
          </w:p>
        </w:tc>
        <w:tc>
          <w:p>
            <w:pPr/>
            <w:r>
              <w:t xml:space="preserve">Passed</w:t>
            </w:r>
          </w:p>
        </w:tc>
        <w:tc>
          <w:p>
            <w:pPr/>
            <w:r>
              <w:t xml:space="preserve">Registry acknowledged digest</w:t>
            </w:r>
          </w:p>
        </w:tc>
      </w:tr>
      <w:tr>
        <w:tc>
          <w:p>
            <w:pPr/>
            <w:r>
              <w:t xml:space="preserve">Source-map upload</w:t>
            </w:r>
          </w:p>
        </w:tc>
        <w:tc>
          <w:p>
            <w:pPr/>
            <w:r>
              <w:t xml:space="preserve">Warning</w:t>
            </w:r>
          </w:p>
        </w:tc>
        <w:tc>
          <w:p>
            <w:pPr/>
            <w:r>
              <w:t xml:space="preserve">Optional continue-on-error step returned 403</w:t>
            </w:r>
          </w:p>
        </w:tc>
      </w:tr>
    </w:tbl>
    <w:p>
      <w:pPr>
        <w:pStyle w:val="Heading2"/>
      </w:pPr>
      <w:r>
        <w:t xml:space="preserve">Runtime contract RFC-27</w:t>
      </w:r>
    </w:p>
    <w:p>
      <w:pPr/>
      <w:r>
        <w:t xml:space="preserve">Services that adopt RFC-27 consume PORT and do not consume the legacy APP_PORT name.</w:t>
      </w:r>
    </w:p>
    <w:tbl>
      <w:tblPr/>
      <w:tblGrid/>
      <w:tr>
        <w:trPr>
          <w:tblHeader/>
        </w:trPr>
        <w:tc>
          <w:p>
            <w:pPr/>
            <w:r>
              <w:t xml:space="preserve">Setting</w:t>
            </w:r>
          </w:p>
        </w:tc>
        <w:tc>
          <w:p>
            <w:pPr/>
            <w:r>
              <w:t xml:space="preserve">Contract</w:t>
            </w:r>
          </w:p>
        </w:tc>
      </w:tr>
      <w:tr>
        <w:tc>
          <w:p>
            <w:pPr/>
            <w:r>
              <w:t xml:space="preserve">Listener environment variable</w:t>
            </w:r>
          </w:p>
        </w:tc>
        <w:tc>
          <w:p>
            <w:pPr/>
            <w:r>
              <w:t xml:space="preserve">PORT</w:t>
            </w:r>
          </w:p>
        </w:tc>
      </w:tr>
      <w:tr>
        <w:tc>
          <w:p>
            <w:pPr/>
            <w:r>
              <w:t xml:space="preserve">Local default</w:t>
            </w:r>
          </w:p>
        </w:tc>
        <w:tc>
          <w:p>
            <w:pPr/>
            <w:r>
              <w:t xml:space="preserve">3000</w:t>
            </w:r>
          </w:p>
        </w:tc>
      </w:tr>
      <w:tr>
        <w:tc>
          <w:p>
            <w:pPr/>
            <w:r>
              <w:t xml:space="preserve">Deployed value</w:t>
            </w:r>
          </w:p>
        </w:tc>
        <w:tc>
          <w:p>
            <w:pPr/>
            <w:r>
              <w:t xml:space="preserve">8080</w:t>
            </w:r>
          </w:p>
        </w:tc>
      </w:tr>
      <w:tr>
        <w:tc>
          <w:p>
            <w:pPr/>
            <w:r>
              <w:t xml:space="preserve">Bind address</w:t>
            </w:r>
          </w:p>
        </w:tc>
        <w:tc>
          <w:p>
            <w:pPr/>
            <w:r>
              <w:t xml:space="preserve">0.0.0.0</w:t>
            </w:r>
          </w:p>
        </w:tc>
      </w:tr>
      <w:tr>
        <w:tc>
          <w:p>
            <w:pPr/>
            <w:r>
              <w:t xml:space="preserve">Standard health route</w:t>
            </w:r>
          </w:p>
        </w:tc>
        <w:tc>
          <w:p>
            <w:pPr/>
            <w:r>
              <w:t xml:space="preserve">/healthz</w:t>
            </w:r>
          </w:p>
        </w:tc>
      </w:tr>
    </w:tbl>
    <w:p>
      <w:pPr>
        <w:pStyle w:val="Heading2"/>
      </w:pPr>
      <w:r>
        <w:t xml:space="preserve">Deployment policy</w:t>
      </w:r>
    </w:p>
    <w:tbl>
      <w:tblPr/>
      <w:tblGrid/>
      <w:tr>
        <w:trPr>
          <w:tblHeader/>
        </w:trPr>
        <w:tc>
          <w:p>
            <w:pPr/>
            <w:r>
              <w:t xml:space="preserve">Policy</w:t>
            </w:r>
          </w:p>
        </w:tc>
        <w:tc>
          <w:p>
            <w:pPr/>
            <w:r>
              <w:t xml:space="preserve">Candidate value</w:t>
            </w:r>
          </w:p>
        </w:tc>
        <w:tc>
          <w:p>
            <w:pPr/>
            <w:r>
              <w:t xml:space="preserve">Result</w:t>
            </w:r>
          </w:p>
        </w:tc>
      </w:tr>
      <w:tr>
        <w:tc>
          <w:p>
            <w:pPr/>
            <w:r>
              <w:t xml:space="preserve">Ingress target</w:t>
            </w:r>
          </w:p>
        </w:tc>
        <w:tc>
          <w:p>
            <w:pPr/>
            <w:r>
              <w:t xml:space="preserve">8080</w:t>
            </w:r>
          </w:p>
        </w:tc>
        <w:tc>
          <w:p>
            <w:pPr/>
            <w:r>
              <w:t xml:space="preserve">Passed</w:t>
            </w:r>
          </w:p>
        </w:tc>
      </w:tr>
      <w:tr>
        <w:tc>
          <w:p>
            <w:pPr/>
            <w:r>
              <w:t xml:space="preserve">Readiness transport</w:t>
            </w:r>
          </w:p>
        </w:tc>
        <w:tc>
          <w:p>
            <w:pPr/>
            <w:r>
              <w:t xml:space="preserve">TCP</w:t>
            </w:r>
          </w:p>
        </w:tc>
        <w:tc>
          <w:p>
            <w:pPr/>
            <w:r>
              <w:t xml:space="preserve">Passed</w:t>
            </w:r>
          </w:p>
        </w:tc>
      </w:tr>
      <w:tr>
        <w:tc>
          <w:p>
            <w:pPr/>
            <w:r>
              <w:t xml:space="preserve">Readiness port</w:t>
            </w:r>
          </w:p>
        </w:tc>
        <w:tc>
          <w:p>
            <w:pPr/>
            <w:r>
              <w:t xml:space="preserve">8080</w:t>
            </w:r>
          </w:p>
        </w:tc>
        <w:tc>
          <w:p>
            <w:pPr/>
            <w:r>
              <w:t xml:space="preserve">Passed</w:t>
            </w:r>
          </w:p>
        </w:tc>
      </w:tr>
    </w:tbl>
    <w:p>
      <w:pPr>
        <w:pStyle w:val="Heading2"/>
      </w:pPr>
      <w:r>
        <w:t xml:space="preserve">Rollout timeline</w:t>
      </w:r>
    </w:p>
    <w:tbl>
      <w:tblPr/>
      <w:tblGrid/>
      <w:tr>
        <w:trPr>
          <w:tblHeader/>
        </w:trPr>
        <w:tc>
          <w:p>
            <w:pPr/>
            <w:r>
              <w:t xml:space="preserve">Time (UTC)</w:t>
            </w:r>
          </w:p>
        </w:tc>
        <w:tc>
          <w:p>
            <w:pPr/>
            <w:r>
              <w:t xml:space="preserve">Event</w:t>
            </w:r>
          </w:p>
        </w:tc>
      </w:tr>
      <w:tr>
        <w:tc>
          <w:p>
            <w:pPr/>
            <w:r>
              <w:t xml:space="preserve">18:02:03</w:t>
            </w:r>
          </w:p>
        </w:tc>
        <w:tc>
          <w:p>
            <w:pPr/>
            <w:r>
              <w:t xml:space="preserve">Revision resource was created</w:t>
            </w:r>
          </w:p>
        </w:tc>
      </w:tr>
      <w:tr>
        <w:tc>
          <w:p>
            <w:pPr/>
            <w:r>
              <w:t xml:space="preserve">18:02:06</w:t>
            </w:r>
          </w:p>
        </w:tc>
        <w:tc>
          <w:p>
            <w:pPr/>
            <w:r>
              <w:t xml:space="preserve">Application emitted startup event</w:t>
            </w:r>
          </w:p>
        </w:tc>
      </w:tr>
      <w:tr>
        <w:tc>
          <w:p>
            <w:pPr/>
            <w:r>
              <w:t xml:space="preserve">18:02:09</w:t>
            </w:r>
          </w:p>
        </w:tc>
        <w:tc>
          <w:p>
            <w:pPr/>
            <w:r>
              <w:t xml:space="preserve">First readiness failure</w:t>
            </w:r>
          </w:p>
        </w:tc>
      </w:tr>
      <w:tr>
        <w:tc>
          <w:p>
            <w:pPr/>
            <w:r>
              <w:t xml:space="preserve">18:02:20</w:t>
            </w:r>
          </w:p>
        </w:tc>
        <w:tc>
          <w:p>
            <w:pPr/>
            <w:r>
              <w:t xml:space="preserve">Pipeline marked readiness failed</w:t>
            </w:r>
          </w:p>
        </w:tc>
      </w:tr>
    </w:tbl>
    <w:p>
      <w:pPr>
        <w:pStyle w:val="Heading2"/>
      </w:pPr>
      <w:r>
        <w:t xml:space="preserve">Evidence retention</w:t>
      </w:r>
    </w:p>
    <w:p>
      <w:pPr/>
      <w:r>
        <w:t xml:space="preserve">No live provider or secret material is required for this synthetic release evidence.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Document Optimizer Fixture Generator</Application>
  <Pages>4</Pages>
  <Words>190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Checkout API 2.4.0 release evidence</dc:title>
  <dc:creator>Synthetic Fixture Generator</dc:creator>
  <dc:subject>Document Optimizer self-validation</dc:subject>
  <dcterms:created>2026-09-17T00:00:00Z</dcterms:created>
  <dcterms:modified>2026-09-17T00:00:00Z</dcterms:modified>
</cp:coreProperties>
</file>