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Architecture Figure</w:t>
      </w:r>
    </w:p>
    <w:p>
      <w:r>
        <w:drawing>
          <wp:inline xmlns:wp="http://schemas.openxmlformats.org/drawingml/2006/wordprocessingDrawing">
            <wp:extent cx="952500" cy="476250"/>
            <wp:docPr id="1" name="Synthetic figure" descr="Synthetic architecture marker for later Vision handoff"/>
            <a:graphic xmlns:a="http://schemas.openxmlformats.org/drawingml/2006/main">
              <a:graphicData>
                <pic:pic xmlns:pic="http://schemas.openxmlformats.org/drawingml/2006/picture">
                  <pic:blipFill>
                    <a:blip xmlns:r="http://schemas.openxmlformats.org/officeDocument/2006/relationships" r:embed="rIdImage1"/>
                  </pic:blipFill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figure.png"/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9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Embedded Figure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