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Text Box Compatibility</w:t>
      </w:r>
    </w:p>
    <w:p>
      <w:r>
        <w:t>Ordinary text before the shape.</w:t>
      </w:r>
      <w:r>
        <w:drawing>
          <wps:wsp xmlns:wps="http://schemas.microsoft.com/office/word/2010/wordprocessingShape">
            <wps:txbx>
              <w:txbxContent>
                <w:p>
                  <w:pPr/>
                  <w:r>
                    <w:t xml:space="preserve">Text-box content is outside the bounded MVP parser.</w:t>
                  </w:r>
                </w:p>
              </w:txbxContent>
            </wps:txbx>
          </wps:wsp>
        </w:drawing>
      </w:r>
      <w:r>
        <w:t> Ordinary text after the shape.</w:t>
      </w:r>
    </w:p>
    <w:p>
      <w:pPr/>
      <w:r>
        <w:t xml:space="preserve">Following ordinary paragraph remains available.</w:t>
      </w:r>
    </w:p>
    <w:sectPr/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Document Optimizer Fixture Generator</Application>
  <Pages>1</Pages>
  <Words>15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Text Box Compatibility Fixture</dc:title>
  <dc:creator>Synthetic Fixture Generator</dc:creator>
  <dc:subject>Document Optimizer self-validation</dc:subject>
  <dcterms:created>2026-09-17T00:00:00Z</dcterms:created>
  <dcterms:modified>2026-09-17T00:00:00Z</dcterms:modified>
</cp:coreProperties>
</file>