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BBBF" w14:textId="77777777" w:rsidR="00A83AFC" w:rsidRDefault="00000000">
      <w:pPr>
        <w:pStyle w:val="Heading2"/>
        <w:jc w:val="center"/>
      </w:pPr>
      <w:bookmarkStart w:id="0" w:name="_yxwy7jae7omi" w:colFirst="0" w:colLast="0"/>
      <w:bookmarkEnd w:id="0"/>
      <w:r>
        <w:rPr>
          <w:rFonts w:ascii="Google Sans" w:eastAsia="Google Sans" w:hAnsi="Google Sans" w:cs="Google Sans"/>
          <w:b/>
        </w:rPr>
        <w:t>Parking lot USB exercise</w:t>
      </w:r>
    </w:p>
    <w:p w14:paraId="121C4CF4" w14:textId="77777777" w:rsidR="00A83AFC" w:rsidRDefault="00000000">
      <w:r>
        <w:pict w14:anchorId="475B8F75">
          <v:rect id="_x0000_i1025" style="width:0;height:1.5pt" o:hralign="center" o:hrstd="t" o:hr="t" fillcolor="#a0a0a0" stroked="f"/>
        </w:pict>
      </w:r>
    </w:p>
    <w:p w14:paraId="62C0F9D1" w14:textId="77777777" w:rsidR="00A83AFC" w:rsidRDefault="00A83AFC"/>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6600"/>
      </w:tblGrid>
      <w:tr w:rsidR="00A83AFC" w14:paraId="61E91DD6" w14:textId="77777777">
        <w:trPr>
          <w:trHeight w:val="2429"/>
        </w:trPr>
        <w:tc>
          <w:tcPr>
            <w:tcW w:w="2760" w:type="dxa"/>
            <w:tcMar>
              <w:top w:w="100" w:type="dxa"/>
              <w:left w:w="100" w:type="dxa"/>
              <w:bottom w:w="100" w:type="dxa"/>
              <w:right w:w="100" w:type="dxa"/>
            </w:tcMar>
          </w:tcPr>
          <w:p w14:paraId="203CA437"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Contents</w:t>
            </w:r>
          </w:p>
        </w:tc>
        <w:tc>
          <w:tcPr>
            <w:tcW w:w="6600" w:type="dxa"/>
            <w:tcMar>
              <w:top w:w="100" w:type="dxa"/>
              <w:left w:w="100" w:type="dxa"/>
              <w:bottom w:w="100" w:type="dxa"/>
              <w:right w:w="100" w:type="dxa"/>
            </w:tcMar>
          </w:tcPr>
          <w:p w14:paraId="51748AED"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2-3 sentences</w:t>
            </w:r>
            <w:r>
              <w:rPr>
                <w:rFonts w:ascii="Google Sans" w:eastAsia="Google Sans" w:hAnsi="Google Sans" w:cs="Google Sans"/>
              </w:rPr>
              <w:t xml:space="preserve"> about the types of information found on this device.</w:t>
            </w:r>
          </w:p>
          <w:p w14:paraId="7F0281BB" w14:textId="77777777" w:rsidR="00A83AFC" w:rsidRDefault="00A83AFC">
            <w:pPr>
              <w:widowControl w:val="0"/>
              <w:pBdr>
                <w:top w:val="nil"/>
                <w:left w:val="nil"/>
                <w:bottom w:val="nil"/>
                <w:right w:val="nil"/>
                <w:between w:val="nil"/>
              </w:pBdr>
              <w:spacing w:line="240" w:lineRule="auto"/>
              <w:rPr>
                <w:rFonts w:ascii="Google Sans" w:eastAsia="Google Sans" w:hAnsi="Google Sans" w:cs="Google Sans"/>
                <w:i/>
              </w:rPr>
            </w:pPr>
          </w:p>
          <w:p w14:paraId="1E37E8C2"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Some documents appear to contain personal information that Jorge wouldn’t want to be made public. The work files include the PII of other people. Also, the work files contain information about the hospital’s operations.</w:t>
            </w:r>
          </w:p>
        </w:tc>
      </w:tr>
      <w:tr w:rsidR="00A83AFC" w14:paraId="0CE47824" w14:textId="77777777">
        <w:trPr>
          <w:trHeight w:val="2429"/>
        </w:trPr>
        <w:tc>
          <w:tcPr>
            <w:tcW w:w="2760" w:type="dxa"/>
            <w:tcMar>
              <w:top w:w="100" w:type="dxa"/>
              <w:left w:w="100" w:type="dxa"/>
              <w:bottom w:w="100" w:type="dxa"/>
              <w:right w:w="100" w:type="dxa"/>
            </w:tcMar>
          </w:tcPr>
          <w:p w14:paraId="472A7FE5"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Attacker mindset</w:t>
            </w:r>
          </w:p>
        </w:tc>
        <w:tc>
          <w:tcPr>
            <w:tcW w:w="6600" w:type="dxa"/>
            <w:tcMar>
              <w:top w:w="100" w:type="dxa"/>
              <w:left w:w="100" w:type="dxa"/>
              <w:bottom w:w="100" w:type="dxa"/>
              <w:right w:w="100" w:type="dxa"/>
            </w:tcMar>
          </w:tcPr>
          <w:p w14:paraId="44795646"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2-3 sentences</w:t>
            </w:r>
            <w:r>
              <w:rPr>
                <w:rFonts w:ascii="Google Sans" w:eastAsia="Google Sans" w:hAnsi="Google Sans" w:cs="Google Sans"/>
              </w:rPr>
              <w:t xml:space="preserve"> about how this information could be used against Jorge or the hospital.</w:t>
            </w:r>
          </w:p>
          <w:p w14:paraId="7DEF8C59" w14:textId="77777777" w:rsidR="00A83AFC" w:rsidRDefault="00A83AFC">
            <w:pPr>
              <w:widowControl w:val="0"/>
              <w:pBdr>
                <w:top w:val="nil"/>
                <w:left w:val="nil"/>
                <w:bottom w:val="nil"/>
                <w:right w:val="nil"/>
                <w:between w:val="nil"/>
              </w:pBdr>
              <w:spacing w:line="240" w:lineRule="auto"/>
              <w:rPr>
                <w:rFonts w:ascii="Google Sans" w:eastAsia="Google Sans" w:hAnsi="Google Sans" w:cs="Google Sans"/>
                <w:i/>
              </w:rPr>
            </w:pPr>
          </w:p>
          <w:p w14:paraId="69E83920"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 xml:space="preserve">The timesheets can provide an attacker intel about other people that Jorge works with. Either work or personal information could be used to trick Jorge. For example, a malicious email can be designed to look as though it comes from a coworker or relative. </w:t>
            </w:r>
          </w:p>
        </w:tc>
      </w:tr>
      <w:tr w:rsidR="00A83AFC" w14:paraId="31449820" w14:textId="77777777">
        <w:trPr>
          <w:trHeight w:val="2429"/>
        </w:trPr>
        <w:tc>
          <w:tcPr>
            <w:tcW w:w="2760" w:type="dxa"/>
            <w:tcMar>
              <w:top w:w="100" w:type="dxa"/>
              <w:left w:w="100" w:type="dxa"/>
              <w:bottom w:w="100" w:type="dxa"/>
              <w:right w:w="100" w:type="dxa"/>
            </w:tcMar>
          </w:tcPr>
          <w:p w14:paraId="33E1A5B1"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Risk analysis</w:t>
            </w:r>
          </w:p>
        </w:tc>
        <w:tc>
          <w:tcPr>
            <w:tcW w:w="6600" w:type="dxa"/>
            <w:tcMar>
              <w:top w:w="100" w:type="dxa"/>
              <w:left w:w="100" w:type="dxa"/>
              <w:bottom w:w="100" w:type="dxa"/>
              <w:right w:w="100" w:type="dxa"/>
            </w:tcMar>
          </w:tcPr>
          <w:p w14:paraId="729E3C02"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3 or 4 sentences</w:t>
            </w:r>
            <w:r>
              <w:rPr>
                <w:rFonts w:ascii="Google Sans" w:eastAsia="Google Sans" w:hAnsi="Google Sans" w:cs="Google Sans"/>
              </w:rPr>
              <w:t xml:space="preserve"> describing technical, operational, or managerial controls that could mitigate these types of attacks:</w:t>
            </w:r>
          </w:p>
          <w:p w14:paraId="3B710838" w14:textId="77777777" w:rsidR="00A83AFC" w:rsidRDefault="00A83AFC">
            <w:pPr>
              <w:widowControl w:val="0"/>
              <w:pBdr>
                <w:top w:val="nil"/>
                <w:left w:val="nil"/>
                <w:bottom w:val="nil"/>
                <w:right w:val="nil"/>
                <w:between w:val="nil"/>
              </w:pBdr>
              <w:spacing w:line="240" w:lineRule="auto"/>
              <w:rPr>
                <w:rFonts w:ascii="Google Sans" w:eastAsia="Google Sans" w:hAnsi="Google Sans" w:cs="Google Sans"/>
                <w:i/>
              </w:rPr>
            </w:pPr>
          </w:p>
          <w:p w14:paraId="7A5530F8" w14:textId="77777777" w:rsidR="00A83AFC" w:rsidRDefault="00000000">
            <w:pPr>
              <w:widowControl w:val="0"/>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Promoting employee awareness about these types of attacks and what to do when a suspicious USB drive is a managerial control that can reduce the risk of a negative incident. Setting up routine antivirus scans is an operational control that can be implemented. Another line of defense could be a technical control, like disabling AutoPlay on company PCs that will prevent a computer from automatically executing malicious code when a USB drive is plugged in.</w:t>
            </w:r>
          </w:p>
        </w:tc>
      </w:tr>
    </w:tbl>
    <w:p w14:paraId="2F8CCB2F" w14:textId="77777777" w:rsidR="00A83AFC" w:rsidRDefault="00A83AFC"/>
    <w:sectPr w:rsidR="00A83A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61E57F0E-53DA-4E3C-9050-FC103F453605}"/>
    <w:embedBold r:id="rId2" w:fontKey="{6D25E814-7E90-4CD0-B481-C792508458F3}"/>
    <w:embedItalic r:id="rId3" w:fontKey="{A5BB54E9-0658-4996-8184-FD0CEC9E9700}"/>
  </w:font>
  <w:font w:name="Calibri">
    <w:panose1 w:val="020F0502020204030204"/>
    <w:charset w:val="00"/>
    <w:family w:val="swiss"/>
    <w:pitch w:val="variable"/>
    <w:sig w:usb0="E4002EFF" w:usb1="C200247B" w:usb2="00000009" w:usb3="00000000" w:csb0="000001FF" w:csb1="00000000"/>
    <w:embedRegular r:id="rId4" w:fontKey="{15FBE8B3-8EB3-4FE6-8BCB-A1572714E610}"/>
  </w:font>
  <w:font w:name="Cambria">
    <w:panose1 w:val="02040503050406030204"/>
    <w:charset w:val="00"/>
    <w:family w:val="roman"/>
    <w:pitch w:val="variable"/>
    <w:sig w:usb0="E00006FF" w:usb1="420024FF" w:usb2="02000000" w:usb3="00000000" w:csb0="0000019F" w:csb1="00000000"/>
    <w:embedRegular r:id="rId5" w:fontKey="{06313DB5-EEAC-4D5C-B5BE-028206318EF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AFC"/>
    <w:rsid w:val="00432BD2"/>
    <w:rsid w:val="008903AB"/>
    <w:rsid w:val="0093279C"/>
    <w:rsid w:val="00A83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9B01"/>
  <w15:docId w15:val="{57E5CFB4-6F58-456C-A886-96A279A2C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2026-02-16T17:54:00Z</dcterms:created>
  <dcterms:modified xsi:type="dcterms:W3CDTF">2026-02-16T17:54:00Z</dcterms:modified>
</cp:coreProperties>
</file>