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2563EB"/>
          <w:sz w:val="20"/>
        </w:rPr>
        <w:t>MSC DATA SCIENCE PROJECT</w:t>
      </w:r>
    </w:p>
    <w:p>
      <w:pPr>
        <w:spacing w:after="120"/>
      </w:pPr>
      <w:r>
        <w:rPr>
          <w:rFonts w:ascii="Calibri" w:hAnsi="Calibri"/>
          <w:b/>
          <w:color w:val="17324D"/>
          <w:sz w:val="52"/>
        </w:rPr>
        <w:t>Student Success Analytics and Early Warning System</w:t>
      </w:r>
    </w:p>
    <w:p>
      <w:pPr>
        <w:spacing w:after="360"/>
      </w:pPr>
      <w:r>
        <w:rPr>
          <w:rFonts w:ascii="Calibri" w:hAnsi="Calibri"/>
          <w:i/>
          <w:color w:val="64748B"/>
          <w:sz w:val="28"/>
        </w:rPr>
        <w:t>A Machine Learning-Based Decision Support System for Early Academic Intervention</w:t>
      </w:r>
    </w:p>
    <w:p>
      <w:pPr>
        <w:spacing w:after="60"/>
      </w:pPr>
      <w:r>
        <w:rPr>
          <w:rFonts w:ascii="Calibri" w:hAnsi="Calibri"/>
          <w:b/>
          <w:color w:val="1F2937"/>
          <w:sz w:val="22"/>
        </w:rPr>
        <w:t xml:space="preserve">Prepared by: </w:t>
      </w:r>
      <w:r>
        <w:rPr>
          <w:rFonts w:ascii="Calibri" w:hAnsi="Calibri"/>
          <w:color w:val="1F2937"/>
          <w:sz w:val="22"/>
        </w:rPr>
        <w:t>[Student Name / Register Number]</w:t>
      </w:r>
    </w:p>
    <w:p>
      <w:pPr>
        <w:spacing w:after="60"/>
      </w:pPr>
      <w:r>
        <w:rPr>
          <w:rFonts w:ascii="Calibri" w:hAnsi="Calibri"/>
          <w:b/>
          <w:color w:val="1F2937"/>
          <w:sz w:val="22"/>
        </w:rPr>
        <w:t xml:space="preserve">Programme: </w:t>
      </w:r>
      <w:r>
        <w:rPr>
          <w:rFonts w:ascii="Calibri" w:hAnsi="Calibri"/>
          <w:color w:val="1F2937"/>
          <w:sz w:val="22"/>
        </w:rPr>
        <w:t>MSc Data Science</w:t>
      </w:r>
    </w:p>
    <w:p>
      <w:pPr>
        <w:spacing w:after="60"/>
      </w:pPr>
      <w:r>
        <w:rPr>
          <w:rFonts w:ascii="Calibri" w:hAnsi="Calibri"/>
          <w:b/>
          <w:color w:val="1F2937"/>
          <w:sz w:val="22"/>
        </w:rPr>
        <w:t xml:space="preserve">Project status: </w:t>
      </w:r>
      <w:r>
        <w:rPr>
          <w:rFonts w:ascii="Calibri" w:hAnsi="Calibri"/>
          <w:color w:val="1F2937"/>
          <w:sz w:val="22"/>
        </w:rPr>
        <w:t>Research prototype completed; Power BI-ready model prepared</w:t>
      </w:r>
    </w:p>
    <w:p>
      <w:pPr>
        <w:spacing w:after="60"/>
      </w:pPr>
      <w:r>
        <w:rPr>
          <w:rFonts w:ascii="Calibri" w:hAnsi="Calibri"/>
          <w:b/>
          <w:color w:val="1F2937"/>
          <w:sz w:val="22"/>
        </w:rPr>
        <w:t xml:space="preserve">Document date: </w:t>
      </w:r>
      <w:r>
        <w:rPr>
          <w:rFonts w:ascii="Calibri" w:hAnsi="Calibri"/>
          <w:color w:val="1F2937"/>
          <w:sz w:val="22"/>
        </w:rPr>
        <w:t>1 September 2026</w:t>
      </w:r>
    </w:p>
    <w:p>
      <w:pPr>
        <w:spacing w:before="360" w:after="160"/>
        <w:ind w:left="216" w:right="216"/>
        <w:shd w:fill="EAF2FF"/>
      </w:pPr>
      <w:r>
        <w:rPr>
          <w:rFonts w:ascii="Calibri" w:hAnsi="Calibri"/>
          <w:b/>
          <w:color w:val="17324D"/>
          <w:sz w:val="22"/>
        </w:rPr>
        <w:t>Human review is required. The system supports academic intervention; it does not make decisions about students.</w:t>
      </w:r>
    </w:p>
    <w:p>
      <w:r>
        <w:br w:type="page"/>
      </w:r>
    </w:p>
    <w:p>
      <w:pPr>
        <w:pStyle w:val="Heading1"/>
      </w:pPr>
      <w:r>
        <w:t>Executive Summary</w:t>
      </w:r>
    </w:p>
    <w:p>
      <w:r>
        <w:t>This project develops a student-support early warning prototype using anonymized historical higher-education data. It combines assessment progress, previous attempts, study load, registration timing, and Virtual Learning Environment (VLE) activity available by day 40. A calibrated machine learning model estimates the probability of a later adverse academic outcome, defined as Fail or Withdrawn. The probability is converted into Low, Medium, and High support-review tiers. Faculty members must check the record and student context before offering support.</w:t>
      </w:r>
    </w:p>
    <w:p>
      <w:r>
        <w:t>The completed work includes data integration, cleaning, leakage checks, exploratory analysis, feature engineering, model comparison, calibration, threshold selection, held-out testing, SHAP explanations, subgroup auditing, intervention rules, Streamlit dashboards, Power BI-ready data assets, automated tests, and responsible-use documentation.</w:t>
      </w:r>
    </w:p>
    <w:p>
      <w:pPr>
        <w:pStyle w:val="Heading1"/>
      </w:pPr>
      <w:r>
        <w:t>1. Project Introduction</w:t>
      </w:r>
    </w:p>
    <w:p>
      <w:r>
        <w:t>Educational institutions collect information about student assessments, submissions, learning-platform activity, previous attempts, and final outcomes. When the number of students is large, it is difficult for faculty to review every record at the right time. This project organizes available early information and highlights records that may need human attention.</w:t>
      </w:r>
    </w:p>
    <w:p>
      <w:pPr>
        <w:pStyle w:val="Heading1"/>
      </w:pPr>
      <w:r>
        <w:t>2. Problem Statement and Motivation</w:t>
      </w:r>
    </w:p>
    <w:p>
      <w:r>
        <w:t>Academic difficulty is sometimes recognized only after a missed assessment, failure, or withdrawal. A repeatable method is needed to summarize early indicators, estimate later risk, explain why the model produced an estimate, and support timely academic help.</w:t>
      </w:r>
    </w:p>
    <w:p>
      <w:r>
        <w:t>The motivation is to provide more time for tutoring, assessment guidance, study planning, access support, or an adviser conversation. The model is deliberately limited because inaccurate predictions can stigmatize students or distribute attention unfairly.</w:t>
      </w:r>
    </w:p>
    <w:p>
      <w:pPr>
        <w:pStyle w:val="Heading1"/>
      </w:pPr>
      <w:r>
        <w:t>3. Aim and Objectives</w:t>
      </w:r>
    </w:p>
    <w:p>
      <w:r>
        <w:t>Main aim: to design and evaluate a responsible machine learning decision-support prototype for early academic intervention.</w:t>
      </w:r>
    </w:p>
    <w:p>
      <w:pPr>
        <w:pStyle w:val="ListBullet"/>
      </w:pPr>
      <w:r>
        <w:t>Create a clean and reproducible day-40 student-module snapshot.</w:t>
      </w:r>
    </w:p>
    <w:p>
      <w:pPr>
        <w:pStyle w:val="ListBullet"/>
      </w:pPr>
      <w:r>
        <w:t>Use only information available by the prediction date and prevent target leakage.</w:t>
      </w:r>
    </w:p>
    <w:p>
      <w:pPr>
        <w:pStyle w:val="ListBullet"/>
      </w:pPr>
      <w:r>
        <w:t>Compare baseline and machine learning classification models.</w:t>
      </w:r>
    </w:p>
    <w:p>
      <w:pPr>
        <w:pStyle w:val="ListBullet"/>
      </w:pPr>
      <w:r>
        <w:t>Prioritize High-tier recall while considering faculty review capacity.</w:t>
      </w:r>
    </w:p>
    <w:p>
      <w:pPr>
        <w:pStyle w:val="ListBullet"/>
      </w:pPr>
      <w:r>
        <w:t>Explain model behaviour using SHAP and visible support indicators.</w:t>
      </w:r>
    </w:p>
    <w:p>
      <w:pPr>
        <w:pStyle w:val="ListBullet"/>
      </w:pPr>
      <w:r>
        <w:t>Audit performance across approved demographic groups.</w:t>
      </w:r>
    </w:p>
    <w:p>
      <w:pPr>
        <w:pStyle w:val="ListBullet"/>
      </w:pPr>
      <w:r>
        <w:t>Provide separate faculty, student, and evaluation dashboard views.</w:t>
      </w:r>
    </w:p>
    <w:p>
      <w:pPr>
        <w:pStyle w:val="ListBullet"/>
      </w:pPr>
      <w:r>
        <w:t>Document privacy, fairness, limitations, and human oversight.</w:t>
      </w:r>
    </w:p>
    <w:p>
      <w:pPr>
        <w:pStyle w:val="Heading1"/>
      </w:pPr>
      <w:r>
        <w:t>4. Scope and Decision Boundary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17324D"/>
            <w:tcMar>
              <w:top w:w="80" w:type="dxa"/>
              <w:start w:w="120" w:type="dxa"/>
              <w:bottom w:w="80" w:type="dxa"/>
              <w:end w:w="120" w:type="dxa"/>
            </w:tcMar>
            <w:vAlign w:val="center"/>
          </w:tcPr>
          <w:p>
            <w:pPr>
              <w:spacing w:after="0"/>
            </w:pPr>
            <w:r/>
            <w:r>
              <w:rPr>
                <w:rFonts w:ascii="Calibri" w:hAnsi="Calibri"/>
                <w:b/>
                <w:color w:val="FFFFFF"/>
                <w:sz w:val="19"/>
              </w:rPr>
              <w:t>In scope</w:t>
            </w:r>
          </w:p>
        </w:tc>
        <w:tc>
          <w:tcPr>
            <w:tcW w:type="dxa" w:w="4680"/>
            <w:shd w:fill="17324D"/>
            <w:tcMar>
              <w:top w:w="80" w:type="dxa"/>
              <w:start w:w="120" w:type="dxa"/>
              <w:bottom w:w="80" w:type="dxa"/>
              <w:end w:w="120" w:type="dxa"/>
            </w:tcMar>
            <w:vAlign w:val="center"/>
          </w:tcPr>
          <w:p>
            <w:pPr>
              <w:spacing w:after="0"/>
            </w:pPr>
            <w:r/>
            <w:r>
              <w:rPr>
                <w:rFonts w:ascii="Calibri" w:hAnsi="Calibri"/>
                <w:b/>
                <w:color w:val="FFFFFF"/>
                <w:sz w:val="19"/>
              </w:rPr>
              <w:t>Out of scope</w:t>
            </w:r>
          </w:p>
        </w:tc>
      </w:tr>
      <w:tr>
        <w:tc>
          <w:tcPr>
            <w:tcW w:type="dxa" w:w="4680"/>
            <w:tcMar>
              <w:top w:w="80" w:type="dxa"/>
              <w:start w:w="120" w:type="dxa"/>
              <w:bottom w:w="80" w:type="dxa"/>
              <w:end w:w="120" w:type="dxa"/>
            </w:tcMar>
            <w:vAlign w:val="center"/>
          </w:tcPr>
          <w:p>
            <w:pPr>
              <w:spacing w:after="0"/>
            </w:pPr>
            <w:r/>
            <w:r>
              <w:rPr>
                <w:rFonts w:ascii="Calibri" w:hAnsi="Calibri"/>
                <w:color w:val="1F2937"/>
                <w:sz w:val="19"/>
              </w:rPr>
              <w:t>Historical public-data research prototype</w:t>
            </w:r>
          </w:p>
        </w:tc>
        <w:tc>
          <w:tcPr>
            <w:tcW w:type="dxa" w:w="4680"/>
            <w:tcMar>
              <w:top w:w="80" w:type="dxa"/>
              <w:start w:w="120" w:type="dxa"/>
              <w:bottom w:w="80" w:type="dxa"/>
              <w:end w:w="120" w:type="dxa"/>
            </w:tcMar>
            <w:vAlign w:val="center"/>
          </w:tcPr>
          <w:p>
            <w:pPr>
              <w:spacing w:after="0"/>
            </w:pPr>
            <w:r/>
            <w:r>
              <w:rPr>
                <w:rFonts w:ascii="Calibri" w:hAnsi="Calibri"/>
                <w:color w:val="1F2937"/>
                <w:sz w:val="19"/>
              </w:rPr>
              <w:t>Automatic academic or disciplinary decisions</w:t>
            </w:r>
          </w:p>
        </w:tc>
      </w:tr>
      <w:tr>
        <w:tc>
          <w:tcPr>
            <w:tcW w:type="dxa" w:w="4680"/>
            <w:tcMar>
              <w:top w:w="80" w:type="dxa"/>
              <w:start w:w="120" w:type="dxa"/>
              <w:bottom w:w="80" w:type="dxa"/>
              <w:end w:w="120" w:type="dxa"/>
            </w:tcMar>
            <w:vAlign w:val="center"/>
          </w:tcPr>
          <w:p>
            <w:pPr>
              <w:spacing w:after="0"/>
            </w:pPr>
            <w:r/>
            <w:r>
              <w:rPr>
                <w:rFonts w:ascii="Calibri" w:hAnsi="Calibri"/>
                <w:color w:val="1F2937"/>
                <w:sz w:val="19"/>
              </w:rPr>
              <w:t>Faculty review prioritization</w:t>
            </w:r>
          </w:p>
        </w:tc>
        <w:tc>
          <w:tcPr>
            <w:tcW w:type="dxa" w:w="4680"/>
            <w:tcMar>
              <w:top w:w="80" w:type="dxa"/>
              <w:start w:w="120" w:type="dxa"/>
              <w:bottom w:w="80" w:type="dxa"/>
              <w:end w:w="120" w:type="dxa"/>
            </w:tcMar>
            <w:vAlign w:val="center"/>
          </w:tcPr>
          <w:p>
            <w:pPr>
              <w:spacing w:after="0"/>
            </w:pPr>
            <w:r/>
            <w:r>
              <w:rPr>
                <w:rFonts w:ascii="Calibri" w:hAnsi="Calibri"/>
                <w:color w:val="1F2937"/>
                <w:sz w:val="19"/>
              </w:rPr>
              <w:t>Changing grades, enrolment, scholarships, or services</w:t>
            </w:r>
          </w:p>
        </w:tc>
      </w:tr>
      <w:tr>
        <w:tc>
          <w:tcPr>
            <w:tcW w:type="dxa" w:w="4680"/>
            <w:tcMar>
              <w:top w:w="80" w:type="dxa"/>
              <w:start w:w="120" w:type="dxa"/>
              <w:bottom w:w="80" w:type="dxa"/>
              <w:end w:w="120" w:type="dxa"/>
            </w:tcMar>
            <w:vAlign w:val="center"/>
          </w:tcPr>
          <w:p>
            <w:pPr>
              <w:spacing w:after="0"/>
            </w:pPr>
            <w:r/>
            <w:r>
              <w:rPr>
                <w:rFonts w:ascii="Calibri" w:hAnsi="Calibri"/>
                <w:color w:val="1F2937"/>
                <w:sz w:val="19"/>
              </w:rPr>
              <w:t>Supportive intervention suggestions</w:t>
            </w:r>
          </w:p>
        </w:tc>
        <w:tc>
          <w:tcPr>
            <w:tcW w:type="dxa" w:w="4680"/>
            <w:tcMar>
              <w:top w:w="80" w:type="dxa"/>
              <w:start w:w="120" w:type="dxa"/>
              <w:bottom w:w="80" w:type="dxa"/>
              <w:end w:w="120" w:type="dxa"/>
            </w:tcMar>
            <w:vAlign w:val="center"/>
          </w:tcPr>
          <w:p>
            <w:pPr>
              <w:spacing w:after="0"/>
            </w:pPr>
            <w:r/>
            <w:r>
              <w:rPr>
                <w:rFonts w:ascii="Calibri" w:hAnsi="Calibri"/>
                <w:color w:val="1F2937"/>
                <w:sz w:val="19"/>
              </w:rPr>
              <w:t>Mental-health, motivation, or character inference</w:t>
            </w:r>
          </w:p>
        </w:tc>
      </w:tr>
      <w:tr>
        <w:tc>
          <w:tcPr>
            <w:tcW w:type="dxa" w:w="4680"/>
            <w:tcMar>
              <w:top w:w="80" w:type="dxa"/>
              <w:start w:w="120" w:type="dxa"/>
              <w:bottom w:w="80" w:type="dxa"/>
              <w:end w:w="120" w:type="dxa"/>
            </w:tcMar>
            <w:vAlign w:val="center"/>
          </w:tcPr>
          <w:p>
            <w:pPr>
              <w:spacing w:after="0"/>
            </w:pPr>
            <w:r/>
            <w:r>
              <w:rPr>
                <w:rFonts w:ascii="Calibri" w:hAnsi="Calibri"/>
                <w:color w:val="1F2937"/>
                <w:sz w:val="19"/>
              </w:rPr>
              <w:t>Model and fairness evaluation</w:t>
            </w:r>
          </w:p>
        </w:tc>
        <w:tc>
          <w:tcPr>
            <w:tcW w:type="dxa" w:w="4680"/>
            <w:tcMar>
              <w:top w:w="80" w:type="dxa"/>
              <w:start w:w="120" w:type="dxa"/>
              <w:bottom w:w="80" w:type="dxa"/>
              <w:end w:w="120" w:type="dxa"/>
            </w:tcMar>
            <w:vAlign w:val="center"/>
          </w:tcPr>
          <w:p>
            <w:pPr>
              <w:spacing w:after="0"/>
            </w:pPr>
            <w:r/>
            <w:r>
              <w:rPr>
                <w:rFonts w:ascii="Calibri" w:hAnsi="Calibri"/>
                <w:color w:val="1F2937"/>
                <w:sz w:val="19"/>
              </w:rPr>
              <w:t>Claiming local deployment validity without new evidence</w:t>
            </w:r>
          </w:p>
        </w:tc>
      </w:tr>
    </w:tbl>
    <w:p>
      <w:pPr>
        <w:pStyle w:val="Heading1"/>
      </w:pPr>
      <w:r>
        <w:t>5. Alignment with the Given Data Analytics Guidelines</w:t>
      </w:r>
    </w:p>
    <w:p>
      <w:r>
        <w:t>The project follows the stages listed in the supplied ‘Steps in a Data Analytics Project’ document.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7324D"/>
            <w:tcMar>
              <w:top w:w="80" w:type="dxa"/>
              <w:start w:w="120" w:type="dxa"/>
              <w:bottom w:w="80" w:type="dxa"/>
              <w:end w:w="120" w:type="dxa"/>
            </w:tcMar>
            <w:vAlign w:val="center"/>
          </w:tcPr>
          <w:p>
            <w:pPr>
              <w:spacing w:after="0"/>
            </w:pPr>
            <w:r/>
            <w:r>
              <w:rPr>
                <w:rFonts w:ascii="Calibri" w:hAnsi="Calibri"/>
                <w:b/>
                <w:color w:val="FFFFFF"/>
                <w:sz w:val="18"/>
              </w:rPr>
              <w:t>Guideline stage</w:t>
            </w:r>
          </w:p>
        </w:tc>
        <w:tc>
          <w:tcPr>
            <w:tcW w:type="dxa" w:w="7160"/>
            <w:shd w:fill="17324D"/>
            <w:tcMar>
              <w:top w:w="80" w:type="dxa"/>
              <w:start w:w="120" w:type="dxa"/>
              <w:bottom w:w="80" w:type="dxa"/>
              <w:end w:w="120" w:type="dxa"/>
            </w:tcMar>
            <w:vAlign w:val="center"/>
          </w:tcPr>
          <w:p>
            <w:pPr>
              <w:spacing w:after="0"/>
            </w:pPr>
            <w:r/>
            <w:r>
              <w:rPr>
                <w:rFonts w:ascii="Calibri" w:hAnsi="Calibri"/>
                <w:b/>
                <w:color w:val="FFFFFF"/>
                <w:sz w:val="18"/>
              </w:rPr>
              <w:t>How this project addresses it</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Problem identification</w:t>
            </w:r>
          </w:p>
        </w:tc>
        <w:tc>
          <w:tcPr>
            <w:tcW w:type="dxa" w:w="7160"/>
            <w:tcMar>
              <w:top w:w="80" w:type="dxa"/>
              <w:start w:w="120" w:type="dxa"/>
              <w:bottom w:w="80" w:type="dxa"/>
              <w:end w:w="120" w:type="dxa"/>
            </w:tcMar>
            <w:vAlign w:val="center"/>
          </w:tcPr>
          <w:p>
            <w:pPr>
              <w:spacing w:after="0"/>
            </w:pPr>
            <w:r/>
            <w:r>
              <w:rPr>
                <w:rFonts w:ascii="Calibri" w:hAnsi="Calibri"/>
                <w:color w:val="1F2937"/>
                <w:sz w:val="18"/>
              </w:rPr>
              <w:t>Defined the need for early and supportive academic review.</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Requirement analysis</w:t>
            </w:r>
          </w:p>
        </w:tc>
        <w:tc>
          <w:tcPr>
            <w:tcW w:type="dxa" w:w="7160"/>
            <w:tcMar>
              <w:top w:w="80" w:type="dxa"/>
              <w:start w:w="120" w:type="dxa"/>
              <w:bottom w:w="80" w:type="dxa"/>
              <w:end w:w="120" w:type="dxa"/>
            </w:tcMar>
            <w:vAlign w:val="center"/>
          </w:tcPr>
          <w:p>
            <w:pPr>
              <w:spacing w:after="0"/>
            </w:pPr>
            <w:r/>
            <w:r>
              <w:rPr>
                <w:rFonts w:ascii="Calibri" w:hAnsi="Calibri"/>
                <w:color w:val="1F2937"/>
                <w:sz w:val="18"/>
              </w:rPr>
              <w:t>Specified users, outputs, success metrics, privacy rules, and non-automated use.</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Data collection</w:t>
            </w:r>
          </w:p>
        </w:tc>
        <w:tc>
          <w:tcPr>
            <w:tcW w:type="dxa" w:w="7160"/>
            <w:tcMar>
              <w:top w:w="80" w:type="dxa"/>
              <w:start w:w="120" w:type="dxa"/>
              <w:bottom w:w="80" w:type="dxa"/>
              <w:end w:w="120" w:type="dxa"/>
            </w:tcMar>
            <w:vAlign w:val="center"/>
          </w:tcPr>
          <w:p>
            <w:pPr>
              <w:spacing w:after="0"/>
            </w:pPr>
            <w:r/>
            <w:r>
              <w:rPr>
                <w:rFonts w:ascii="Calibri" w:hAnsi="Calibri"/>
                <w:color w:val="1F2937"/>
                <w:sz w:val="18"/>
              </w:rPr>
              <w:t>Used anonymized OULAD CSV tables from the Open University dataset.</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Data understanding / EDA</w:t>
            </w:r>
          </w:p>
        </w:tc>
        <w:tc>
          <w:tcPr>
            <w:tcW w:type="dxa" w:w="7160"/>
            <w:tcMar>
              <w:top w:w="80" w:type="dxa"/>
              <w:start w:w="120" w:type="dxa"/>
              <w:bottom w:w="80" w:type="dxa"/>
              <w:end w:w="120" w:type="dxa"/>
            </w:tcMar>
            <w:vAlign w:val="center"/>
          </w:tcPr>
          <w:p>
            <w:pPr>
              <w:spacing w:after="0"/>
            </w:pPr>
            <w:r/>
            <w:r>
              <w:rPr>
                <w:rFonts w:ascii="Calibri" w:hAnsi="Calibri"/>
                <w:color w:val="1F2937"/>
                <w:sz w:val="18"/>
              </w:rPr>
              <w:t>Checked 27,042 snapshots, distributions, missing values, modules, cohorts, and outcomes.</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Data cleaning</w:t>
            </w:r>
          </w:p>
        </w:tc>
        <w:tc>
          <w:tcPr>
            <w:tcW w:type="dxa" w:w="7160"/>
            <w:tcMar>
              <w:top w:w="80" w:type="dxa"/>
              <w:start w:w="120" w:type="dxa"/>
              <w:bottom w:w="80" w:type="dxa"/>
              <w:end w:w="120" w:type="dxa"/>
            </w:tcMar>
            <w:vAlign w:val="center"/>
          </w:tcPr>
          <w:p>
            <w:pPr>
              <w:spacing w:after="0"/>
            </w:pPr>
            <w:r/>
            <w:r>
              <w:rPr>
                <w:rFonts w:ascii="Calibri" w:hAnsi="Calibri"/>
                <w:color w:val="1F2937"/>
                <w:sz w:val="18"/>
              </w:rPr>
              <w:t>Removed ineligible records, checked duplicates and ranges, and documented missing scores.</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Data preprocessing</w:t>
            </w:r>
          </w:p>
        </w:tc>
        <w:tc>
          <w:tcPr>
            <w:tcW w:type="dxa" w:w="7160"/>
            <w:tcMar>
              <w:top w:w="80" w:type="dxa"/>
              <w:start w:w="120" w:type="dxa"/>
              <w:bottom w:w="80" w:type="dxa"/>
              <w:end w:w="120" w:type="dxa"/>
            </w:tcMar>
            <w:vAlign w:val="center"/>
          </w:tcPr>
          <w:p>
            <w:pPr>
              <w:spacing w:after="0"/>
            </w:pPr>
            <w:r/>
            <w:r>
              <w:rPr>
                <w:rFonts w:ascii="Calibri" w:hAnsi="Calibri"/>
                <w:color w:val="1F2937"/>
                <w:sz w:val="18"/>
              </w:rPr>
              <w:t>Integrated seven tables, created day-40 features, encoded categories, imputed within folds, and split chronologically.</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Visualization</w:t>
            </w:r>
          </w:p>
        </w:tc>
        <w:tc>
          <w:tcPr>
            <w:tcW w:type="dxa" w:w="7160"/>
            <w:tcMar>
              <w:top w:w="80" w:type="dxa"/>
              <w:start w:w="120" w:type="dxa"/>
              <w:bottom w:w="80" w:type="dxa"/>
              <w:end w:w="120" w:type="dxa"/>
            </w:tcMar>
            <w:vAlign w:val="center"/>
          </w:tcPr>
          <w:p>
            <w:pPr>
              <w:spacing w:after="0"/>
            </w:pPr>
            <w:r/>
            <w:r>
              <w:rPr>
                <w:rFonts w:ascii="Calibri" w:hAnsi="Calibri"/>
                <w:color w:val="1F2937"/>
                <w:sz w:val="18"/>
              </w:rPr>
              <w:t>Produced EDA outputs, Streamlit views, and a Power BI-ready workbook/theme.</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Model building</w:t>
            </w:r>
          </w:p>
        </w:tc>
        <w:tc>
          <w:tcPr>
            <w:tcW w:type="dxa" w:w="7160"/>
            <w:tcMar>
              <w:top w:w="80" w:type="dxa"/>
              <w:start w:w="120" w:type="dxa"/>
              <w:bottom w:w="80" w:type="dxa"/>
              <w:end w:w="120" w:type="dxa"/>
            </w:tcMar>
            <w:vAlign w:val="center"/>
          </w:tcPr>
          <w:p>
            <w:pPr>
              <w:spacing w:after="0"/>
            </w:pPr>
            <w:r/>
            <w:r>
              <w:rPr>
                <w:rFonts w:ascii="Calibri" w:hAnsi="Calibri"/>
                <w:color w:val="1F2937"/>
                <w:sz w:val="18"/>
              </w:rPr>
              <w:t>Compared Dummy Prior, Logistic Regression, Random Forest, and Histogram Gradient Boosting.</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Evaluation</w:t>
            </w:r>
          </w:p>
        </w:tc>
        <w:tc>
          <w:tcPr>
            <w:tcW w:type="dxa" w:w="7160"/>
            <w:tcMar>
              <w:top w:w="80" w:type="dxa"/>
              <w:start w:w="120" w:type="dxa"/>
              <w:bottom w:w="80" w:type="dxa"/>
              <w:end w:w="120" w:type="dxa"/>
            </w:tcMar>
            <w:vAlign w:val="center"/>
          </w:tcPr>
          <w:p>
            <w:pPr>
              <w:spacing w:after="0"/>
            </w:pPr>
            <w:r/>
            <w:r>
              <w:rPr>
                <w:rFonts w:ascii="Calibri" w:hAnsi="Calibri"/>
                <w:color w:val="1F2937"/>
                <w:sz w:val="18"/>
              </w:rPr>
              <w:t>Reported ROC-AUC, PR-AUC, recall, precision, calibration, confusion matrix, and subgroup metrics.</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Interpretation</w:t>
            </w:r>
          </w:p>
        </w:tc>
        <w:tc>
          <w:tcPr>
            <w:tcW w:type="dxa" w:w="7160"/>
            <w:tcMar>
              <w:top w:w="80" w:type="dxa"/>
              <w:start w:w="120" w:type="dxa"/>
              <w:bottom w:w="80" w:type="dxa"/>
              <w:end w:w="120" w:type="dxa"/>
            </w:tcMar>
            <w:vAlign w:val="center"/>
          </w:tcPr>
          <w:p>
            <w:pPr>
              <w:spacing w:after="0"/>
            </w:pPr>
            <w:r/>
            <w:r>
              <w:rPr>
                <w:rFonts w:ascii="Calibri" w:hAnsi="Calibri"/>
                <w:color w:val="1F2937"/>
                <w:sz w:val="18"/>
              </w:rPr>
              <w:t>Used SHAP and rule-based support indicators without causal claims.</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Dashboard</w:t>
            </w:r>
          </w:p>
        </w:tc>
        <w:tc>
          <w:tcPr>
            <w:tcW w:type="dxa" w:w="7160"/>
            <w:tcMar>
              <w:top w:w="80" w:type="dxa"/>
              <w:start w:w="120" w:type="dxa"/>
              <w:bottom w:w="80" w:type="dxa"/>
              <w:end w:w="120" w:type="dxa"/>
            </w:tcMar>
            <w:vAlign w:val="center"/>
          </w:tcPr>
          <w:p>
            <w:pPr>
              <w:spacing w:after="0"/>
            </w:pPr>
            <w:r/>
            <w:r>
              <w:rPr>
                <w:rFonts w:ascii="Calibri" w:hAnsi="Calibri"/>
                <w:color w:val="1F2937"/>
                <w:sz w:val="18"/>
              </w:rPr>
              <w:t>Built Faculty, Student, and Evaluation views; specified five Power BI pages.</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Deployment</w:t>
            </w:r>
          </w:p>
        </w:tc>
        <w:tc>
          <w:tcPr>
            <w:tcW w:type="dxa" w:w="7160"/>
            <w:tcMar>
              <w:top w:w="80" w:type="dxa"/>
              <w:start w:w="120" w:type="dxa"/>
              <w:bottom w:w="80" w:type="dxa"/>
              <w:end w:w="120" w:type="dxa"/>
            </w:tcMar>
            <w:vAlign w:val="center"/>
          </w:tcPr>
          <w:p>
            <w:pPr>
              <w:spacing w:after="0"/>
            </w:pPr>
            <w:r/>
            <w:r>
              <w:rPr>
                <w:rFonts w:ascii="Calibri" w:hAnsi="Calibri"/>
                <w:color w:val="1F2937"/>
                <w:sz w:val="18"/>
              </w:rPr>
              <w:t>Provided local run scripts; production deployment remains outside the MSc prototype.</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Documentation</w:t>
            </w:r>
          </w:p>
        </w:tc>
        <w:tc>
          <w:tcPr>
            <w:tcW w:type="dxa" w:w="7160"/>
            <w:tcMar>
              <w:top w:w="80" w:type="dxa"/>
              <w:start w:w="120" w:type="dxa"/>
              <w:bottom w:w="80" w:type="dxa"/>
              <w:end w:w="120" w:type="dxa"/>
            </w:tcMar>
            <w:vAlign w:val="center"/>
          </w:tcPr>
          <w:p>
            <w:pPr>
              <w:spacing w:after="0"/>
            </w:pPr>
            <w:r/>
            <w:r>
              <w:rPr>
                <w:rFonts w:ascii="Calibri" w:hAnsi="Calibri"/>
                <w:color w:val="1F2937"/>
                <w:sz w:val="18"/>
              </w:rPr>
              <w:t>Prepared report, model card, ethics protocol, data dictionary, and reproducible code.</w:t>
            </w:r>
          </w:p>
        </w:tc>
      </w:tr>
      <w:tr>
        <w:tc>
          <w:tcPr>
            <w:tcW w:type="dxa" w:w="2200"/>
            <w:tcMar>
              <w:top w:w="80" w:type="dxa"/>
              <w:start w:w="120" w:type="dxa"/>
              <w:bottom w:w="80" w:type="dxa"/>
              <w:end w:w="120" w:type="dxa"/>
            </w:tcMar>
            <w:vAlign w:val="center"/>
          </w:tcPr>
          <w:p>
            <w:pPr>
              <w:spacing w:after="0"/>
            </w:pPr>
            <w:r/>
            <w:r>
              <w:rPr>
                <w:rFonts w:ascii="Calibri" w:hAnsi="Calibri"/>
                <w:color w:val="1F2937"/>
                <w:sz w:val="18"/>
              </w:rPr>
              <w:t>Presentation</w:t>
            </w:r>
          </w:p>
        </w:tc>
        <w:tc>
          <w:tcPr>
            <w:tcW w:type="dxa" w:w="7160"/>
            <w:tcMar>
              <w:top w:w="80" w:type="dxa"/>
              <w:start w:w="120" w:type="dxa"/>
              <w:bottom w:w="80" w:type="dxa"/>
              <w:end w:w="120" w:type="dxa"/>
            </w:tcMar>
            <w:vAlign w:val="center"/>
          </w:tcPr>
          <w:p>
            <w:pPr>
              <w:spacing w:after="0"/>
            </w:pPr>
            <w:r/>
            <w:r>
              <w:rPr>
                <w:rFonts w:ascii="Calibri" w:hAnsi="Calibri"/>
                <w:color w:val="1F2937"/>
                <w:sz w:val="18"/>
              </w:rPr>
              <w:t>Dashboard screenshots and Power BI assets are ready for demonstration; final slides remain a presentation-stage task.</w:t>
            </w:r>
          </w:p>
        </w:tc>
      </w:tr>
    </w:tbl>
    <w:p>
      <w:pPr>
        <w:pStyle w:val="Heading1"/>
      </w:pPr>
      <w:r>
        <w:t>6. Dataset Source and Structure</w:t>
      </w:r>
    </w:p>
    <w:p>
      <w:r>
        <w:t>The primary dataset is the Open University Learning Analytics Dataset (OULAD), originally published by The Open University. It is anonymized and is available from the official dataset source; copies may also be distributed through Kaggle. The original OULAD publication should be cited even when a Kaggle mirror is used.</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17324D"/>
            <w:tcMar>
              <w:top w:w="80" w:type="dxa"/>
              <w:start w:w="120" w:type="dxa"/>
              <w:bottom w:w="80" w:type="dxa"/>
              <w:end w:w="120" w:type="dxa"/>
            </w:tcMar>
            <w:vAlign w:val="center"/>
          </w:tcPr>
          <w:p>
            <w:pPr>
              <w:spacing w:after="0"/>
            </w:pPr>
            <w:r/>
            <w:r>
              <w:rPr>
                <w:rFonts w:ascii="Calibri" w:hAnsi="Calibri"/>
                <w:b/>
                <w:color w:val="FFFFFF"/>
                <w:sz w:val="19"/>
              </w:rPr>
              <w:t>Source table</w:t>
            </w:r>
          </w:p>
        </w:tc>
        <w:tc>
          <w:tcPr>
            <w:tcW w:type="dxa" w:w="6760"/>
            <w:shd w:fill="17324D"/>
            <w:tcMar>
              <w:top w:w="80" w:type="dxa"/>
              <w:start w:w="120" w:type="dxa"/>
              <w:bottom w:w="80" w:type="dxa"/>
              <w:end w:w="120" w:type="dxa"/>
            </w:tcMar>
            <w:vAlign w:val="center"/>
          </w:tcPr>
          <w:p>
            <w:pPr>
              <w:spacing w:after="0"/>
            </w:pPr>
            <w:r/>
            <w:r>
              <w:rPr>
                <w:rFonts w:ascii="Calibri" w:hAnsi="Calibri"/>
                <w:b/>
                <w:color w:val="FFFFFF"/>
                <w:sz w:val="19"/>
              </w:rPr>
              <w:t>Use in the project</w:t>
            </w:r>
          </w:p>
        </w:tc>
      </w:tr>
      <w:tr>
        <w:tc>
          <w:tcPr>
            <w:tcW w:type="dxa" w:w="2600"/>
            <w:tcMar>
              <w:top w:w="80" w:type="dxa"/>
              <w:start w:w="120" w:type="dxa"/>
              <w:bottom w:w="80" w:type="dxa"/>
              <w:end w:w="120" w:type="dxa"/>
            </w:tcMar>
            <w:vAlign w:val="center"/>
          </w:tcPr>
          <w:p>
            <w:pPr>
              <w:spacing w:after="0"/>
            </w:pPr>
            <w:r/>
            <w:r>
              <w:rPr>
                <w:rFonts w:ascii="Calibri" w:hAnsi="Calibri"/>
                <w:color w:val="1F2937"/>
                <w:sz w:val="19"/>
              </w:rPr>
              <w:t>studentInfo.csv</w:t>
            </w:r>
          </w:p>
        </w:tc>
        <w:tc>
          <w:tcPr>
            <w:tcW w:type="dxa" w:w="6760"/>
            <w:tcMar>
              <w:top w:w="80" w:type="dxa"/>
              <w:start w:w="120" w:type="dxa"/>
              <w:bottom w:w="80" w:type="dxa"/>
              <w:end w:w="120" w:type="dxa"/>
            </w:tcMar>
            <w:vAlign w:val="center"/>
          </w:tcPr>
          <w:p>
            <w:pPr>
              <w:spacing w:after="0"/>
            </w:pPr>
            <w:r/>
            <w:r>
              <w:rPr>
                <w:rFonts w:ascii="Calibri" w:hAnsi="Calibri"/>
                <w:color w:val="1F2937"/>
                <w:sz w:val="19"/>
              </w:rPr>
              <w:t>Student, module, presentation, previous attempts, credits, and final outcome.</w:t>
            </w:r>
          </w:p>
        </w:tc>
      </w:tr>
      <w:tr>
        <w:tc>
          <w:tcPr>
            <w:tcW w:type="dxa" w:w="2600"/>
            <w:tcMar>
              <w:top w:w="80" w:type="dxa"/>
              <w:start w:w="120" w:type="dxa"/>
              <w:bottom w:w="80" w:type="dxa"/>
              <w:end w:w="120" w:type="dxa"/>
            </w:tcMar>
            <w:vAlign w:val="center"/>
          </w:tcPr>
          <w:p>
            <w:pPr>
              <w:spacing w:after="0"/>
            </w:pPr>
            <w:r/>
            <w:r>
              <w:rPr>
                <w:rFonts w:ascii="Calibri" w:hAnsi="Calibri"/>
                <w:color w:val="1F2937"/>
                <w:sz w:val="19"/>
              </w:rPr>
              <w:t>studentRegistration.csv</w:t>
            </w:r>
          </w:p>
        </w:tc>
        <w:tc>
          <w:tcPr>
            <w:tcW w:type="dxa" w:w="6760"/>
            <w:tcMar>
              <w:top w:w="80" w:type="dxa"/>
              <w:start w:w="120" w:type="dxa"/>
              <w:bottom w:w="80" w:type="dxa"/>
              <w:end w:w="120" w:type="dxa"/>
            </w:tcMar>
            <w:vAlign w:val="center"/>
          </w:tcPr>
          <w:p>
            <w:pPr>
              <w:spacing w:after="0"/>
            </w:pPr>
            <w:r/>
            <w:r>
              <w:rPr>
                <w:rFonts w:ascii="Calibri" w:hAnsi="Calibri"/>
                <w:color w:val="1F2937"/>
                <w:sz w:val="19"/>
              </w:rPr>
              <w:t>Registration and unregistration timing.</w:t>
            </w:r>
          </w:p>
        </w:tc>
      </w:tr>
      <w:tr>
        <w:tc>
          <w:tcPr>
            <w:tcW w:type="dxa" w:w="2600"/>
            <w:tcMar>
              <w:top w:w="80" w:type="dxa"/>
              <w:start w:w="120" w:type="dxa"/>
              <w:bottom w:w="80" w:type="dxa"/>
              <w:end w:w="120" w:type="dxa"/>
            </w:tcMar>
            <w:vAlign w:val="center"/>
          </w:tcPr>
          <w:p>
            <w:pPr>
              <w:spacing w:after="0"/>
            </w:pPr>
            <w:r/>
            <w:r>
              <w:rPr>
                <w:rFonts w:ascii="Calibri" w:hAnsi="Calibri"/>
                <w:color w:val="1F2937"/>
                <w:sz w:val="19"/>
              </w:rPr>
              <w:t>assessments.csv</w:t>
            </w:r>
          </w:p>
        </w:tc>
        <w:tc>
          <w:tcPr>
            <w:tcW w:type="dxa" w:w="6760"/>
            <w:tcMar>
              <w:top w:w="80" w:type="dxa"/>
              <w:start w:w="120" w:type="dxa"/>
              <w:bottom w:w="80" w:type="dxa"/>
              <w:end w:w="120" w:type="dxa"/>
            </w:tcMar>
            <w:vAlign w:val="center"/>
          </w:tcPr>
          <w:p>
            <w:pPr>
              <w:spacing w:after="0"/>
            </w:pPr>
            <w:r/>
            <w:r>
              <w:rPr>
                <w:rFonts w:ascii="Calibri" w:hAnsi="Calibri"/>
                <w:color w:val="1F2937"/>
                <w:sz w:val="19"/>
              </w:rPr>
              <w:t>Assessment dates, types, and weights.</w:t>
            </w:r>
          </w:p>
        </w:tc>
      </w:tr>
      <w:tr>
        <w:tc>
          <w:tcPr>
            <w:tcW w:type="dxa" w:w="2600"/>
            <w:tcMar>
              <w:top w:w="80" w:type="dxa"/>
              <w:start w:w="120" w:type="dxa"/>
              <w:bottom w:w="80" w:type="dxa"/>
              <w:end w:w="120" w:type="dxa"/>
            </w:tcMar>
            <w:vAlign w:val="center"/>
          </w:tcPr>
          <w:p>
            <w:pPr>
              <w:spacing w:after="0"/>
            </w:pPr>
            <w:r/>
            <w:r>
              <w:rPr>
                <w:rFonts w:ascii="Calibri" w:hAnsi="Calibri"/>
                <w:color w:val="1F2937"/>
                <w:sz w:val="19"/>
              </w:rPr>
              <w:t>studentAssessment.csv</w:t>
            </w:r>
          </w:p>
        </w:tc>
        <w:tc>
          <w:tcPr>
            <w:tcW w:type="dxa" w:w="6760"/>
            <w:tcMar>
              <w:top w:w="80" w:type="dxa"/>
              <w:start w:w="120" w:type="dxa"/>
              <w:bottom w:w="80" w:type="dxa"/>
              <w:end w:w="120" w:type="dxa"/>
            </w:tcMar>
            <w:vAlign w:val="center"/>
          </w:tcPr>
          <w:p>
            <w:pPr>
              <w:spacing w:after="0"/>
            </w:pPr>
            <w:r/>
            <w:r>
              <w:rPr>
                <w:rFonts w:ascii="Calibri" w:hAnsi="Calibri"/>
                <w:color w:val="1F2937"/>
                <w:sz w:val="19"/>
              </w:rPr>
              <w:t>Submission dates and assessment scores.</w:t>
            </w:r>
          </w:p>
        </w:tc>
      </w:tr>
      <w:tr>
        <w:tc>
          <w:tcPr>
            <w:tcW w:type="dxa" w:w="2600"/>
            <w:tcMar>
              <w:top w:w="80" w:type="dxa"/>
              <w:start w:w="120" w:type="dxa"/>
              <w:bottom w:w="80" w:type="dxa"/>
              <w:end w:w="120" w:type="dxa"/>
            </w:tcMar>
            <w:vAlign w:val="center"/>
          </w:tcPr>
          <w:p>
            <w:pPr>
              <w:spacing w:after="0"/>
            </w:pPr>
            <w:r/>
            <w:r>
              <w:rPr>
                <w:rFonts w:ascii="Calibri" w:hAnsi="Calibri"/>
                <w:color w:val="1F2937"/>
                <w:sz w:val="19"/>
              </w:rPr>
              <w:t>studentVle.csv</w:t>
            </w:r>
          </w:p>
        </w:tc>
        <w:tc>
          <w:tcPr>
            <w:tcW w:type="dxa" w:w="6760"/>
            <w:tcMar>
              <w:top w:w="80" w:type="dxa"/>
              <w:start w:w="120" w:type="dxa"/>
              <w:bottom w:w="80" w:type="dxa"/>
              <w:end w:w="120" w:type="dxa"/>
            </w:tcMar>
            <w:vAlign w:val="center"/>
          </w:tcPr>
          <w:p>
            <w:pPr>
              <w:spacing w:after="0"/>
            </w:pPr>
            <w:r/>
            <w:r>
              <w:rPr>
                <w:rFonts w:ascii="Calibri" w:hAnsi="Calibri"/>
                <w:color w:val="1F2937"/>
                <w:sz w:val="19"/>
              </w:rPr>
              <w:t>Dated student interactions and click counts.</w:t>
            </w:r>
          </w:p>
        </w:tc>
      </w:tr>
      <w:tr>
        <w:tc>
          <w:tcPr>
            <w:tcW w:type="dxa" w:w="2600"/>
            <w:tcMar>
              <w:top w:w="80" w:type="dxa"/>
              <w:start w:w="120" w:type="dxa"/>
              <w:bottom w:w="80" w:type="dxa"/>
              <w:end w:w="120" w:type="dxa"/>
            </w:tcMar>
            <w:vAlign w:val="center"/>
          </w:tcPr>
          <w:p>
            <w:pPr>
              <w:spacing w:after="0"/>
            </w:pPr>
            <w:r/>
            <w:r>
              <w:rPr>
                <w:rFonts w:ascii="Calibri" w:hAnsi="Calibri"/>
                <w:color w:val="1F2937"/>
                <w:sz w:val="19"/>
              </w:rPr>
              <w:t>vle.csv</w:t>
            </w:r>
          </w:p>
        </w:tc>
        <w:tc>
          <w:tcPr>
            <w:tcW w:type="dxa" w:w="6760"/>
            <w:tcMar>
              <w:top w:w="80" w:type="dxa"/>
              <w:start w:w="120" w:type="dxa"/>
              <w:bottom w:w="80" w:type="dxa"/>
              <w:end w:w="120" w:type="dxa"/>
            </w:tcMar>
            <w:vAlign w:val="center"/>
          </w:tcPr>
          <w:p>
            <w:pPr>
              <w:spacing w:after="0"/>
            </w:pPr>
            <w:r/>
            <w:r>
              <w:rPr>
                <w:rFonts w:ascii="Calibri" w:hAnsi="Calibri"/>
                <w:color w:val="1F2937"/>
                <w:sz w:val="19"/>
              </w:rPr>
              <w:t>Learning activity metadata.</w:t>
            </w:r>
          </w:p>
        </w:tc>
      </w:tr>
      <w:tr>
        <w:tc>
          <w:tcPr>
            <w:tcW w:type="dxa" w:w="2600"/>
            <w:tcMar>
              <w:top w:w="80" w:type="dxa"/>
              <w:start w:w="120" w:type="dxa"/>
              <w:bottom w:w="80" w:type="dxa"/>
              <w:end w:w="120" w:type="dxa"/>
            </w:tcMar>
            <w:vAlign w:val="center"/>
          </w:tcPr>
          <w:p>
            <w:pPr>
              <w:spacing w:after="0"/>
            </w:pPr>
            <w:r/>
            <w:r>
              <w:rPr>
                <w:rFonts w:ascii="Calibri" w:hAnsi="Calibri"/>
                <w:color w:val="1F2937"/>
                <w:sz w:val="19"/>
              </w:rPr>
              <w:t>courses.csv</w:t>
            </w:r>
          </w:p>
        </w:tc>
        <w:tc>
          <w:tcPr>
            <w:tcW w:type="dxa" w:w="6760"/>
            <w:tcMar>
              <w:top w:w="80" w:type="dxa"/>
              <w:start w:w="120" w:type="dxa"/>
              <w:bottom w:w="80" w:type="dxa"/>
              <w:end w:w="120" w:type="dxa"/>
            </w:tcMar>
            <w:vAlign w:val="center"/>
          </w:tcPr>
          <w:p>
            <w:pPr>
              <w:spacing w:after="0"/>
            </w:pPr>
            <w:r/>
            <w:r>
              <w:rPr>
                <w:rFonts w:ascii="Calibri" w:hAnsi="Calibri"/>
                <w:color w:val="1F2937"/>
                <w:sz w:val="19"/>
              </w:rPr>
              <w:t>Module presentation information.</w:t>
            </w:r>
          </w:p>
        </w:tc>
      </w:tr>
    </w:tbl>
    <w:p>
      <w:r>
        <w:t>The processed unit is one student in one module presentation at day 40. The snapshot contains 27,042 rows, 37 columns, four presentations, seven modules, and no duplicate student-module-presentation keys.</w:t>
      </w:r>
    </w:p>
    <w:p>
      <w:pPr>
        <w:pStyle w:val="Heading1"/>
      </w:pPr>
      <w:r>
        <w:t>7. Outcome Definition</w:t>
      </w:r>
    </w:p>
    <w:p>
      <w:r>
        <w:t>The binary training outcome is ‘adverse_outcome’. Fail and Withdrawn after the day-40 cutoff are coded as 1; Pass and Distinction are coded as 0. Final outcomes are used only as labels and never as prediction inputs. The model output is a probability, which is converted into support-review tiers using thresholds selected on validation data.</w:t>
      </w:r>
    </w:p>
    <w:tbl>
      <w:tblPr>
        <w:tblStyle w:val="TableGrid"/>
        <w:tblW w:type="dxa" w:w="9360"/>
        <w:jc w:val="left"/>
        <w:tblLayout w:type="fixed"/>
        <w:tblLook w:firstColumn="1" w:firstRow="1" w:lastColumn="0" w:lastRow="0" w:noHBand="0" w:noVBand="1" w:val="04A0"/>
        <w:tblInd w:w="120" w:type="dxa"/>
      </w:tblPr>
      <w:tblGrid>
        <w:gridCol w:w="1200"/>
        <w:gridCol w:w="3000"/>
        <w:gridCol w:w="5160"/>
      </w:tblGrid>
      <w:tr>
        <w:trPr>
          <w:tblHeader w:val="true"/>
        </w:trPr>
        <w:tc>
          <w:tcPr>
            <w:tcW w:type="dxa" w:w="1200"/>
            <w:shd w:fill="17324D"/>
            <w:tcMar>
              <w:top w:w="80" w:type="dxa"/>
              <w:start w:w="120" w:type="dxa"/>
              <w:bottom w:w="80" w:type="dxa"/>
              <w:end w:w="120" w:type="dxa"/>
            </w:tcMar>
            <w:vAlign w:val="center"/>
          </w:tcPr>
          <w:p>
            <w:pPr>
              <w:spacing w:after="0"/>
            </w:pPr>
            <w:r/>
            <w:r>
              <w:rPr>
                <w:rFonts w:ascii="Calibri" w:hAnsi="Calibri"/>
                <w:b/>
                <w:color w:val="FFFFFF"/>
                <w:sz w:val="19"/>
              </w:rPr>
              <w:t>Tier</w:t>
            </w:r>
          </w:p>
        </w:tc>
        <w:tc>
          <w:tcPr>
            <w:tcW w:type="dxa" w:w="3000"/>
            <w:shd w:fill="17324D"/>
            <w:tcMar>
              <w:top w:w="80" w:type="dxa"/>
              <w:start w:w="120" w:type="dxa"/>
              <w:bottom w:w="80" w:type="dxa"/>
              <w:end w:w="120" w:type="dxa"/>
            </w:tcMar>
            <w:vAlign w:val="center"/>
          </w:tcPr>
          <w:p>
            <w:pPr>
              <w:spacing w:after="0"/>
            </w:pPr>
            <w:r/>
            <w:r>
              <w:rPr>
                <w:rFonts w:ascii="Calibri" w:hAnsi="Calibri"/>
                <w:b/>
                <w:color w:val="FFFFFF"/>
                <w:sz w:val="19"/>
              </w:rPr>
              <w:t>Definition</w:t>
            </w:r>
          </w:p>
        </w:tc>
        <w:tc>
          <w:tcPr>
            <w:tcW w:type="dxa" w:w="5160"/>
            <w:shd w:fill="17324D"/>
            <w:tcMar>
              <w:top w:w="80" w:type="dxa"/>
              <w:start w:w="120" w:type="dxa"/>
              <w:bottom w:w="80" w:type="dxa"/>
              <w:end w:w="120" w:type="dxa"/>
            </w:tcMar>
            <w:vAlign w:val="center"/>
          </w:tcPr>
          <w:p>
            <w:pPr>
              <w:spacing w:after="0"/>
            </w:pPr>
            <w:r/>
            <w:r>
              <w:rPr>
                <w:rFonts w:ascii="Calibri" w:hAnsi="Calibri"/>
                <w:b/>
                <w:color w:val="FFFFFF"/>
                <w:sz w:val="19"/>
              </w:rPr>
              <w:t>Meaning</w:t>
            </w:r>
          </w:p>
        </w:tc>
      </w:tr>
      <w:tr>
        <w:tc>
          <w:tcPr>
            <w:tcW w:type="dxa" w:w="1200"/>
            <w:tcMar>
              <w:top w:w="80" w:type="dxa"/>
              <w:start w:w="120" w:type="dxa"/>
              <w:bottom w:w="80" w:type="dxa"/>
              <w:end w:w="120" w:type="dxa"/>
            </w:tcMar>
            <w:vAlign w:val="center"/>
          </w:tcPr>
          <w:p>
            <w:pPr>
              <w:spacing w:after="0"/>
            </w:pPr>
            <w:r/>
            <w:r>
              <w:rPr>
                <w:rFonts w:ascii="Calibri" w:hAnsi="Calibri"/>
                <w:color w:val="1F2937"/>
                <w:sz w:val="19"/>
              </w:rPr>
              <w:t>Low</w:t>
            </w:r>
          </w:p>
        </w:tc>
        <w:tc>
          <w:tcPr>
            <w:tcW w:type="dxa" w:w="3000"/>
            <w:tcMar>
              <w:top w:w="80" w:type="dxa"/>
              <w:start w:w="120" w:type="dxa"/>
              <w:bottom w:w="80" w:type="dxa"/>
              <w:end w:w="120" w:type="dxa"/>
            </w:tcMar>
            <w:vAlign w:val="center"/>
          </w:tcPr>
          <w:p>
            <w:pPr>
              <w:spacing w:after="0"/>
            </w:pPr>
            <w:r/>
            <w:r>
              <w:rPr>
                <w:rFonts w:ascii="Calibri" w:hAnsi="Calibri"/>
                <w:color w:val="1F2937"/>
                <w:sz w:val="19"/>
              </w:rPr>
              <w:t>Probability below 0.3882</w:t>
            </w:r>
          </w:p>
        </w:tc>
        <w:tc>
          <w:tcPr>
            <w:tcW w:type="dxa" w:w="5160"/>
            <w:tcMar>
              <w:top w:w="80" w:type="dxa"/>
              <w:start w:w="120" w:type="dxa"/>
              <w:bottom w:w="80" w:type="dxa"/>
              <w:end w:w="120" w:type="dxa"/>
            </w:tcMar>
            <w:vAlign w:val="center"/>
          </w:tcPr>
          <w:p>
            <w:pPr>
              <w:spacing w:after="0"/>
            </w:pPr>
            <w:r/>
            <w:r>
              <w:rPr>
                <w:rFonts w:ascii="Calibri" w:hAnsi="Calibri"/>
                <w:color w:val="1F2937"/>
                <w:sz w:val="19"/>
              </w:rPr>
              <w:t>Continue normal monitoring.</w:t>
            </w:r>
          </w:p>
        </w:tc>
      </w:tr>
      <w:tr>
        <w:tc>
          <w:tcPr>
            <w:tcW w:type="dxa" w:w="1200"/>
            <w:tcMar>
              <w:top w:w="80" w:type="dxa"/>
              <w:start w:w="120" w:type="dxa"/>
              <w:bottom w:w="80" w:type="dxa"/>
              <w:end w:w="120" w:type="dxa"/>
            </w:tcMar>
            <w:vAlign w:val="center"/>
          </w:tcPr>
          <w:p>
            <w:pPr>
              <w:spacing w:after="0"/>
            </w:pPr>
            <w:r/>
            <w:r>
              <w:rPr>
                <w:rFonts w:ascii="Calibri" w:hAnsi="Calibri"/>
                <w:color w:val="1F2937"/>
                <w:sz w:val="19"/>
              </w:rPr>
              <w:t>Medium</w:t>
            </w:r>
          </w:p>
        </w:tc>
        <w:tc>
          <w:tcPr>
            <w:tcW w:type="dxa" w:w="3000"/>
            <w:tcMar>
              <w:top w:w="80" w:type="dxa"/>
              <w:start w:w="120" w:type="dxa"/>
              <w:bottom w:w="80" w:type="dxa"/>
              <w:end w:w="120" w:type="dxa"/>
            </w:tcMar>
            <w:vAlign w:val="center"/>
          </w:tcPr>
          <w:p>
            <w:pPr>
              <w:spacing w:after="0"/>
            </w:pPr>
            <w:r/>
            <w:r>
              <w:rPr>
                <w:rFonts w:ascii="Calibri" w:hAnsi="Calibri"/>
                <w:color w:val="1F2937"/>
                <w:sz w:val="19"/>
              </w:rPr>
              <w:t>Probability from 0.3882 to below 0.5915</w:t>
            </w:r>
          </w:p>
        </w:tc>
        <w:tc>
          <w:tcPr>
            <w:tcW w:type="dxa" w:w="5160"/>
            <w:tcMar>
              <w:top w:w="80" w:type="dxa"/>
              <w:start w:w="120" w:type="dxa"/>
              <w:bottom w:w="80" w:type="dxa"/>
              <w:end w:w="120" w:type="dxa"/>
            </w:tcMar>
            <w:vAlign w:val="center"/>
          </w:tcPr>
          <w:p>
            <w:pPr>
              <w:spacing w:after="0"/>
            </w:pPr>
            <w:r/>
            <w:r>
              <w:rPr>
                <w:rFonts w:ascii="Calibri" w:hAnsi="Calibri"/>
                <w:color w:val="1F2937"/>
                <w:sz w:val="19"/>
              </w:rPr>
              <w:t>Consider an academic check-in after review.</w:t>
            </w:r>
          </w:p>
        </w:tc>
      </w:tr>
      <w:tr>
        <w:tc>
          <w:tcPr>
            <w:tcW w:type="dxa" w:w="1200"/>
            <w:tcMar>
              <w:top w:w="80" w:type="dxa"/>
              <w:start w:w="120" w:type="dxa"/>
              <w:bottom w:w="80" w:type="dxa"/>
              <w:end w:w="120" w:type="dxa"/>
            </w:tcMar>
            <w:vAlign w:val="center"/>
          </w:tcPr>
          <w:p>
            <w:pPr>
              <w:spacing w:after="0"/>
            </w:pPr>
            <w:r/>
            <w:r>
              <w:rPr>
                <w:rFonts w:ascii="Calibri" w:hAnsi="Calibri"/>
                <w:color w:val="1F2937"/>
                <w:sz w:val="19"/>
              </w:rPr>
              <w:t>High</w:t>
            </w:r>
          </w:p>
        </w:tc>
        <w:tc>
          <w:tcPr>
            <w:tcW w:type="dxa" w:w="3000"/>
            <w:tcMar>
              <w:top w:w="80" w:type="dxa"/>
              <w:start w:w="120" w:type="dxa"/>
              <w:bottom w:w="80" w:type="dxa"/>
              <w:end w:w="120" w:type="dxa"/>
            </w:tcMar>
            <w:vAlign w:val="center"/>
          </w:tcPr>
          <w:p>
            <w:pPr>
              <w:spacing w:after="0"/>
            </w:pPr>
            <w:r/>
            <w:r>
              <w:rPr>
                <w:rFonts w:ascii="Calibri" w:hAnsi="Calibri"/>
                <w:color w:val="1F2937"/>
                <w:sz w:val="19"/>
              </w:rPr>
              <w:t>Probability at or above 0.5915</w:t>
            </w:r>
          </w:p>
        </w:tc>
        <w:tc>
          <w:tcPr>
            <w:tcW w:type="dxa" w:w="5160"/>
            <w:tcMar>
              <w:top w:w="80" w:type="dxa"/>
              <w:start w:w="120" w:type="dxa"/>
              <w:bottom w:w="80" w:type="dxa"/>
              <w:end w:w="120" w:type="dxa"/>
            </w:tcMar>
            <w:vAlign w:val="center"/>
          </w:tcPr>
          <w:p>
            <w:pPr>
              <w:spacing w:after="0"/>
            </w:pPr>
            <w:r/>
            <w:r>
              <w:rPr>
                <w:rFonts w:ascii="Calibri" w:hAnsi="Calibri"/>
                <w:color w:val="1F2937"/>
                <w:sz w:val="19"/>
              </w:rPr>
              <w:t>Priority for faculty review; not a factual label.</w:t>
            </w:r>
          </w:p>
        </w:tc>
      </w:tr>
    </w:tbl>
    <w:p>
      <w:pPr>
        <w:pStyle w:val="Heading1"/>
      </w:pPr>
      <w:r>
        <w:t>8. Prediction Features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7324D"/>
            <w:tcMar>
              <w:top w:w="80" w:type="dxa"/>
              <w:start w:w="120" w:type="dxa"/>
              <w:bottom w:w="80" w:type="dxa"/>
              <w:end w:w="120" w:type="dxa"/>
            </w:tcMar>
            <w:vAlign w:val="center"/>
          </w:tcPr>
          <w:p>
            <w:pPr>
              <w:spacing w:after="0"/>
            </w:pPr>
            <w:r/>
            <w:r>
              <w:rPr>
                <w:rFonts w:ascii="Calibri" w:hAnsi="Calibri"/>
                <w:b/>
                <w:color w:val="FFFFFF"/>
                <w:sz w:val="19"/>
              </w:rPr>
              <w:t>Feature group</w:t>
            </w:r>
          </w:p>
        </w:tc>
        <w:tc>
          <w:tcPr>
            <w:tcW w:type="dxa" w:w="7160"/>
            <w:shd w:fill="17324D"/>
            <w:tcMar>
              <w:top w:w="80" w:type="dxa"/>
              <w:start w:w="120" w:type="dxa"/>
              <w:bottom w:w="80" w:type="dxa"/>
              <w:end w:w="120" w:type="dxa"/>
            </w:tcMar>
            <w:vAlign w:val="center"/>
          </w:tcPr>
          <w:p>
            <w:pPr>
              <w:spacing w:after="0"/>
            </w:pPr>
            <w:r/>
            <w:r>
              <w:rPr>
                <w:rFonts w:ascii="Calibri" w:hAnsi="Calibri"/>
                <w:b/>
                <w:color w:val="FFFFFF"/>
                <w:sz w:val="19"/>
              </w:rPr>
              <w:t>Features used</w:t>
            </w:r>
          </w:p>
        </w:tc>
      </w:tr>
      <w:tr>
        <w:tc>
          <w:tcPr>
            <w:tcW w:type="dxa" w:w="2200"/>
            <w:tcMar>
              <w:top w:w="80" w:type="dxa"/>
              <w:start w:w="120" w:type="dxa"/>
              <w:bottom w:w="80" w:type="dxa"/>
              <w:end w:w="120" w:type="dxa"/>
            </w:tcMar>
            <w:vAlign w:val="center"/>
          </w:tcPr>
          <w:p>
            <w:pPr>
              <w:spacing w:after="0"/>
            </w:pPr>
            <w:r/>
            <w:r>
              <w:rPr>
                <w:rFonts w:ascii="Calibri" w:hAnsi="Calibri"/>
                <w:color w:val="1F2937"/>
                <w:sz w:val="19"/>
              </w:rPr>
              <w:t>Previous study and workload</w:t>
            </w:r>
          </w:p>
        </w:tc>
        <w:tc>
          <w:tcPr>
            <w:tcW w:type="dxa" w:w="7160"/>
            <w:tcMar>
              <w:top w:w="80" w:type="dxa"/>
              <w:start w:w="120" w:type="dxa"/>
              <w:bottom w:w="80" w:type="dxa"/>
              <w:end w:w="120" w:type="dxa"/>
            </w:tcMar>
            <w:vAlign w:val="center"/>
          </w:tcPr>
          <w:p>
            <w:pPr>
              <w:spacing w:after="0"/>
            </w:pPr>
            <w:r/>
            <w:r>
              <w:rPr>
                <w:rFonts w:ascii="Calibri" w:hAnsi="Calibri"/>
                <w:color w:val="1F2937"/>
                <w:sz w:val="19"/>
              </w:rPr>
              <w:t>Number of previous attempts, studied credits, registration date.</w:t>
            </w:r>
          </w:p>
        </w:tc>
      </w:tr>
      <w:tr>
        <w:tc>
          <w:tcPr>
            <w:tcW w:type="dxa" w:w="2200"/>
            <w:tcMar>
              <w:top w:w="80" w:type="dxa"/>
              <w:start w:w="120" w:type="dxa"/>
              <w:bottom w:w="80" w:type="dxa"/>
              <w:end w:w="120" w:type="dxa"/>
            </w:tcMar>
            <w:vAlign w:val="center"/>
          </w:tcPr>
          <w:p>
            <w:pPr>
              <w:spacing w:after="0"/>
            </w:pPr>
            <w:r/>
            <w:r>
              <w:rPr>
                <w:rFonts w:ascii="Calibri" w:hAnsi="Calibri"/>
                <w:color w:val="1F2937"/>
                <w:sz w:val="19"/>
              </w:rPr>
              <w:t>Assessment progress</w:t>
            </w:r>
          </w:p>
        </w:tc>
        <w:tc>
          <w:tcPr>
            <w:tcW w:type="dxa" w:w="7160"/>
            <w:tcMar>
              <w:top w:w="80" w:type="dxa"/>
              <w:start w:w="120" w:type="dxa"/>
              <w:bottom w:w="80" w:type="dxa"/>
              <w:end w:w="120" w:type="dxa"/>
            </w:tcMar>
            <w:vAlign w:val="center"/>
          </w:tcPr>
          <w:p>
            <w:pPr>
              <w:spacing w:after="0"/>
            </w:pPr>
            <w:r/>
            <w:r>
              <w:rPr>
                <w:rFonts w:ascii="Calibri" w:hAnsi="Calibri"/>
                <w:color w:val="1F2937"/>
                <w:sz w:val="19"/>
              </w:rPr>
              <w:t>Assessments due/submitted, late assessments, submitted weight, mean/minimum score, weighted score, completion rates.</w:t>
            </w:r>
          </w:p>
        </w:tc>
      </w:tr>
      <w:tr>
        <w:tc>
          <w:tcPr>
            <w:tcW w:type="dxa" w:w="2200"/>
            <w:tcMar>
              <w:top w:w="80" w:type="dxa"/>
              <w:start w:w="120" w:type="dxa"/>
              <w:bottom w:w="80" w:type="dxa"/>
              <w:end w:w="120" w:type="dxa"/>
            </w:tcMar>
            <w:vAlign w:val="center"/>
          </w:tcPr>
          <w:p>
            <w:pPr>
              <w:spacing w:after="0"/>
            </w:pPr>
            <w:r/>
            <w:r>
              <w:rPr>
                <w:rFonts w:ascii="Calibri" w:hAnsi="Calibri"/>
                <w:color w:val="1F2937"/>
                <w:sz w:val="19"/>
              </w:rPr>
              <w:t>VLE engagement</w:t>
            </w:r>
          </w:p>
        </w:tc>
        <w:tc>
          <w:tcPr>
            <w:tcW w:type="dxa" w:w="7160"/>
            <w:tcMar>
              <w:top w:w="80" w:type="dxa"/>
              <w:start w:w="120" w:type="dxa"/>
              <w:bottom w:w="80" w:type="dxa"/>
              <w:end w:w="120" w:type="dxa"/>
            </w:tcMar>
            <w:vAlign w:val="center"/>
          </w:tcPr>
          <w:p>
            <w:pPr>
              <w:spacing w:after="0"/>
            </w:pPr>
            <w:r/>
            <w:r>
              <w:rPr>
                <w:rFonts w:ascii="Calibri" w:hAnsi="Calibri"/>
                <w:color w:val="1F2937"/>
                <w:sz w:val="19"/>
              </w:rPr>
              <w:t>Total clicks, active days, recent 7- and 14-day clicks, previous-week clicks, recent active days, days since last activity, trend, no-activity flag.</w:t>
            </w:r>
          </w:p>
        </w:tc>
      </w:tr>
      <w:tr>
        <w:tc>
          <w:tcPr>
            <w:tcW w:type="dxa" w:w="2200"/>
            <w:tcMar>
              <w:top w:w="80" w:type="dxa"/>
              <w:start w:w="120" w:type="dxa"/>
              <w:bottom w:w="80" w:type="dxa"/>
              <w:end w:w="120" w:type="dxa"/>
            </w:tcMar>
            <w:vAlign w:val="center"/>
          </w:tcPr>
          <w:p>
            <w:pPr>
              <w:spacing w:after="0"/>
            </w:pPr>
            <w:r/>
            <w:r>
              <w:rPr>
                <w:rFonts w:ascii="Calibri" w:hAnsi="Calibri"/>
                <w:color w:val="1F2937"/>
                <w:sz w:val="19"/>
              </w:rPr>
              <w:t>Academic context</w:t>
            </w:r>
          </w:p>
        </w:tc>
        <w:tc>
          <w:tcPr>
            <w:tcW w:type="dxa" w:w="7160"/>
            <w:tcMar>
              <w:top w:w="80" w:type="dxa"/>
              <w:start w:w="120" w:type="dxa"/>
              <w:bottom w:w="80" w:type="dxa"/>
              <w:end w:w="120" w:type="dxa"/>
            </w:tcMar>
            <w:vAlign w:val="center"/>
          </w:tcPr>
          <w:p>
            <w:pPr>
              <w:spacing w:after="0"/>
            </w:pPr>
            <w:r/>
            <w:r>
              <w:rPr>
                <w:rFonts w:ascii="Calibri" w:hAnsi="Calibri"/>
                <w:color w:val="1F2937"/>
                <w:sz w:val="19"/>
              </w:rPr>
              <w:t>Module code and presentation season.</w:t>
            </w:r>
          </w:p>
        </w:tc>
      </w:tr>
    </w:tbl>
    <w:p>
      <w:r>
        <w:t>Gender, age band, disability, highest education, and deprivation-band fields were excluded from the prediction model and retained separately for authorized fairness analysis. OULAD does not contain ordinary classroom attendance, GPA, or backlog fields, so these were not invented or renamed. VLE activity is treated only as an engagement indicator.</w:t>
      </w:r>
    </w:p>
    <w:p>
      <w:pPr>
        <w:pStyle w:val="Heading1"/>
      </w:pPr>
      <w:r>
        <w:t>9. Data Processing and Quality Controls</w:t>
      </w:r>
    </w:p>
    <w:p>
      <w:pPr>
        <w:pStyle w:val="ListNumber"/>
      </w:pPr>
      <w:r>
        <w:t>Included students registered by day 40 with a supported final outcome.</w:t>
      </w:r>
    </w:p>
    <w:p>
      <w:pPr>
        <w:pStyle w:val="ListNumber"/>
      </w:pPr>
      <w:r>
        <w:t>Excluded withdrawals already known on or before day 40.</w:t>
      </w:r>
    </w:p>
    <w:p>
      <w:pPr>
        <w:pStyle w:val="ListNumber"/>
      </w:pPr>
      <w:r>
        <w:t>Aggregated only assessments due and VLE events observed by the cutoff.</w:t>
      </w:r>
    </w:p>
    <w:p>
      <w:pPr>
        <w:pStyle w:val="ListNumber"/>
      </w:pPr>
      <w:r>
        <w:t>Checked duplicate keys, ranges, missingness, and impossible completion rates.</w:t>
      </w:r>
    </w:p>
    <w:p>
      <w:pPr>
        <w:pStyle w:val="ListNumber"/>
      </w:pPr>
      <w:r>
        <w:t>Handled missing assessment scores within training folds to avoid information leakage.</w:t>
      </w:r>
    </w:p>
    <w:p>
      <w:pPr>
        <w:pStyle w:val="ListNumber"/>
      </w:pPr>
      <w:r>
        <w:t>Used chronological cohorts rather than a random split.</w:t>
      </w:r>
    </w:p>
    <w:p>
      <w:r>
        <w:t>Important profile values: 11,663 of 27,042 records had a later adverse outcome (43.1%). The median day-40 VLE activity was 284 clicks across 17 active days. Missing assessment averages occurred in 16.42% of rows, mainly where no scored assessment was yet available.</w:t>
      </w:r>
    </w:p>
    <w:p>
      <w:pPr>
        <w:pStyle w:val="Heading1"/>
      </w:pPr>
      <w:r>
        <w:t>10. Modelling Method</w:t>
      </w:r>
    </w:p>
    <w:p>
      <w:r>
        <w:t>Training presentations were 2013B and 2013J (11,628 rows), validation used 2014B (6,366 rows), and the untouched test cohort was 2014J (9,048 rows). Model and threshold decisions were made using training and validation data only.</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7324D"/>
            <w:tcMar>
              <w:top w:w="80" w:type="dxa"/>
              <w:start w:w="120" w:type="dxa"/>
              <w:bottom w:w="80" w:type="dxa"/>
              <w:end w:w="120" w:type="dxa"/>
            </w:tcMar>
            <w:vAlign w:val="center"/>
          </w:tcPr>
          <w:p>
            <w:pPr>
              <w:spacing w:after="0"/>
            </w:pPr>
            <w:r/>
            <w:r>
              <w:rPr>
                <w:rFonts w:ascii="Calibri" w:hAnsi="Calibri"/>
                <w:b/>
                <w:color w:val="FFFFFF"/>
                <w:sz w:val="19"/>
              </w:rPr>
              <w:t>Model</w:t>
            </w:r>
          </w:p>
        </w:tc>
        <w:tc>
          <w:tcPr>
            <w:tcW w:type="dxa" w:w="6360"/>
            <w:shd w:fill="17324D"/>
            <w:tcMar>
              <w:top w:w="80" w:type="dxa"/>
              <w:start w:w="120" w:type="dxa"/>
              <w:bottom w:w="80" w:type="dxa"/>
              <w:end w:w="120" w:type="dxa"/>
            </w:tcMar>
            <w:vAlign w:val="center"/>
          </w:tcPr>
          <w:p>
            <w:pPr>
              <w:spacing w:after="0"/>
            </w:pPr>
            <w:r/>
            <w:r>
              <w:rPr>
                <w:rFonts w:ascii="Calibri" w:hAnsi="Calibri"/>
                <w:b/>
                <w:color w:val="FFFFFF"/>
                <w:sz w:val="19"/>
              </w:rPr>
              <w:t>Reason for comparison</w:t>
            </w:r>
          </w:p>
        </w:tc>
      </w:tr>
      <w:tr>
        <w:tc>
          <w:tcPr>
            <w:tcW w:type="dxa" w:w="3000"/>
            <w:tcMar>
              <w:top w:w="80" w:type="dxa"/>
              <w:start w:w="120" w:type="dxa"/>
              <w:bottom w:w="80" w:type="dxa"/>
              <w:end w:w="120" w:type="dxa"/>
            </w:tcMar>
            <w:vAlign w:val="center"/>
          </w:tcPr>
          <w:p>
            <w:pPr>
              <w:spacing w:after="0"/>
            </w:pPr>
            <w:r/>
            <w:r>
              <w:rPr>
                <w:rFonts w:ascii="Calibri" w:hAnsi="Calibri"/>
                <w:color w:val="1F2937"/>
                <w:sz w:val="19"/>
              </w:rPr>
              <w:t>Dummy Prior</w:t>
            </w:r>
          </w:p>
        </w:tc>
        <w:tc>
          <w:tcPr>
            <w:tcW w:type="dxa" w:w="6360"/>
            <w:tcMar>
              <w:top w:w="80" w:type="dxa"/>
              <w:start w:w="120" w:type="dxa"/>
              <w:bottom w:w="80" w:type="dxa"/>
              <w:end w:w="120" w:type="dxa"/>
            </w:tcMar>
            <w:vAlign w:val="center"/>
          </w:tcPr>
          <w:p>
            <w:pPr>
              <w:spacing w:after="0"/>
            </w:pPr>
            <w:r/>
            <w:r>
              <w:rPr>
                <w:rFonts w:ascii="Calibri" w:hAnsi="Calibri"/>
                <w:color w:val="1F2937"/>
                <w:sz w:val="19"/>
              </w:rPr>
              <w:t>Uninformed baseline.</w:t>
            </w:r>
          </w:p>
        </w:tc>
      </w:tr>
      <w:tr>
        <w:tc>
          <w:tcPr>
            <w:tcW w:type="dxa" w:w="3000"/>
            <w:tcMar>
              <w:top w:w="80" w:type="dxa"/>
              <w:start w:w="120" w:type="dxa"/>
              <w:bottom w:w="80" w:type="dxa"/>
              <w:end w:w="120" w:type="dxa"/>
            </w:tcMar>
            <w:vAlign w:val="center"/>
          </w:tcPr>
          <w:p>
            <w:pPr>
              <w:spacing w:after="0"/>
            </w:pPr>
            <w:r/>
            <w:r>
              <w:rPr>
                <w:rFonts w:ascii="Calibri" w:hAnsi="Calibri"/>
                <w:color w:val="1F2937"/>
                <w:sz w:val="19"/>
              </w:rPr>
              <w:t>Logistic Regression</w:t>
            </w:r>
          </w:p>
        </w:tc>
        <w:tc>
          <w:tcPr>
            <w:tcW w:type="dxa" w:w="6360"/>
            <w:tcMar>
              <w:top w:w="80" w:type="dxa"/>
              <w:start w:w="120" w:type="dxa"/>
              <w:bottom w:w="80" w:type="dxa"/>
              <w:end w:w="120" w:type="dxa"/>
            </w:tcMar>
            <w:vAlign w:val="center"/>
          </w:tcPr>
          <w:p>
            <w:pPr>
              <w:spacing w:after="0"/>
            </w:pPr>
            <w:r/>
            <w:r>
              <w:rPr>
                <w:rFonts w:ascii="Calibri" w:hAnsi="Calibri"/>
                <w:color w:val="1F2937"/>
                <w:sz w:val="19"/>
              </w:rPr>
              <w:t>Interpretable linear baseline.</w:t>
            </w:r>
          </w:p>
        </w:tc>
      </w:tr>
      <w:tr>
        <w:tc>
          <w:tcPr>
            <w:tcW w:type="dxa" w:w="3000"/>
            <w:tcMar>
              <w:top w:w="80" w:type="dxa"/>
              <w:start w:w="120" w:type="dxa"/>
              <w:bottom w:w="80" w:type="dxa"/>
              <w:end w:w="120" w:type="dxa"/>
            </w:tcMar>
            <w:vAlign w:val="center"/>
          </w:tcPr>
          <w:p>
            <w:pPr>
              <w:spacing w:after="0"/>
            </w:pPr>
            <w:r/>
            <w:r>
              <w:rPr>
                <w:rFonts w:ascii="Calibri" w:hAnsi="Calibri"/>
                <w:color w:val="1F2937"/>
                <w:sz w:val="19"/>
              </w:rPr>
              <w:t>Random Forest</w:t>
            </w:r>
          </w:p>
        </w:tc>
        <w:tc>
          <w:tcPr>
            <w:tcW w:type="dxa" w:w="6360"/>
            <w:tcMar>
              <w:top w:w="80" w:type="dxa"/>
              <w:start w:w="120" w:type="dxa"/>
              <w:bottom w:w="80" w:type="dxa"/>
              <w:end w:w="120" w:type="dxa"/>
            </w:tcMar>
            <w:vAlign w:val="center"/>
          </w:tcPr>
          <w:p>
            <w:pPr>
              <w:spacing w:after="0"/>
            </w:pPr>
            <w:r/>
            <w:r>
              <w:rPr>
                <w:rFonts w:ascii="Calibri" w:hAnsi="Calibri"/>
                <w:color w:val="1F2937"/>
                <w:sz w:val="19"/>
              </w:rPr>
              <w:t>Captures nonlinear relationships and interactions.</w:t>
            </w:r>
          </w:p>
        </w:tc>
      </w:tr>
      <w:tr>
        <w:tc>
          <w:tcPr>
            <w:tcW w:type="dxa" w:w="3000"/>
            <w:tcMar>
              <w:top w:w="80" w:type="dxa"/>
              <w:start w:w="120" w:type="dxa"/>
              <w:bottom w:w="80" w:type="dxa"/>
              <w:end w:w="120" w:type="dxa"/>
            </w:tcMar>
            <w:vAlign w:val="center"/>
          </w:tcPr>
          <w:p>
            <w:pPr>
              <w:spacing w:after="0"/>
            </w:pPr>
            <w:r/>
            <w:r>
              <w:rPr>
                <w:rFonts w:ascii="Calibri" w:hAnsi="Calibri"/>
                <w:color w:val="1F2937"/>
                <w:sz w:val="19"/>
              </w:rPr>
              <w:t>Histogram Gradient Boosting</w:t>
            </w:r>
          </w:p>
        </w:tc>
        <w:tc>
          <w:tcPr>
            <w:tcW w:type="dxa" w:w="6360"/>
            <w:tcMar>
              <w:top w:w="80" w:type="dxa"/>
              <w:start w:w="120" w:type="dxa"/>
              <w:bottom w:w="80" w:type="dxa"/>
              <w:end w:w="120" w:type="dxa"/>
            </w:tcMar>
            <w:vAlign w:val="center"/>
          </w:tcPr>
          <w:p>
            <w:pPr>
              <w:spacing w:after="0"/>
            </w:pPr>
            <w:r/>
            <w:r>
              <w:rPr>
                <w:rFonts w:ascii="Calibri" w:hAnsi="Calibri"/>
                <w:color w:val="1F2937"/>
                <w:sz w:val="19"/>
              </w:rPr>
              <w:t>Efficient nonlinear boosting benchmark.</w:t>
            </w:r>
          </w:p>
        </w:tc>
      </w:tr>
    </w:tbl>
    <w:p>
      <w:r>
        <w:t>The calibrated Random Forest was selected because it narrowly achieved the best validation ranking under the project’s High-recall and review-capacity policy.</w:t>
      </w:r>
    </w:p>
    <w:p>
      <w:pPr>
        <w:pStyle w:val="Heading1"/>
      </w:pPr>
      <w:r>
        <w:t>11. Test Results</w:t>
      </w:r>
    </w:p>
    <w:tbl>
      <w:tblPr>
        <w:tblStyle w:val="TableGrid"/>
        <w:tblW w:type="dxa" w:w="9360"/>
        <w:jc w:val="left"/>
        <w:tblLayout w:type="fixed"/>
        <w:tblLook w:firstColumn="1" w:firstRow="1" w:lastColumn="0" w:lastRow="0" w:noHBand="0" w:noVBand="1" w:val="04A0"/>
        <w:tblInd w:w="120" w:type="dxa"/>
      </w:tblPr>
      <w:tblGrid>
        <w:gridCol w:w="2300"/>
        <w:gridCol w:w="2200"/>
        <w:gridCol w:w="4860"/>
      </w:tblGrid>
      <w:tr>
        <w:trPr>
          <w:tblHeader w:val="true"/>
        </w:trPr>
        <w:tc>
          <w:tcPr>
            <w:tcW w:type="dxa" w:w="2300"/>
            <w:shd w:fill="17324D"/>
            <w:tcMar>
              <w:top w:w="80" w:type="dxa"/>
              <w:start w:w="120" w:type="dxa"/>
              <w:bottom w:w="80" w:type="dxa"/>
              <w:end w:w="120" w:type="dxa"/>
            </w:tcMar>
            <w:vAlign w:val="center"/>
          </w:tcPr>
          <w:p>
            <w:pPr>
              <w:spacing w:after="0"/>
            </w:pPr>
            <w:r/>
            <w:r>
              <w:rPr>
                <w:rFonts w:ascii="Calibri" w:hAnsi="Calibri"/>
                <w:b/>
                <w:color w:val="FFFFFF"/>
                <w:sz w:val="18"/>
              </w:rPr>
              <w:t>Metric</w:t>
            </w:r>
          </w:p>
        </w:tc>
        <w:tc>
          <w:tcPr>
            <w:tcW w:type="dxa" w:w="2200"/>
            <w:shd w:fill="17324D"/>
            <w:tcMar>
              <w:top w:w="80" w:type="dxa"/>
              <w:start w:w="120" w:type="dxa"/>
              <w:bottom w:w="80" w:type="dxa"/>
              <w:end w:w="120" w:type="dxa"/>
            </w:tcMar>
            <w:vAlign w:val="center"/>
          </w:tcPr>
          <w:p>
            <w:pPr>
              <w:spacing w:after="0"/>
            </w:pPr>
            <w:r/>
            <w:r>
              <w:rPr>
                <w:rFonts w:ascii="Calibri" w:hAnsi="Calibri"/>
                <w:b/>
                <w:color w:val="FFFFFF"/>
                <w:sz w:val="18"/>
              </w:rPr>
              <w:t>Held-out 2014J result</w:t>
            </w:r>
          </w:p>
        </w:tc>
        <w:tc>
          <w:tcPr>
            <w:tcW w:type="dxa" w:w="4860"/>
            <w:shd w:fill="17324D"/>
            <w:tcMar>
              <w:top w:w="80" w:type="dxa"/>
              <w:start w:w="120" w:type="dxa"/>
              <w:bottom w:w="80" w:type="dxa"/>
              <w:end w:w="120" w:type="dxa"/>
            </w:tcMar>
            <w:vAlign w:val="center"/>
          </w:tcPr>
          <w:p>
            <w:pPr>
              <w:spacing w:after="0"/>
            </w:pPr>
            <w:r/>
            <w:r>
              <w:rPr>
                <w:rFonts w:ascii="Calibri" w:hAnsi="Calibri"/>
                <w:b/>
                <w:color w:val="FFFFFF"/>
                <w:sz w:val="18"/>
              </w:rPr>
              <w:t>Interpretation</w:t>
            </w:r>
          </w:p>
        </w:tc>
      </w:tr>
      <w:tr>
        <w:tc>
          <w:tcPr>
            <w:tcW w:type="dxa" w:w="2300"/>
            <w:tcMar>
              <w:top w:w="80" w:type="dxa"/>
              <w:start w:w="120" w:type="dxa"/>
              <w:bottom w:w="80" w:type="dxa"/>
              <w:end w:w="120" w:type="dxa"/>
            </w:tcMar>
            <w:vAlign w:val="center"/>
          </w:tcPr>
          <w:p>
            <w:pPr>
              <w:spacing w:after="0"/>
            </w:pPr>
            <w:r/>
            <w:r>
              <w:rPr>
                <w:rFonts w:ascii="Calibri" w:hAnsi="Calibri"/>
                <w:color w:val="1F2937"/>
                <w:sz w:val="18"/>
              </w:rPr>
              <w:t>ROC-AUC</w:t>
            </w:r>
          </w:p>
        </w:tc>
        <w:tc>
          <w:tcPr>
            <w:tcW w:type="dxa" w:w="2200"/>
            <w:tcMar>
              <w:top w:w="80" w:type="dxa"/>
              <w:start w:w="120" w:type="dxa"/>
              <w:bottom w:w="80" w:type="dxa"/>
              <w:end w:w="120" w:type="dxa"/>
            </w:tcMar>
            <w:vAlign w:val="center"/>
          </w:tcPr>
          <w:p>
            <w:pPr>
              <w:spacing w:after="0"/>
            </w:pPr>
            <w:r/>
            <w:r>
              <w:rPr>
                <w:rFonts w:ascii="Calibri" w:hAnsi="Calibri"/>
                <w:color w:val="1F2937"/>
                <w:sz w:val="18"/>
              </w:rPr>
              <w:t>0.761</w:t>
            </w:r>
          </w:p>
        </w:tc>
        <w:tc>
          <w:tcPr>
            <w:tcW w:type="dxa" w:w="4860"/>
            <w:tcMar>
              <w:top w:w="80" w:type="dxa"/>
              <w:start w:w="120" w:type="dxa"/>
              <w:bottom w:w="80" w:type="dxa"/>
              <w:end w:w="120" w:type="dxa"/>
            </w:tcMar>
            <w:vAlign w:val="center"/>
          </w:tcPr>
          <w:p>
            <w:pPr>
              <w:spacing w:after="0"/>
            </w:pPr>
            <w:r/>
            <w:r>
              <w:rPr>
                <w:rFonts w:ascii="Calibri" w:hAnsi="Calibri"/>
                <w:color w:val="1F2937"/>
                <w:sz w:val="18"/>
              </w:rPr>
              <w:t>Useful ranking ability, but not perfect separation.</w:t>
            </w:r>
          </w:p>
        </w:tc>
      </w:tr>
      <w:tr>
        <w:tc>
          <w:tcPr>
            <w:tcW w:type="dxa" w:w="2300"/>
            <w:tcMar>
              <w:top w:w="80" w:type="dxa"/>
              <w:start w:w="120" w:type="dxa"/>
              <w:bottom w:w="80" w:type="dxa"/>
              <w:end w:w="120" w:type="dxa"/>
            </w:tcMar>
            <w:vAlign w:val="center"/>
          </w:tcPr>
          <w:p>
            <w:pPr>
              <w:spacing w:after="0"/>
            </w:pPr>
            <w:r/>
            <w:r>
              <w:rPr>
                <w:rFonts w:ascii="Calibri" w:hAnsi="Calibri"/>
                <w:color w:val="1F2937"/>
                <w:sz w:val="18"/>
              </w:rPr>
              <w:t>Precision-recall AUC</w:t>
            </w:r>
          </w:p>
        </w:tc>
        <w:tc>
          <w:tcPr>
            <w:tcW w:type="dxa" w:w="2200"/>
            <w:tcMar>
              <w:top w:w="80" w:type="dxa"/>
              <w:start w:w="120" w:type="dxa"/>
              <w:bottom w:w="80" w:type="dxa"/>
              <w:end w:w="120" w:type="dxa"/>
            </w:tcMar>
            <w:vAlign w:val="center"/>
          </w:tcPr>
          <w:p>
            <w:pPr>
              <w:spacing w:after="0"/>
            </w:pPr>
            <w:r/>
            <w:r>
              <w:rPr>
                <w:rFonts w:ascii="Calibri" w:hAnsi="Calibri"/>
                <w:color w:val="1F2937"/>
                <w:sz w:val="18"/>
              </w:rPr>
              <w:t>0.711</w:t>
            </w:r>
          </w:p>
        </w:tc>
        <w:tc>
          <w:tcPr>
            <w:tcW w:type="dxa" w:w="4860"/>
            <w:tcMar>
              <w:top w:w="80" w:type="dxa"/>
              <w:start w:w="120" w:type="dxa"/>
              <w:bottom w:w="80" w:type="dxa"/>
              <w:end w:w="120" w:type="dxa"/>
            </w:tcMar>
            <w:vAlign w:val="center"/>
          </w:tcPr>
          <w:p>
            <w:pPr>
              <w:spacing w:after="0"/>
            </w:pPr>
            <w:r/>
            <w:r>
              <w:rPr>
                <w:rFonts w:ascii="Calibri" w:hAnsi="Calibri"/>
                <w:color w:val="1F2937"/>
                <w:sz w:val="18"/>
              </w:rPr>
              <w:t>Performance under class imbalance.</w:t>
            </w:r>
          </w:p>
        </w:tc>
      </w:tr>
      <w:tr>
        <w:tc>
          <w:tcPr>
            <w:tcW w:type="dxa" w:w="2300"/>
            <w:tcMar>
              <w:top w:w="80" w:type="dxa"/>
              <w:start w:w="120" w:type="dxa"/>
              <w:bottom w:w="80" w:type="dxa"/>
              <w:end w:w="120" w:type="dxa"/>
            </w:tcMar>
            <w:vAlign w:val="center"/>
          </w:tcPr>
          <w:p>
            <w:pPr>
              <w:spacing w:after="0"/>
            </w:pPr>
            <w:r/>
            <w:r>
              <w:rPr>
                <w:rFonts w:ascii="Calibri" w:hAnsi="Calibri"/>
                <w:color w:val="1F2937"/>
                <w:sz w:val="18"/>
              </w:rPr>
              <w:t>Brier score</w:t>
            </w:r>
          </w:p>
        </w:tc>
        <w:tc>
          <w:tcPr>
            <w:tcW w:type="dxa" w:w="2200"/>
            <w:tcMar>
              <w:top w:w="80" w:type="dxa"/>
              <w:start w:w="120" w:type="dxa"/>
              <w:bottom w:w="80" w:type="dxa"/>
              <w:end w:w="120" w:type="dxa"/>
            </w:tcMar>
            <w:vAlign w:val="center"/>
          </w:tcPr>
          <w:p>
            <w:pPr>
              <w:spacing w:after="0"/>
            </w:pPr>
            <w:r/>
            <w:r>
              <w:rPr>
                <w:rFonts w:ascii="Calibri" w:hAnsi="Calibri"/>
                <w:color w:val="1F2937"/>
                <w:sz w:val="18"/>
              </w:rPr>
              <w:t>0.193</w:t>
            </w:r>
          </w:p>
        </w:tc>
        <w:tc>
          <w:tcPr>
            <w:tcW w:type="dxa" w:w="4860"/>
            <w:tcMar>
              <w:top w:w="80" w:type="dxa"/>
              <w:start w:w="120" w:type="dxa"/>
              <w:bottom w:w="80" w:type="dxa"/>
              <w:end w:w="120" w:type="dxa"/>
            </w:tcMar>
            <w:vAlign w:val="center"/>
          </w:tcPr>
          <w:p>
            <w:pPr>
              <w:spacing w:after="0"/>
            </w:pPr>
            <w:r/>
            <w:r>
              <w:rPr>
                <w:rFonts w:ascii="Calibri" w:hAnsi="Calibri"/>
                <w:color w:val="1F2937"/>
                <w:sz w:val="18"/>
              </w:rPr>
              <w:t>Probability error; lower is better.</w:t>
            </w:r>
          </w:p>
        </w:tc>
      </w:tr>
      <w:tr>
        <w:tc>
          <w:tcPr>
            <w:tcW w:type="dxa" w:w="2300"/>
            <w:tcMar>
              <w:top w:w="80" w:type="dxa"/>
              <w:start w:w="120" w:type="dxa"/>
              <w:bottom w:w="80" w:type="dxa"/>
              <w:end w:w="120" w:type="dxa"/>
            </w:tcMar>
            <w:vAlign w:val="center"/>
          </w:tcPr>
          <w:p>
            <w:pPr>
              <w:spacing w:after="0"/>
            </w:pPr>
            <w:r/>
            <w:r>
              <w:rPr>
                <w:rFonts w:ascii="Calibri" w:hAnsi="Calibri"/>
                <w:color w:val="1F2937"/>
                <w:sz w:val="18"/>
              </w:rPr>
              <w:t>High-tier recall</w:t>
            </w:r>
          </w:p>
        </w:tc>
        <w:tc>
          <w:tcPr>
            <w:tcW w:type="dxa" w:w="2200"/>
            <w:tcMar>
              <w:top w:w="80" w:type="dxa"/>
              <w:start w:w="120" w:type="dxa"/>
              <w:bottom w:w="80" w:type="dxa"/>
              <w:end w:w="120" w:type="dxa"/>
            </w:tcMar>
            <w:vAlign w:val="center"/>
          </w:tcPr>
          <w:p>
            <w:pPr>
              <w:spacing w:after="0"/>
            </w:pPr>
            <w:r/>
            <w:r>
              <w:rPr>
                <w:rFonts w:ascii="Calibri" w:hAnsi="Calibri"/>
                <w:color w:val="1F2937"/>
                <w:sz w:val="18"/>
              </w:rPr>
              <w:t>45.5%</w:t>
            </w:r>
          </w:p>
        </w:tc>
        <w:tc>
          <w:tcPr>
            <w:tcW w:type="dxa" w:w="4860"/>
            <w:tcMar>
              <w:top w:w="80" w:type="dxa"/>
              <w:start w:w="120" w:type="dxa"/>
              <w:bottom w:w="80" w:type="dxa"/>
              <w:end w:w="120" w:type="dxa"/>
            </w:tcMar>
            <w:vAlign w:val="center"/>
          </w:tcPr>
          <w:p>
            <w:pPr>
              <w:spacing w:after="0"/>
            </w:pPr>
            <w:r/>
            <w:r>
              <w:rPr>
                <w:rFonts w:ascii="Calibri" w:hAnsi="Calibri"/>
                <w:color w:val="1F2937"/>
                <w:sz w:val="18"/>
              </w:rPr>
              <w:t>High tier captured 45.5% of later adverse outcomes.</w:t>
            </w:r>
          </w:p>
        </w:tc>
      </w:tr>
      <w:tr>
        <w:tc>
          <w:tcPr>
            <w:tcW w:type="dxa" w:w="2300"/>
            <w:tcMar>
              <w:top w:w="80" w:type="dxa"/>
              <w:start w:w="120" w:type="dxa"/>
              <w:bottom w:w="80" w:type="dxa"/>
              <w:end w:w="120" w:type="dxa"/>
            </w:tcMar>
            <w:vAlign w:val="center"/>
          </w:tcPr>
          <w:p>
            <w:pPr>
              <w:spacing w:after="0"/>
            </w:pPr>
            <w:r/>
            <w:r>
              <w:rPr>
                <w:rFonts w:ascii="Calibri" w:hAnsi="Calibri"/>
                <w:color w:val="1F2937"/>
                <w:sz w:val="18"/>
              </w:rPr>
              <w:t>High-tier precision</w:t>
            </w:r>
          </w:p>
        </w:tc>
        <w:tc>
          <w:tcPr>
            <w:tcW w:type="dxa" w:w="2200"/>
            <w:tcMar>
              <w:top w:w="80" w:type="dxa"/>
              <w:start w:w="120" w:type="dxa"/>
              <w:bottom w:w="80" w:type="dxa"/>
              <w:end w:w="120" w:type="dxa"/>
            </w:tcMar>
            <w:vAlign w:val="center"/>
          </w:tcPr>
          <w:p>
            <w:pPr>
              <w:spacing w:after="0"/>
            </w:pPr>
            <w:r/>
            <w:r>
              <w:rPr>
                <w:rFonts w:ascii="Calibri" w:hAnsi="Calibri"/>
                <w:color w:val="1F2937"/>
                <w:sz w:val="18"/>
              </w:rPr>
              <w:t>72.5%</w:t>
            </w:r>
          </w:p>
        </w:tc>
        <w:tc>
          <w:tcPr>
            <w:tcW w:type="dxa" w:w="4860"/>
            <w:tcMar>
              <w:top w:w="80" w:type="dxa"/>
              <w:start w:w="120" w:type="dxa"/>
              <w:bottom w:w="80" w:type="dxa"/>
              <w:end w:w="120" w:type="dxa"/>
            </w:tcMar>
            <w:vAlign w:val="center"/>
          </w:tcPr>
          <w:p>
            <w:pPr>
              <w:spacing w:after="0"/>
            </w:pPr>
            <w:r/>
            <w:r>
              <w:rPr>
                <w:rFonts w:ascii="Calibri" w:hAnsi="Calibri"/>
                <w:color w:val="1F2937"/>
                <w:sz w:val="18"/>
              </w:rPr>
              <w:t>72.5% of High-tier records later had the adverse outcome.</w:t>
            </w:r>
          </w:p>
        </w:tc>
      </w:tr>
      <w:tr>
        <w:tc>
          <w:tcPr>
            <w:tcW w:type="dxa" w:w="2300"/>
            <w:tcMar>
              <w:top w:w="80" w:type="dxa"/>
              <w:start w:w="120" w:type="dxa"/>
              <w:bottom w:w="80" w:type="dxa"/>
              <w:end w:w="120" w:type="dxa"/>
            </w:tcMar>
            <w:vAlign w:val="center"/>
          </w:tcPr>
          <w:p>
            <w:pPr>
              <w:spacing w:after="0"/>
            </w:pPr>
            <w:r/>
            <w:r>
              <w:rPr>
                <w:rFonts w:ascii="Calibri" w:hAnsi="Calibri"/>
                <w:color w:val="1F2937"/>
                <w:sz w:val="18"/>
              </w:rPr>
              <w:t>High review rate</w:t>
            </w:r>
          </w:p>
        </w:tc>
        <w:tc>
          <w:tcPr>
            <w:tcW w:type="dxa" w:w="2200"/>
            <w:tcMar>
              <w:top w:w="80" w:type="dxa"/>
              <w:start w:w="120" w:type="dxa"/>
              <w:bottom w:w="80" w:type="dxa"/>
              <w:end w:w="120" w:type="dxa"/>
            </w:tcMar>
            <w:vAlign w:val="center"/>
          </w:tcPr>
          <w:p>
            <w:pPr>
              <w:spacing w:after="0"/>
            </w:pPr>
            <w:r/>
            <w:r>
              <w:rPr>
                <w:rFonts w:ascii="Calibri" w:hAnsi="Calibri"/>
                <w:color w:val="1F2937"/>
                <w:sz w:val="18"/>
              </w:rPr>
              <w:t>24.9%</w:t>
            </w:r>
          </w:p>
        </w:tc>
        <w:tc>
          <w:tcPr>
            <w:tcW w:type="dxa" w:w="4860"/>
            <w:tcMar>
              <w:top w:w="80" w:type="dxa"/>
              <w:start w:w="120" w:type="dxa"/>
              <w:bottom w:w="80" w:type="dxa"/>
              <w:end w:w="120" w:type="dxa"/>
            </w:tcMar>
            <w:vAlign w:val="center"/>
          </w:tcPr>
          <w:p>
            <w:pPr>
              <w:spacing w:after="0"/>
            </w:pPr>
            <w:r/>
            <w:r>
              <w:rPr>
                <w:rFonts w:ascii="Calibri" w:hAnsi="Calibri"/>
                <w:color w:val="1F2937"/>
                <w:sz w:val="18"/>
              </w:rPr>
              <w:t>2,253 of 9,048 test records were High.</w:t>
            </w:r>
          </w:p>
        </w:tc>
      </w:tr>
      <w:tr>
        <w:tc>
          <w:tcPr>
            <w:tcW w:type="dxa" w:w="2300"/>
            <w:tcMar>
              <w:top w:w="80" w:type="dxa"/>
              <w:start w:w="120" w:type="dxa"/>
              <w:bottom w:w="80" w:type="dxa"/>
              <w:end w:w="120" w:type="dxa"/>
            </w:tcMar>
            <w:vAlign w:val="center"/>
          </w:tcPr>
          <w:p>
            <w:pPr>
              <w:spacing w:after="0"/>
            </w:pPr>
            <w:r/>
            <w:r>
              <w:rPr>
                <w:rFonts w:ascii="Calibri" w:hAnsi="Calibri"/>
                <w:color w:val="1F2937"/>
                <w:sz w:val="18"/>
              </w:rPr>
              <w:t>Medium + High recall</w:t>
            </w:r>
          </w:p>
        </w:tc>
        <w:tc>
          <w:tcPr>
            <w:tcW w:type="dxa" w:w="2200"/>
            <w:tcMar>
              <w:top w:w="80" w:type="dxa"/>
              <w:start w:w="120" w:type="dxa"/>
              <w:bottom w:w="80" w:type="dxa"/>
              <w:end w:w="120" w:type="dxa"/>
            </w:tcMar>
            <w:vAlign w:val="center"/>
          </w:tcPr>
          <w:p>
            <w:pPr>
              <w:spacing w:after="0"/>
            </w:pPr>
            <w:r/>
            <w:r>
              <w:rPr>
                <w:rFonts w:ascii="Calibri" w:hAnsi="Calibri"/>
                <w:color w:val="1F2937"/>
                <w:sz w:val="18"/>
              </w:rPr>
              <w:t>74.5%</w:t>
            </w:r>
          </w:p>
        </w:tc>
        <w:tc>
          <w:tcPr>
            <w:tcW w:type="dxa" w:w="4860"/>
            <w:tcMar>
              <w:top w:w="80" w:type="dxa"/>
              <w:start w:w="120" w:type="dxa"/>
              <w:bottom w:w="80" w:type="dxa"/>
              <w:end w:w="120" w:type="dxa"/>
            </w:tcMar>
            <w:vAlign w:val="center"/>
          </w:tcPr>
          <w:p>
            <w:pPr>
              <w:spacing w:after="0"/>
            </w:pPr>
            <w:r/>
            <w:r>
              <w:rPr>
                <w:rFonts w:ascii="Calibri" w:hAnsi="Calibri"/>
                <w:color w:val="1F2937"/>
                <w:sz w:val="18"/>
              </w:rPr>
              <w:t>Broader review tiers captured 74.5% of adverse outcomes.</w:t>
            </w:r>
          </w:p>
        </w:tc>
      </w:tr>
    </w:tbl>
    <w:p>
      <w:r>
        <w:t>These are historical test results, not promises about future students. High-tier recall below 50% means many students with later adverse outcomes were not placed in High, so the system must not replace normal academic support processes.</w:t>
      </w:r>
    </w:p>
    <w:p>
      <w:pPr>
        <w:pStyle w:val="Heading1"/>
      </w:pPr>
      <w:r>
        <w:t>12. Explainability and Intervention Support</w:t>
      </w:r>
    </w:p>
    <w:p>
      <w:r>
        <w:t>SHAP was used to show how model features contributed to predictions globally and for a selected test sample. SHAP values explain the model calculation; they do not prove why a student experienced an outcome.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7324D"/>
            <w:tcMar>
              <w:top w:w="80" w:type="dxa"/>
              <w:start w:w="120" w:type="dxa"/>
              <w:bottom w:w="80" w:type="dxa"/>
              <w:end w:w="120" w:type="dxa"/>
            </w:tcMar>
            <w:vAlign w:val="center"/>
          </w:tcPr>
          <w:p>
            <w:pPr>
              <w:spacing w:after="0"/>
            </w:pPr>
            <w:r/>
            <w:r>
              <w:rPr>
                <w:rFonts w:ascii="Calibri" w:hAnsi="Calibri"/>
                <w:b/>
                <w:color w:val="FFFFFF"/>
                <w:sz w:val="19"/>
              </w:rPr>
              <w:t>Visible indicator</w:t>
            </w:r>
          </w:p>
        </w:tc>
        <w:tc>
          <w:tcPr>
            <w:tcW w:type="dxa" w:w="6360"/>
            <w:shd w:fill="17324D"/>
            <w:tcMar>
              <w:top w:w="80" w:type="dxa"/>
              <w:start w:w="120" w:type="dxa"/>
              <w:bottom w:w="80" w:type="dxa"/>
              <w:end w:w="120" w:type="dxa"/>
            </w:tcMar>
            <w:vAlign w:val="center"/>
          </w:tcPr>
          <w:p>
            <w:pPr>
              <w:spacing w:after="0"/>
            </w:pPr>
            <w:r/>
            <w:r>
              <w:rPr>
                <w:rFonts w:ascii="Calibri" w:hAnsi="Calibri"/>
                <w:b/>
                <w:color w:val="FFFFFF"/>
                <w:sz w:val="19"/>
              </w:rPr>
              <w:t>Faculty-reviewed support option</w:t>
            </w:r>
          </w:p>
        </w:tc>
      </w:tr>
      <w:tr>
        <w:tc>
          <w:tcPr>
            <w:tcW w:type="dxa" w:w="3000"/>
            <w:tcMar>
              <w:top w:w="80" w:type="dxa"/>
              <w:start w:w="120" w:type="dxa"/>
              <w:bottom w:w="80" w:type="dxa"/>
              <w:end w:w="120" w:type="dxa"/>
            </w:tcMar>
            <w:vAlign w:val="center"/>
          </w:tcPr>
          <w:p>
            <w:pPr>
              <w:spacing w:after="0"/>
            </w:pPr>
            <w:r/>
            <w:r>
              <w:rPr>
                <w:rFonts w:ascii="Calibri" w:hAnsi="Calibri"/>
                <w:color w:val="1F2937"/>
                <w:sz w:val="19"/>
              </w:rPr>
              <w:t>No recent VLE activity</w:t>
            </w:r>
          </w:p>
        </w:tc>
        <w:tc>
          <w:tcPr>
            <w:tcW w:type="dxa" w:w="6360"/>
            <w:tcMar>
              <w:top w:w="80" w:type="dxa"/>
              <w:start w:w="120" w:type="dxa"/>
              <w:bottom w:w="80" w:type="dxa"/>
              <w:end w:w="120" w:type="dxa"/>
            </w:tcMar>
            <w:vAlign w:val="center"/>
          </w:tcPr>
          <w:p>
            <w:pPr>
              <w:spacing w:after="0"/>
            </w:pPr>
            <w:r/>
            <w:r>
              <w:rPr>
                <w:rFonts w:ascii="Calibri" w:hAnsi="Calibri"/>
                <w:color w:val="1F2937"/>
                <w:sz w:val="19"/>
              </w:rPr>
              <w:t>Check access, engagement, and study planning.</w:t>
            </w:r>
          </w:p>
        </w:tc>
      </w:tr>
      <w:tr>
        <w:tc>
          <w:tcPr>
            <w:tcW w:type="dxa" w:w="3000"/>
            <w:tcMar>
              <w:top w:w="80" w:type="dxa"/>
              <w:start w:w="120" w:type="dxa"/>
              <w:bottom w:w="80" w:type="dxa"/>
              <w:end w:w="120" w:type="dxa"/>
            </w:tcMar>
            <w:vAlign w:val="center"/>
          </w:tcPr>
          <w:p>
            <w:pPr>
              <w:spacing w:after="0"/>
            </w:pPr>
            <w:r/>
            <w:r>
              <w:rPr>
                <w:rFonts w:ascii="Calibri" w:hAnsi="Calibri"/>
                <w:color w:val="1F2937"/>
                <w:sz w:val="19"/>
              </w:rPr>
              <w:t>Incomplete due assessment</w:t>
            </w:r>
          </w:p>
        </w:tc>
        <w:tc>
          <w:tcPr>
            <w:tcW w:type="dxa" w:w="6360"/>
            <w:tcMar>
              <w:top w:w="80" w:type="dxa"/>
              <w:start w:w="120" w:type="dxa"/>
              <w:bottom w:w="80" w:type="dxa"/>
              <w:end w:w="120" w:type="dxa"/>
            </w:tcMar>
            <w:vAlign w:val="center"/>
          </w:tcPr>
          <w:p>
            <w:pPr>
              <w:spacing w:after="0"/>
            </w:pPr>
            <w:r/>
            <w:r>
              <w:rPr>
                <w:rFonts w:ascii="Calibri" w:hAnsi="Calibri"/>
                <w:color w:val="1F2937"/>
                <w:sz w:val="19"/>
              </w:rPr>
              <w:t>Verify the record and discuss deadline or academic support.</w:t>
            </w:r>
          </w:p>
        </w:tc>
      </w:tr>
      <w:tr>
        <w:tc>
          <w:tcPr>
            <w:tcW w:type="dxa" w:w="3000"/>
            <w:tcMar>
              <w:top w:w="80" w:type="dxa"/>
              <w:start w:w="120" w:type="dxa"/>
              <w:bottom w:w="80" w:type="dxa"/>
              <w:end w:w="120" w:type="dxa"/>
            </w:tcMar>
            <w:vAlign w:val="center"/>
          </w:tcPr>
          <w:p>
            <w:pPr>
              <w:spacing w:after="0"/>
            </w:pPr>
            <w:r/>
            <w:r>
              <w:rPr>
                <w:rFonts w:ascii="Calibri" w:hAnsi="Calibri"/>
                <w:color w:val="1F2937"/>
                <w:sz w:val="19"/>
              </w:rPr>
              <w:t>Low available assessment score</w:t>
            </w:r>
          </w:p>
        </w:tc>
        <w:tc>
          <w:tcPr>
            <w:tcW w:type="dxa" w:w="6360"/>
            <w:tcMar>
              <w:top w:w="80" w:type="dxa"/>
              <w:start w:w="120" w:type="dxa"/>
              <w:bottom w:w="80" w:type="dxa"/>
              <w:end w:w="120" w:type="dxa"/>
            </w:tcMar>
            <w:vAlign w:val="center"/>
          </w:tcPr>
          <w:p>
            <w:pPr>
              <w:spacing w:after="0"/>
            </w:pPr>
            <w:r/>
            <w:r>
              <w:rPr>
                <w:rFonts w:ascii="Calibri" w:hAnsi="Calibri"/>
                <w:color w:val="1F2937"/>
                <w:sz w:val="19"/>
              </w:rPr>
              <w:t>Offer feedback, tutoring, or study-skills resources.</w:t>
            </w:r>
          </w:p>
        </w:tc>
      </w:tr>
      <w:tr>
        <w:tc>
          <w:tcPr>
            <w:tcW w:type="dxa" w:w="3000"/>
            <w:tcMar>
              <w:top w:w="80" w:type="dxa"/>
              <w:start w:w="120" w:type="dxa"/>
              <w:bottom w:w="80" w:type="dxa"/>
              <w:end w:w="120" w:type="dxa"/>
            </w:tcMar>
            <w:vAlign w:val="center"/>
          </w:tcPr>
          <w:p>
            <w:pPr>
              <w:spacing w:after="0"/>
            </w:pPr>
            <w:r/>
            <w:r>
              <w:rPr>
                <w:rFonts w:ascii="Calibri" w:hAnsi="Calibri"/>
                <w:color w:val="1F2937"/>
                <w:sz w:val="19"/>
              </w:rPr>
              <w:t>Recent engagement decline</w:t>
            </w:r>
          </w:p>
        </w:tc>
        <w:tc>
          <w:tcPr>
            <w:tcW w:type="dxa" w:w="6360"/>
            <w:tcMar>
              <w:top w:w="80" w:type="dxa"/>
              <w:start w:w="120" w:type="dxa"/>
              <w:bottom w:w="80" w:type="dxa"/>
              <w:end w:w="120" w:type="dxa"/>
            </w:tcMar>
            <w:vAlign w:val="center"/>
          </w:tcPr>
          <w:p>
            <w:pPr>
              <w:spacing w:after="0"/>
            </w:pPr>
            <w:r/>
            <w:r>
              <w:rPr>
                <w:rFonts w:ascii="Calibri" w:hAnsi="Calibri"/>
                <w:color w:val="1F2937"/>
                <w:sz w:val="19"/>
              </w:rPr>
              <w:t>Confirm the pattern and consider a supportive check-in.</w:t>
            </w:r>
          </w:p>
        </w:tc>
      </w:tr>
      <w:tr>
        <w:tc>
          <w:tcPr>
            <w:tcW w:type="dxa" w:w="3000"/>
            <w:tcMar>
              <w:top w:w="80" w:type="dxa"/>
              <w:start w:w="120" w:type="dxa"/>
              <w:bottom w:w="80" w:type="dxa"/>
              <w:end w:w="120" w:type="dxa"/>
            </w:tcMar>
            <w:vAlign w:val="center"/>
          </w:tcPr>
          <w:p>
            <w:pPr>
              <w:spacing w:after="0"/>
            </w:pPr>
            <w:r/>
            <w:r>
              <w:rPr>
                <w:rFonts w:ascii="Calibri" w:hAnsi="Calibri"/>
                <w:color w:val="1F2937"/>
                <w:sz w:val="19"/>
              </w:rPr>
              <w:t>Previous attempt</w:t>
            </w:r>
          </w:p>
        </w:tc>
        <w:tc>
          <w:tcPr>
            <w:tcW w:type="dxa" w:w="6360"/>
            <w:tcMar>
              <w:top w:w="80" w:type="dxa"/>
              <w:start w:w="120" w:type="dxa"/>
              <w:bottom w:w="80" w:type="dxa"/>
              <w:end w:w="120" w:type="dxa"/>
            </w:tcMar>
            <w:vAlign w:val="center"/>
          </w:tcPr>
          <w:p>
            <w:pPr>
              <w:spacing w:after="0"/>
            </w:pPr>
            <w:r/>
            <w:r>
              <w:rPr>
                <w:rFonts w:ascii="Calibri" w:hAnsi="Calibri"/>
                <w:color w:val="1F2937"/>
                <w:sz w:val="19"/>
              </w:rPr>
              <w:t>Consider an academic-adviser review.</w:t>
            </w:r>
          </w:p>
        </w:tc>
      </w:tr>
    </w:tbl>
    <w:p>
      <w:pPr>
        <w:pStyle w:val="Heading1"/>
      </w:pPr>
      <w:r>
        <w:t>13. Dashboard and Decision-Support Interface</w:t>
      </w:r>
    </w:p>
    <w:p>
      <w:r>
        <w:t>The Streamlit prototype contains Faculty, Student, and Evaluation views. The Faculty view shows the review queue, support tier, probability, indicators, support options, and a permanent human-review warning. The Student view avoids risk labels and focuses on understandable learning records and support. The Evaluation view reports model performance, calibration, SHAP factors, and subgroup audits.</w:t>
      </w:r>
    </w:p>
    <w:p>
      <w:r>
        <w:drawing>
          <wp:inline xmlns:a="http://schemas.openxmlformats.org/drawingml/2006/main" xmlns:pic="http://schemas.openxmlformats.org/drawingml/2006/picture">
            <wp:extent cx="5897880" cy="2916070"/>
            <wp:docPr id="1" name="Picture 1"/>
            <wp:cNvGraphicFramePr>
              <a:graphicFrameLocks noChangeAspect="1"/>
            </wp:cNvGraphicFramePr>
            <a:graphic>
              <a:graphicData uri="http://schemas.openxmlformats.org/drawingml/2006/picture">
                <pic:pic>
                  <pic:nvPicPr>
                    <pic:cNvPr id="0" name="dashboard_faculty_final.png"/>
                    <pic:cNvPicPr/>
                  </pic:nvPicPr>
                  <pic:blipFill>
                    <a:blip r:embed="rId11"/>
                    <a:stretch>
                      <a:fillRect/>
                    </a:stretch>
                  </pic:blipFill>
                  <pic:spPr>
                    <a:xfrm>
                      <a:off x="0" y="0"/>
                      <a:ext cx="5897880" cy="2916070"/>
                    </a:xfrm>
                    <a:prstGeom prst="rect"/>
                  </pic:spPr>
                </pic:pic>
              </a:graphicData>
            </a:graphic>
          </wp:inline>
        </w:drawing>
      </w:r>
    </w:p>
    <w:p>
      <w:pPr>
        <w:spacing w:before="60" w:after="160"/>
        <w:jc w:val="center"/>
      </w:pPr>
      <w:r>
        <w:rPr>
          <w:rFonts w:ascii="Calibri" w:hAnsi="Calibri"/>
          <w:i/>
          <w:color w:val="64748B"/>
          <w:sz w:val="18"/>
        </w:rPr>
        <w:t>Figure 1. Faculty decision-support dashboard prototype.</w:t>
      </w:r>
    </w:p>
    <w:p>
      <w:r>
        <w:drawing>
          <wp:inline xmlns:a="http://schemas.openxmlformats.org/drawingml/2006/main" xmlns:pic="http://schemas.openxmlformats.org/drawingml/2006/picture">
            <wp:extent cx="5897880" cy="2916070"/>
            <wp:docPr id="2" name="Picture 2"/>
            <wp:cNvGraphicFramePr>
              <a:graphicFrameLocks noChangeAspect="1"/>
            </wp:cNvGraphicFramePr>
            <a:graphic>
              <a:graphicData uri="http://schemas.openxmlformats.org/drawingml/2006/picture">
                <pic:pic>
                  <pic:nvPicPr>
                    <pic:cNvPr id="0" name="dashboard_evaluation.png"/>
                    <pic:cNvPicPr/>
                  </pic:nvPicPr>
                  <pic:blipFill>
                    <a:blip r:embed="rId12"/>
                    <a:stretch>
                      <a:fillRect/>
                    </a:stretch>
                  </pic:blipFill>
                  <pic:spPr>
                    <a:xfrm>
                      <a:off x="0" y="0"/>
                      <a:ext cx="5897880" cy="2916070"/>
                    </a:xfrm>
                    <a:prstGeom prst="rect"/>
                  </pic:spPr>
                </pic:pic>
              </a:graphicData>
            </a:graphic>
          </wp:inline>
        </w:drawing>
      </w:r>
    </w:p>
    <w:p>
      <w:pPr>
        <w:spacing w:before="60" w:after="160"/>
        <w:jc w:val="center"/>
      </w:pPr>
      <w:r>
        <w:rPr>
          <w:rFonts w:ascii="Calibri" w:hAnsi="Calibri"/>
          <w:i/>
          <w:color w:val="64748B"/>
          <w:sz w:val="18"/>
        </w:rPr>
        <w:t>Figure 2. Research evaluation dashboard prototype.</w:t>
      </w:r>
    </w:p>
    <w:p>
      <w:r>
        <w:t>A Power BI-ready Excel data model, DAX measure list, visual theme, and five-page dashboard specification have also been prepared. Native .pbix assembly remains to be completed on a computer with Power BI Desktop.</w:t>
      </w:r>
    </w:p>
    <w:p>
      <w:pPr>
        <w:pStyle w:val="Heading1"/>
      </w:pPr>
      <w:r>
        <w:t>14. Privacy, Fairness, and Responsible Use</w:t>
      </w:r>
    </w:p>
    <w:p>
      <w:pPr>
        <w:pStyle w:val="ListBullet"/>
      </w:pPr>
      <w:r>
        <w:t>Use only the minimum necessary data and keep direct identifiers outside modelling data.</w:t>
      </w:r>
    </w:p>
    <w:p>
      <w:pPr>
        <w:pStyle w:val="ListBullet"/>
      </w:pPr>
      <w:r>
        <w:t>Restrict student-level access and maintain review and access logs.</w:t>
      </w:r>
    </w:p>
    <w:p>
      <w:pPr>
        <w:pStyle w:val="ListBullet"/>
      </w:pPr>
      <w:r>
        <w:t>Allow students to correct inaccurate source records.</w:t>
      </w:r>
    </w:p>
    <w:p>
      <w:pPr>
        <w:pStyle w:val="ListBullet"/>
      </w:pPr>
      <w:r>
        <w:t>Do not use the model for discipline, grading, admissions, scholarships, or denial of services.</w:t>
      </w:r>
    </w:p>
    <w:p>
      <w:pPr>
        <w:pStyle w:val="ListBullet"/>
      </w:pPr>
      <w:r>
        <w:t>Review group recall, precision, selection rate, and false-positive rate before any local pilot.</w:t>
      </w:r>
    </w:p>
    <w:p>
      <w:pPr>
        <w:pStyle w:val="ListBullet"/>
      </w:pPr>
      <w:r>
        <w:t>Communicate uncertainty and keep faculty responsible for the final decision.</w:t>
      </w:r>
    </w:p>
    <w:p>
      <w:r>
        <w:t>The subgroup audit showed similar High-tier recall by gender but different false-positive rates, which requires investigation rather than a simple declaration of fairness. Demographic differences are monitoring signals, not explanations of student behaviour.</w:t>
      </w:r>
    </w:p>
    <w:p>
      <w:pPr>
        <w:pStyle w:val="Heading1"/>
      </w:pPr>
      <w:r>
        <w:t>15. Testing and Reproducibility</w:t>
      </w:r>
    </w:p>
    <w:p>
      <w:r>
        <w:t>The repository contains run scripts for data preparation, exploratory analysis, model training, support outputs, SHAP explanations, and dashboard launch. Automated tests cover schema checks, label creation, risk tiers, feature construction, and intervention rules. The complete test suite passed 13 tests during the latest verified run.</w:t>
      </w:r>
    </w:p>
    <w:p>
      <w:pPr>
        <w:pStyle w:val="Heading1"/>
      </w:pPr>
      <w:r>
        <w:t>16. Current Project Update</w:t>
      </w:r>
    </w:p>
    <w:tbl>
      <w:tblPr>
        <w:tblStyle w:val="TableGrid"/>
        <w:tblW w:type="dxa" w:w="9360"/>
        <w:jc w:val="left"/>
        <w:tblLayout w:type="fixed"/>
        <w:tblLook w:firstColumn="1" w:firstRow="1" w:lastColumn="0" w:lastRow="0" w:noHBand="0" w:noVBand="1" w:val="04A0"/>
        <w:tblInd w:w="120" w:type="dxa"/>
      </w:tblPr>
      <w:tblGrid>
        <w:gridCol w:w="3000"/>
        <w:gridCol w:w="1800"/>
        <w:gridCol w:w="4560"/>
      </w:tblGrid>
      <w:tr>
        <w:trPr>
          <w:tblHeader w:val="true"/>
        </w:trPr>
        <w:tc>
          <w:tcPr>
            <w:tcW w:type="dxa" w:w="3000"/>
            <w:shd w:fill="17324D"/>
            <w:tcMar>
              <w:top w:w="80" w:type="dxa"/>
              <w:start w:w="120" w:type="dxa"/>
              <w:bottom w:w="80" w:type="dxa"/>
              <w:end w:w="120" w:type="dxa"/>
            </w:tcMar>
            <w:vAlign w:val="center"/>
          </w:tcPr>
          <w:p>
            <w:pPr>
              <w:spacing w:after="0"/>
            </w:pPr>
            <w:r/>
            <w:r>
              <w:rPr>
                <w:rFonts w:ascii="Calibri" w:hAnsi="Calibri"/>
                <w:b/>
                <w:color w:val="FFFFFF"/>
                <w:sz w:val="17"/>
              </w:rPr>
              <w:t>Work item</w:t>
            </w:r>
          </w:p>
        </w:tc>
        <w:tc>
          <w:tcPr>
            <w:tcW w:type="dxa" w:w="1800"/>
            <w:shd w:fill="17324D"/>
            <w:tcMar>
              <w:top w:w="80" w:type="dxa"/>
              <w:start w:w="120" w:type="dxa"/>
              <w:bottom w:w="80" w:type="dxa"/>
              <w:end w:w="120" w:type="dxa"/>
            </w:tcMar>
            <w:vAlign w:val="center"/>
          </w:tcPr>
          <w:p>
            <w:pPr>
              <w:spacing w:after="0"/>
            </w:pPr>
            <w:r/>
            <w:r>
              <w:rPr>
                <w:rFonts w:ascii="Calibri" w:hAnsi="Calibri"/>
                <w:b/>
                <w:color w:val="FFFFFF"/>
                <w:sz w:val="17"/>
              </w:rPr>
              <w:t>Status</w:t>
            </w:r>
          </w:p>
        </w:tc>
        <w:tc>
          <w:tcPr>
            <w:tcW w:type="dxa" w:w="4560"/>
            <w:shd w:fill="17324D"/>
            <w:tcMar>
              <w:top w:w="80" w:type="dxa"/>
              <w:start w:w="120" w:type="dxa"/>
              <w:bottom w:w="80" w:type="dxa"/>
              <w:end w:w="120" w:type="dxa"/>
            </w:tcMar>
            <w:vAlign w:val="center"/>
          </w:tcPr>
          <w:p>
            <w:pPr>
              <w:spacing w:after="0"/>
            </w:pPr>
            <w:r/>
            <w:r>
              <w:rPr>
                <w:rFonts w:ascii="Calibri" w:hAnsi="Calibri"/>
                <w:b/>
                <w:color w:val="FFFFFF"/>
                <w:sz w:val="17"/>
              </w:rPr>
              <w:t>Evidence / output</w:t>
            </w:r>
          </w:p>
        </w:tc>
      </w:tr>
      <w:tr>
        <w:tc>
          <w:tcPr>
            <w:tcW w:type="dxa" w:w="3000"/>
            <w:tcMar>
              <w:top w:w="80" w:type="dxa"/>
              <w:start w:w="120" w:type="dxa"/>
              <w:bottom w:w="80" w:type="dxa"/>
              <w:end w:w="120" w:type="dxa"/>
            </w:tcMar>
            <w:vAlign w:val="center"/>
          </w:tcPr>
          <w:p>
            <w:pPr>
              <w:spacing w:after="0"/>
            </w:pPr>
            <w:r/>
            <w:r>
              <w:rPr>
                <w:rFonts w:ascii="Calibri" w:hAnsi="Calibri"/>
                <w:color w:val="1F2937"/>
                <w:sz w:val="17"/>
              </w:rPr>
              <w:t>Problem, scope, objectives</w:t>
            </w:r>
          </w:p>
        </w:tc>
        <w:tc>
          <w:tcPr>
            <w:tcW w:type="dxa" w:w="1800"/>
            <w:tcMar>
              <w:top w:w="80" w:type="dxa"/>
              <w:start w:w="120" w:type="dxa"/>
              <w:bottom w:w="80" w:type="dxa"/>
              <w:end w:w="120" w:type="dxa"/>
            </w:tcMar>
            <w:vAlign w:val="center"/>
          </w:tcPr>
          <w:p>
            <w:pPr>
              <w:spacing w:after="0"/>
            </w:pPr>
            <w:r/>
            <w:r>
              <w:rPr>
                <w:rFonts w:ascii="Calibri" w:hAnsi="Calibri"/>
                <w:color w:val="1F2937"/>
                <w:sz w:val="17"/>
              </w:rPr>
              <w:t>Completed</w:t>
            </w:r>
          </w:p>
        </w:tc>
        <w:tc>
          <w:tcPr>
            <w:tcW w:type="dxa" w:w="4560"/>
            <w:tcMar>
              <w:top w:w="80" w:type="dxa"/>
              <w:start w:w="120" w:type="dxa"/>
              <w:bottom w:w="80" w:type="dxa"/>
              <w:end w:w="120" w:type="dxa"/>
            </w:tcMar>
            <w:vAlign w:val="center"/>
          </w:tcPr>
          <w:p>
            <w:pPr>
              <w:spacing w:after="0"/>
            </w:pPr>
            <w:r/>
            <w:r>
              <w:rPr>
                <w:rFonts w:ascii="Calibri" w:hAnsi="Calibri"/>
                <w:color w:val="1F2937"/>
                <w:sz w:val="17"/>
              </w:rPr>
              <w:t>Project charter and final report.</w:t>
            </w:r>
          </w:p>
        </w:tc>
      </w:tr>
      <w:tr>
        <w:tc>
          <w:tcPr>
            <w:tcW w:type="dxa" w:w="3000"/>
            <w:tcMar>
              <w:top w:w="80" w:type="dxa"/>
              <w:start w:w="120" w:type="dxa"/>
              <w:bottom w:w="80" w:type="dxa"/>
              <w:end w:w="120" w:type="dxa"/>
            </w:tcMar>
            <w:vAlign w:val="center"/>
          </w:tcPr>
          <w:p>
            <w:pPr>
              <w:spacing w:after="0"/>
            </w:pPr>
            <w:r/>
            <w:r>
              <w:rPr>
                <w:rFonts w:ascii="Calibri" w:hAnsi="Calibri"/>
                <w:color w:val="1F2937"/>
                <w:sz w:val="17"/>
              </w:rPr>
              <w:t>Dataset selection and provenance</w:t>
            </w:r>
          </w:p>
        </w:tc>
        <w:tc>
          <w:tcPr>
            <w:tcW w:type="dxa" w:w="1800"/>
            <w:tcMar>
              <w:top w:w="80" w:type="dxa"/>
              <w:start w:w="120" w:type="dxa"/>
              <w:bottom w:w="80" w:type="dxa"/>
              <w:end w:w="120" w:type="dxa"/>
            </w:tcMar>
            <w:vAlign w:val="center"/>
          </w:tcPr>
          <w:p>
            <w:pPr>
              <w:spacing w:after="0"/>
            </w:pPr>
            <w:r/>
            <w:r>
              <w:rPr>
                <w:rFonts w:ascii="Calibri" w:hAnsi="Calibri"/>
                <w:color w:val="1F2937"/>
                <w:sz w:val="17"/>
              </w:rPr>
              <w:t>Completed</w:t>
            </w:r>
          </w:p>
        </w:tc>
        <w:tc>
          <w:tcPr>
            <w:tcW w:type="dxa" w:w="4560"/>
            <w:tcMar>
              <w:top w:w="80" w:type="dxa"/>
              <w:start w:w="120" w:type="dxa"/>
              <w:bottom w:w="80" w:type="dxa"/>
              <w:end w:w="120" w:type="dxa"/>
            </w:tcMar>
            <w:vAlign w:val="center"/>
          </w:tcPr>
          <w:p>
            <w:pPr>
              <w:spacing w:after="0"/>
            </w:pPr>
            <w:r/>
            <w:r>
              <w:rPr>
                <w:rFonts w:ascii="Calibri" w:hAnsi="Calibri"/>
                <w:color w:val="1F2937"/>
                <w:sz w:val="17"/>
              </w:rPr>
              <w:t>OULAD selection document and raw source tables.</w:t>
            </w:r>
          </w:p>
        </w:tc>
      </w:tr>
      <w:tr>
        <w:tc>
          <w:tcPr>
            <w:tcW w:type="dxa" w:w="3000"/>
            <w:tcMar>
              <w:top w:w="80" w:type="dxa"/>
              <w:start w:w="120" w:type="dxa"/>
              <w:bottom w:w="80" w:type="dxa"/>
              <w:end w:w="120" w:type="dxa"/>
            </w:tcMar>
            <w:vAlign w:val="center"/>
          </w:tcPr>
          <w:p>
            <w:pPr>
              <w:spacing w:after="0"/>
            </w:pPr>
            <w:r/>
            <w:r>
              <w:rPr>
                <w:rFonts w:ascii="Calibri" w:hAnsi="Calibri"/>
                <w:color w:val="1F2937"/>
                <w:sz w:val="17"/>
              </w:rPr>
              <w:t>Data cleaning and preprocessing</w:t>
            </w:r>
          </w:p>
        </w:tc>
        <w:tc>
          <w:tcPr>
            <w:tcW w:type="dxa" w:w="1800"/>
            <w:tcMar>
              <w:top w:w="80" w:type="dxa"/>
              <w:start w:w="120" w:type="dxa"/>
              <w:bottom w:w="80" w:type="dxa"/>
              <w:end w:w="120" w:type="dxa"/>
            </w:tcMar>
            <w:vAlign w:val="center"/>
          </w:tcPr>
          <w:p>
            <w:pPr>
              <w:spacing w:after="0"/>
            </w:pPr>
            <w:r/>
            <w:r>
              <w:rPr>
                <w:rFonts w:ascii="Calibri" w:hAnsi="Calibri"/>
                <w:color w:val="1F2937"/>
                <w:sz w:val="17"/>
              </w:rPr>
              <w:t>Completed</w:t>
            </w:r>
          </w:p>
        </w:tc>
        <w:tc>
          <w:tcPr>
            <w:tcW w:type="dxa" w:w="4560"/>
            <w:tcMar>
              <w:top w:w="80" w:type="dxa"/>
              <w:start w:w="120" w:type="dxa"/>
              <w:bottom w:w="80" w:type="dxa"/>
              <w:end w:w="120" w:type="dxa"/>
            </w:tcMar>
            <w:vAlign w:val="center"/>
          </w:tcPr>
          <w:p>
            <w:pPr>
              <w:spacing w:after="0"/>
            </w:pPr>
            <w:r/>
            <w:r>
              <w:rPr>
                <w:rFonts w:ascii="Calibri" w:hAnsi="Calibri"/>
                <w:color w:val="1F2937"/>
                <w:sz w:val="17"/>
              </w:rPr>
              <w:t>27,042-row day-40 snapshot and profile.</w:t>
            </w:r>
          </w:p>
        </w:tc>
      </w:tr>
      <w:tr>
        <w:tc>
          <w:tcPr>
            <w:tcW w:type="dxa" w:w="3000"/>
            <w:tcMar>
              <w:top w:w="80" w:type="dxa"/>
              <w:start w:w="120" w:type="dxa"/>
              <w:bottom w:w="80" w:type="dxa"/>
              <w:end w:w="120" w:type="dxa"/>
            </w:tcMar>
            <w:vAlign w:val="center"/>
          </w:tcPr>
          <w:p>
            <w:pPr>
              <w:spacing w:after="0"/>
            </w:pPr>
            <w:r/>
            <w:r>
              <w:rPr>
                <w:rFonts w:ascii="Calibri" w:hAnsi="Calibri"/>
                <w:color w:val="1F2937"/>
                <w:sz w:val="17"/>
              </w:rPr>
              <w:t>EDA</w:t>
            </w:r>
          </w:p>
        </w:tc>
        <w:tc>
          <w:tcPr>
            <w:tcW w:type="dxa" w:w="1800"/>
            <w:tcMar>
              <w:top w:w="80" w:type="dxa"/>
              <w:start w:w="120" w:type="dxa"/>
              <w:bottom w:w="80" w:type="dxa"/>
              <w:end w:w="120" w:type="dxa"/>
            </w:tcMar>
            <w:vAlign w:val="center"/>
          </w:tcPr>
          <w:p>
            <w:pPr>
              <w:spacing w:after="0"/>
            </w:pPr>
            <w:r/>
            <w:r>
              <w:rPr>
                <w:rFonts w:ascii="Calibri" w:hAnsi="Calibri"/>
                <w:color w:val="1F2937"/>
                <w:sz w:val="17"/>
              </w:rPr>
              <w:t>Completed</w:t>
            </w:r>
          </w:p>
        </w:tc>
        <w:tc>
          <w:tcPr>
            <w:tcW w:type="dxa" w:w="4560"/>
            <w:tcMar>
              <w:top w:w="80" w:type="dxa"/>
              <w:start w:w="120" w:type="dxa"/>
              <w:bottom w:w="80" w:type="dxa"/>
              <w:end w:w="120" w:type="dxa"/>
            </w:tcMar>
            <w:vAlign w:val="center"/>
          </w:tcPr>
          <w:p>
            <w:pPr>
              <w:spacing w:after="0"/>
            </w:pPr>
            <w:r/>
            <w:r>
              <w:rPr>
                <w:rFonts w:ascii="Calibri" w:hAnsi="Calibri"/>
                <w:color w:val="1F2937"/>
                <w:sz w:val="17"/>
              </w:rPr>
              <w:t>Summary JSON, CSV tables, and HTML report.</w:t>
            </w:r>
          </w:p>
        </w:tc>
      </w:tr>
      <w:tr>
        <w:tc>
          <w:tcPr>
            <w:tcW w:type="dxa" w:w="3000"/>
            <w:tcMar>
              <w:top w:w="80" w:type="dxa"/>
              <w:start w:w="120" w:type="dxa"/>
              <w:bottom w:w="80" w:type="dxa"/>
              <w:end w:w="120" w:type="dxa"/>
            </w:tcMar>
            <w:vAlign w:val="center"/>
          </w:tcPr>
          <w:p>
            <w:pPr>
              <w:spacing w:after="0"/>
            </w:pPr>
            <w:r/>
            <w:r>
              <w:rPr>
                <w:rFonts w:ascii="Calibri" w:hAnsi="Calibri"/>
                <w:color w:val="1F2937"/>
                <w:sz w:val="17"/>
              </w:rPr>
              <w:t>Model comparison and calibration</w:t>
            </w:r>
          </w:p>
        </w:tc>
        <w:tc>
          <w:tcPr>
            <w:tcW w:type="dxa" w:w="1800"/>
            <w:tcMar>
              <w:top w:w="80" w:type="dxa"/>
              <w:start w:w="120" w:type="dxa"/>
              <w:bottom w:w="80" w:type="dxa"/>
              <w:end w:w="120" w:type="dxa"/>
            </w:tcMar>
            <w:vAlign w:val="center"/>
          </w:tcPr>
          <w:p>
            <w:pPr>
              <w:spacing w:after="0"/>
            </w:pPr>
            <w:r/>
            <w:r>
              <w:rPr>
                <w:rFonts w:ascii="Calibri" w:hAnsi="Calibri"/>
                <w:color w:val="1F2937"/>
                <w:sz w:val="17"/>
              </w:rPr>
              <w:t>Completed</w:t>
            </w:r>
          </w:p>
        </w:tc>
        <w:tc>
          <w:tcPr>
            <w:tcW w:type="dxa" w:w="4560"/>
            <w:tcMar>
              <w:top w:w="80" w:type="dxa"/>
              <w:start w:w="120" w:type="dxa"/>
              <w:bottom w:w="80" w:type="dxa"/>
              <w:end w:w="120" w:type="dxa"/>
            </w:tcMar>
            <w:vAlign w:val="center"/>
          </w:tcPr>
          <w:p>
            <w:pPr>
              <w:spacing w:after="0"/>
            </w:pPr>
            <w:r/>
            <w:r>
              <w:rPr>
                <w:rFonts w:ascii="Calibri" w:hAnsi="Calibri"/>
                <w:color w:val="1F2937"/>
                <w:sz w:val="17"/>
              </w:rPr>
              <w:t>Selected calibrated Random Forest and evaluation files.</w:t>
            </w:r>
          </w:p>
        </w:tc>
      </w:tr>
      <w:tr>
        <w:tc>
          <w:tcPr>
            <w:tcW w:type="dxa" w:w="3000"/>
            <w:tcMar>
              <w:top w:w="80" w:type="dxa"/>
              <w:start w:w="120" w:type="dxa"/>
              <w:bottom w:w="80" w:type="dxa"/>
              <w:end w:w="120" w:type="dxa"/>
            </w:tcMar>
            <w:vAlign w:val="center"/>
          </w:tcPr>
          <w:p>
            <w:pPr>
              <w:spacing w:after="0"/>
            </w:pPr>
            <w:r/>
            <w:r>
              <w:rPr>
                <w:rFonts w:ascii="Calibri" w:hAnsi="Calibri"/>
                <w:color w:val="1F2937"/>
                <w:sz w:val="17"/>
              </w:rPr>
              <w:t>SHAP and fairness audit</w:t>
            </w:r>
          </w:p>
        </w:tc>
        <w:tc>
          <w:tcPr>
            <w:tcW w:type="dxa" w:w="1800"/>
            <w:tcMar>
              <w:top w:w="80" w:type="dxa"/>
              <w:start w:w="120" w:type="dxa"/>
              <w:bottom w:w="80" w:type="dxa"/>
              <w:end w:w="120" w:type="dxa"/>
            </w:tcMar>
            <w:vAlign w:val="center"/>
          </w:tcPr>
          <w:p>
            <w:pPr>
              <w:spacing w:after="0"/>
            </w:pPr>
            <w:r/>
            <w:r>
              <w:rPr>
                <w:rFonts w:ascii="Calibri" w:hAnsi="Calibri"/>
                <w:color w:val="1F2937"/>
                <w:sz w:val="17"/>
              </w:rPr>
              <w:t>Completed</w:t>
            </w:r>
          </w:p>
        </w:tc>
        <w:tc>
          <w:tcPr>
            <w:tcW w:type="dxa" w:w="4560"/>
            <w:tcMar>
              <w:top w:w="80" w:type="dxa"/>
              <w:start w:w="120" w:type="dxa"/>
              <w:bottom w:w="80" w:type="dxa"/>
              <w:end w:w="120" w:type="dxa"/>
            </w:tcMar>
            <w:vAlign w:val="center"/>
          </w:tcPr>
          <w:p>
            <w:pPr>
              <w:spacing w:after="0"/>
            </w:pPr>
            <w:r/>
            <w:r>
              <w:rPr>
                <w:rFonts w:ascii="Calibri" w:hAnsi="Calibri"/>
                <w:color w:val="1F2937"/>
                <w:sz w:val="17"/>
              </w:rPr>
              <w:t>Global/local SHAP and subgroup audit artifacts.</w:t>
            </w:r>
          </w:p>
        </w:tc>
      </w:tr>
      <w:tr>
        <w:tc>
          <w:tcPr>
            <w:tcW w:type="dxa" w:w="3000"/>
            <w:tcMar>
              <w:top w:w="80" w:type="dxa"/>
              <w:start w:w="120" w:type="dxa"/>
              <w:bottom w:w="80" w:type="dxa"/>
              <w:end w:w="120" w:type="dxa"/>
            </w:tcMar>
            <w:vAlign w:val="center"/>
          </w:tcPr>
          <w:p>
            <w:pPr>
              <w:spacing w:after="0"/>
            </w:pPr>
            <w:r/>
            <w:r>
              <w:rPr>
                <w:rFonts w:ascii="Calibri" w:hAnsi="Calibri"/>
                <w:color w:val="1F2937"/>
                <w:sz w:val="17"/>
              </w:rPr>
              <w:t>Intervention rules</w:t>
            </w:r>
          </w:p>
        </w:tc>
        <w:tc>
          <w:tcPr>
            <w:tcW w:type="dxa" w:w="1800"/>
            <w:tcMar>
              <w:top w:w="80" w:type="dxa"/>
              <w:start w:w="120" w:type="dxa"/>
              <w:bottom w:w="80" w:type="dxa"/>
              <w:end w:w="120" w:type="dxa"/>
            </w:tcMar>
            <w:vAlign w:val="center"/>
          </w:tcPr>
          <w:p>
            <w:pPr>
              <w:spacing w:after="0"/>
            </w:pPr>
            <w:r/>
            <w:r>
              <w:rPr>
                <w:rFonts w:ascii="Calibri" w:hAnsi="Calibri"/>
                <w:color w:val="1F2937"/>
                <w:sz w:val="17"/>
              </w:rPr>
              <w:t>Completed</w:t>
            </w:r>
          </w:p>
        </w:tc>
        <w:tc>
          <w:tcPr>
            <w:tcW w:type="dxa" w:w="4560"/>
            <w:tcMar>
              <w:top w:w="80" w:type="dxa"/>
              <w:start w:w="120" w:type="dxa"/>
              <w:bottom w:w="80" w:type="dxa"/>
              <w:end w:w="120" w:type="dxa"/>
            </w:tcMar>
            <w:vAlign w:val="center"/>
          </w:tcPr>
          <w:p>
            <w:pPr>
              <w:spacing w:after="0"/>
            </w:pPr>
            <w:r/>
            <w:r>
              <w:rPr>
                <w:rFonts w:ascii="Calibri" w:hAnsi="Calibri"/>
                <w:color w:val="1F2937"/>
                <w:sz w:val="17"/>
              </w:rPr>
              <w:t>Transparent support-indicator rules.</w:t>
            </w:r>
          </w:p>
        </w:tc>
      </w:tr>
      <w:tr>
        <w:tc>
          <w:tcPr>
            <w:tcW w:type="dxa" w:w="3000"/>
            <w:tcMar>
              <w:top w:w="80" w:type="dxa"/>
              <w:start w:w="120" w:type="dxa"/>
              <w:bottom w:w="80" w:type="dxa"/>
              <w:end w:w="120" w:type="dxa"/>
            </w:tcMar>
            <w:vAlign w:val="center"/>
          </w:tcPr>
          <w:p>
            <w:pPr>
              <w:spacing w:after="0"/>
            </w:pPr>
            <w:r/>
            <w:r>
              <w:rPr>
                <w:rFonts w:ascii="Calibri" w:hAnsi="Calibri"/>
                <w:color w:val="1F2937"/>
                <w:sz w:val="17"/>
              </w:rPr>
              <w:t>Streamlit dashboard</w:t>
            </w:r>
          </w:p>
        </w:tc>
        <w:tc>
          <w:tcPr>
            <w:tcW w:type="dxa" w:w="1800"/>
            <w:tcMar>
              <w:top w:w="80" w:type="dxa"/>
              <w:start w:w="120" w:type="dxa"/>
              <w:bottom w:w="80" w:type="dxa"/>
              <w:end w:w="120" w:type="dxa"/>
            </w:tcMar>
            <w:vAlign w:val="center"/>
          </w:tcPr>
          <w:p>
            <w:pPr>
              <w:spacing w:after="0"/>
            </w:pPr>
            <w:r/>
            <w:r>
              <w:rPr>
                <w:rFonts w:ascii="Calibri" w:hAnsi="Calibri"/>
                <w:color w:val="1F2937"/>
                <w:sz w:val="17"/>
              </w:rPr>
              <w:t>Completed</w:t>
            </w:r>
          </w:p>
        </w:tc>
        <w:tc>
          <w:tcPr>
            <w:tcW w:type="dxa" w:w="4560"/>
            <w:tcMar>
              <w:top w:w="80" w:type="dxa"/>
              <w:start w:w="120" w:type="dxa"/>
              <w:bottom w:w="80" w:type="dxa"/>
              <w:end w:w="120" w:type="dxa"/>
            </w:tcMar>
            <w:vAlign w:val="center"/>
          </w:tcPr>
          <w:p>
            <w:pPr>
              <w:spacing w:after="0"/>
            </w:pPr>
            <w:r/>
            <w:r>
              <w:rPr>
                <w:rFonts w:ascii="Calibri" w:hAnsi="Calibri"/>
                <w:color w:val="1F2937"/>
                <w:sz w:val="17"/>
              </w:rPr>
              <w:t>Faculty, Student, and Evaluation views.</w:t>
            </w:r>
          </w:p>
        </w:tc>
      </w:tr>
      <w:tr>
        <w:tc>
          <w:tcPr>
            <w:tcW w:type="dxa" w:w="3000"/>
            <w:tcMar>
              <w:top w:w="80" w:type="dxa"/>
              <w:start w:w="120" w:type="dxa"/>
              <w:bottom w:w="80" w:type="dxa"/>
              <w:end w:w="120" w:type="dxa"/>
            </w:tcMar>
            <w:vAlign w:val="center"/>
          </w:tcPr>
          <w:p>
            <w:pPr>
              <w:spacing w:after="0"/>
            </w:pPr>
            <w:r/>
            <w:r>
              <w:rPr>
                <w:rFonts w:ascii="Calibri" w:hAnsi="Calibri"/>
                <w:color w:val="1F2937"/>
                <w:sz w:val="17"/>
              </w:rPr>
              <w:t>Power BI preparation</w:t>
            </w:r>
          </w:p>
        </w:tc>
        <w:tc>
          <w:tcPr>
            <w:tcW w:type="dxa" w:w="1800"/>
            <w:tcMar>
              <w:top w:w="80" w:type="dxa"/>
              <w:start w:w="120" w:type="dxa"/>
              <w:bottom w:w="80" w:type="dxa"/>
              <w:end w:w="120" w:type="dxa"/>
            </w:tcMar>
            <w:vAlign w:val="center"/>
          </w:tcPr>
          <w:p>
            <w:pPr>
              <w:spacing w:after="0"/>
            </w:pPr>
            <w:r/>
            <w:r>
              <w:rPr>
                <w:rFonts w:ascii="Calibri" w:hAnsi="Calibri"/>
                <w:color w:val="1F2937"/>
                <w:sz w:val="17"/>
              </w:rPr>
              <w:t>Completed</w:t>
            </w:r>
          </w:p>
        </w:tc>
        <w:tc>
          <w:tcPr>
            <w:tcW w:type="dxa" w:w="4560"/>
            <w:tcMar>
              <w:top w:w="80" w:type="dxa"/>
              <w:start w:w="120" w:type="dxa"/>
              <w:bottom w:w="80" w:type="dxa"/>
              <w:end w:w="120" w:type="dxa"/>
            </w:tcMar>
            <w:vAlign w:val="center"/>
          </w:tcPr>
          <w:p>
            <w:pPr>
              <w:spacing w:after="0"/>
            </w:pPr>
            <w:r/>
            <w:r>
              <w:rPr>
                <w:rFonts w:ascii="Calibri" w:hAnsi="Calibri"/>
                <w:color w:val="1F2937"/>
                <w:sz w:val="17"/>
              </w:rPr>
              <w:t>Import-ready workbook, DAX measures, theme, and build guide.</w:t>
            </w:r>
          </w:p>
        </w:tc>
      </w:tr>
      <w:tr>
        <w:tc>
          <w:tcPr>
            <w:tcW w:type="dxa" w:w="3000"/>
            <w:tcMar>
              <w:top w:w="80" w:type="dxa"/>
              <w:start w:w="120" w:type="dxa"/>
              <w:bottom w:w="80" w:type="dxa"/>
              <w:end w:w="120" w:type="dxa"/>
            </w:tcMar>
            <w:vAlign w:val="center"/>
          </w:tcPr>
          <w:p>
            <w:pPr>
              <w:spacing w:after="0"/>
            </w:pPr>
            <w:r/>
            <w:r>
              <w:rPr>
                <w:rFonts w:ascii="Calibri" w:hAnsi="Calibri"/>
                <w:color w:val="1F2937"/>
                <w:sz w:val="17"/>
              </w:rPr>
              <w:t>Native Power BI .pbix</w:t>
            </w:r>
          </w:p>
        </w:tc>
        <w:tc>
          <w:tcPr>
            <w:tcW w:type="dxa" w:w="1800"/>
            <w:tcMar>
              <w:top w:w="80" w:type="dxa"/>
              <w:start w:w="120" w:type="dxa"/>
              <w:bottom w:w="80" w:type="dxa"/>
              <w:end w:w="120" w:type="dxa"/>
            </w:tcMar>
            <w:vAlign w:val="center"/>
          </w:tcPr>
          <w:p>
            <w:pPr>
              <w:spacing w:after="0"/>
            </w:pPr>
            <w:r/>
            <w:r>
              <w:rPr>
                <w:rFonts w:ascii="Calibri" w:hAnsi="Calibri"/>
                <w:color w:val="1F2937"/>
                <w:sz w:val="17"/>
              </w:rPr>
              <w:t>Pending</w:t>
            </w:r>
          </w:p>
        </w:tc>
        <w:tc>
          <w:tcPr>
            <w:tcW w:type="dxa" w:w="4560"/>
            <w:tcMar>
              <w:top w:w="80" w:type="dxa"/>
              <w:start w:w="120" w:type="dxa"/>
              <w:bottom w:w="80" w:type="dxa"/>
              <w:end w:w="120" w:type="dxa"/>
            </w:tcMar>
            <w:vAlign w:val="center"/>
          </w:tcPr>
          <w:p>
            <w:pPr>
              <w:spacing w:after="0"/>
            </w:pPr>
            <w:r/>
            <w:r>
              <w:rPr>
                <w:rFonts w:ascii="Calibri" w:hAnsi="Calibri"/>
                <w:color w:val="1F2937"/>
                <w:sz w:val="17"/>
              </w:rPr>
              <w:t>Requires Power BI Desktop to assemble and save the report.</w:t>
            </w:r>
          </w:p>
        </w:tc>
      </w:tr>
      <w:tr>
        <w:tc>
          <w:tcPr>
            <w:tcW w:type="dxa" w:w="3000"/>
            <w:tcMar>
              <w:top w:w="80" w:type="dxa"/>
              <w:start w:w="120" w:type="dxa"/>
              <w:bottom w:w="80" w:type="dxa"/>
              <w:end w:w="120" w:type="dxa"/>
            </w:tcMar>
            <w:vAlign w:val="center"/>
          </w:tcPr>
          <w:p>
            <w:pPr>
              <w:spacing w:after="0"/>
            </w:pPr>
            <w:r/>
            <w:r>
              <w:rPr>
                <w:rFonts w:ascii="Calibri" w:hAnsi="Calibri"/>
                <w:color w:val="1F2937"/>
                <w:sz w:val="17"/>
              </w:rPr>
              <w:t>Final dissertation and presentation</w:t>
            </w:r>
          </w:p>
        </w:tc>
        <w:tc>
          <w:tcPr>
            <w:tcW w:type="dxa" w:w="1800"/>
            <w:tcMar>
              <w:top w:w="80" w:type="dxa"/>
              <w:start w:w="120" w:type="dxa"/>
              <w:bottom w:w="80" w:type="dxa"/>
              <w:end w:w="120" w:type="dxa"/>
            </w:tcMar>
            <w:vAlign w:val="center"/>
          </w:tcPr>
          <w:p>
            <w:pPr>
              <w:spacing w:after="0"/>
            </w:pPr>
            <w:r/>
            <w:r>
              <w:rPr>
                <w:rFonts w:ascii="Calibri" w:hAnsi="Calibri"/>
                <w:color w:val="1F2937"/>
                <w:sz w:val="17"/>
              </w:rPr>
              <w:t>In progress</w:t>
            </w:r>
          </w:p>
        </w:tc>
        <w:tc>
          <w:tcPr>
            <w:tcW w:type="dxa" w:w="4560"/>
            <w:tcMar>
              <w:top w:w="80" w:type="dxa"/>
              <w:start w:w="120" w:type="dxa"/>
              <w:bottom w:w="80" w:type="dxa"/>
              <w:end w:w="120" w:type="dxa"/>
            </w:tcMar>
            <w:vAlign w:val="center"/>
          </w:tcPr>
          <w:p>
            <w:pPr>
              <w:spacing w:after="0"/>
            </w:pPr>
            <w:r/>
            <w:r>
              <w:rPr>
                <w:rFonts w:ascii="Calibri" w:hAnsi="Calibri"/>
                <w:color w:val="1F2937"/>
                <w:sz w:val="17"/>
              </w:rPr>
              <w:t>Content exists; institutional formatting and slides remain.</w:t>
            </w:r>
          </w:p>
        </w:tc>
      </w:tr>
      <w:tr>
        <w:tc>
          <w:tcPr>
            <w:tcW w:type="dxa" w:w="3000"/>
            <w:tcMar>
              <w:top w:w="80" w:type="dxa"/>
              <w:start w:w="120" w:type="dxa"/>
              <w:bottom w:w="80" w:type="dxa"/>
              <w:end w:w="120" w:type="dxa"/>
            </w:tcMar>
            <w:vAlign w:val="center"/>
          </w:tcPr>
          <w:p>
            <w:pPr>
              <w:spacing w:after="0"/>
            </w:pPr>
            <w:r/>
            <w:r>
              <w:rPr>
                <w:rFonts w:ascii="Calibri" w:hAnsi="Calibri"/>
                <w:color w:val="1F2937"/>
                <w:sz w:val="17"/>
              </w:rPr>
              <w:t>Institutional deployment</w:t>
            </w:r>
          </w:p>
        </w:tc>
        <w:tc>
          <w:tcPr>
            <w:tcW w:type="dxa" w:w="1800"/>
            <w:tcMar>
              <w:top w:w="80" w:type="dxa"/>
              <w:start w:w="120" w:type="dxa"/>
              <w:bottom w:w="80" w:type="dxa"/>
              <w:end w:w="120" w:type="dxa"/>
            </w:tcMar>
            <w:vAlign w:val="center"/>
          </w:tcPr>
          <w:p>
            <w:pPr>
              <w:spacing w:after="0"/>
            </w:pPr>
            <w:r/>
            <w:r>
              <w:rPr>
                <w:rFonts w:ascii="Calibri" w:hAnsi="Calibri"/>
                <w:color w:val="1F2937"/>
                <w:sz w:val="17"/>
              </w:rPr>
              <w:t>Not started / out of scope</w:t>
            </w:r>
          </w:p>
        </w:tc>
        <w:tc>
          <w:tcPr>
            <w:tcW w:type="dxa" w:w="4560"/>
            <w:tcMar>
              <w:top w:w="80" w:type="dxa"/>
              <w:start w:w="120" w:type="dxa"/>
              <w:bottom w:w="80" w:type="dxa"/>
              <w:end w:w="120" w:type="dxa"/>
            </w:tcMar>
            <w:vAlign w:val="center"/>
          </w:tcPr>
          <w:p>
            <w:pPr>
              <w:spacing w:after="0"/>
            </w:pPr>
            <w:r/>
            <w:r>
              <w:rPr>
                <w:rFonts w:ascii="Calibri" w:hAnsi="Calibri"/>
                <w:color w:val="1F2937"/>
                <w:sz w:val="17"/>
              </w:rPr>
              <w:t>Requires approval, local data, security, and prospective validation.</w:t>
            </w:r>
          </w:p>
        </w:tc>
      </w:tr>
    </w:tbl>
    <w:p>
      <w:pPr>
        <w:pStyle w:val="Heading1"/>
      </w:pPr>
      <w:r>
        <w:t>17. Main Deliverables</w:t>
      </w:r>
    </w:p>
    <w:p>
      <w:pPr>
        <w:pStyle w:val="ListBullet"/>
      </w:pPr>
      <w:r>
        <w:t>Processed OULAD day-40 dataset and feature pipeline.</w:t>
      </w:r>
    </w:p>
    <w:p>
      <w:pPr>
        <w:pStyle w:val="ListBullet"/>
      </w:pPr>
      <w:r>
        <w:t>EDA report, trained model bundle, metrics, review queue, SHAP explanations, and fairness audit.</w:t>
      </w:r>
    </w:p>
    <w:p>
      <w:pPr>
        <w:pStyle w:val="ListBullet"/>
      </w:pPr>
      <w:r>
        <w:t>Faculty, Student, and Evaluation Streamlit dashboard.</w:t>
      </w:r>
    </w:p>
    <w:p>
      <w:pPr>
        <w:pStyle w:val="ListBullet"/>
      </w:pPr>
      <w:r>
        <w:t>Power BI-ready workbook, DAX measures, dashboard plan, and visual theme.</w:t>
      </w:r>
    </w:p>
    <w:p>
      <w:pPr>
        <w:pStyle w:val="ListBullet"/>
      </w:pPr>
      <w:r>
        <w:t>Project charter, dataset selection, data dictionary, model card, ethics protocol, and final project report.</w:t>
      </w:r>
    </w:p>
    <w:p>
      <w:pPr>
        <w:pStyle w:val="ListBullet"/>
      </w:pPr>
      <w:r>
        <w:t>Automated tests and one-command PowerShell run scripts.</w:t>
      </w:r>
    </w:p>
    <w:p>
      <w:pPr>
        <w:pStyle w:val="Heading1"/>
      </w:pPr>
      <w:r>
        <w:t>18. Limitations and Future Work</w:t>
      </w:r>
    </w:p>
    <w:p>
      <w:r>
        <w:t>OULAD represents distance-learning modules from one institution. VLE activity does not measure offline study or classroom attendance. The model cannot observe personal circumstances, and Fail and Withdrawn may have different causes. The selected model only narrowly exceeded Logistic Regression during validation. Public-data results do not establish performance at another university.</w:t>
      </w:r>
    </w:p>
    <w:p>
      <w:pPr>
        <w:pStyle w:val="ListBullet"/>
      </w:pPr>
      <w:r>
        <w:t>Compare prediction cutoffs at days 20, 40, and 60.</w:t>
      </w:r>
    </w:p>
    <w:p>
      <w:pPr>
        <w:pStyle w:val="ListBullet"/>
      </w:pPr>
      <w:r>
        <w:t>Model failure and withdrawal separately.</w:t>
      </w:r>
    </w:p>
    <w:p>
      <w:pPr>
        <w:pStyle w:val="ListBullet"/>
      </w:pPr>
      <w:r>
        <w:t>Evaluate simpler models for possible local use.</w:t>
      </w:r>
    </w:p>
    <w:p>
      <w:pPr>
        <w:pStyle w:val="ListBullet"/>
      </w:pPr>
      <w:r>
        <w:t>Complete the native Power BI report and add role-based security for demonstration.</w:t>
      </w:r>
    </w:p>
    <w:p>
      <w:pPr>
        <w:pStyle w:val="ListBullet"/>
      </w:pPr>
      <w:r>
        <w:t>Conduct approved local validation and user testing with students and faculty.</w:t>
      </w:r>
    </w:p>
    <w:p>
      <w:pPr>
        <w:pStyle w:val="ListBullet"/>
      </w:pPr>
      <w:r>
        <w:t>Study whether interventions are timely, acceptable, and beneficial.</w:t>
      </w:r>
    </w:p>
    <w:p>
      <w:pPr>
        <w:pStyle w:val="Heading1"/>
      </w:pPr>
      <w:r>
        <w:t>19. Conclusion</w:t>
      </w:r>
    </w:p>
    <w:p>
      <w:r>
        <w:t>The project now demonstrates the complete technical and responsible-design workflow required by the supplied data analytics guidelines. It converts public historical data into a leakage-aware early-warning prototype, evaluates multiple models, explains outputs, audits groups, and presents support options through dashboards. Its correct role is to help faculty organize supportive review while keeping people responsible for every final decision.</w:t>
      </w:r>
    </w:p>
    <w:p>
      <w:pPr>
        <w:pStyle w:val="Heading1"/>
      </w:pPr>
      <w:r>
        <w:t>References</w:t>
      </w:r>
    </w:p>
    <w:p>
      <w:pPr>
        <w:ind w:left="360" w:hanging="360"/>
      </w:pPr>
      <w:r>
        <w:t>Kuzilek, J., Hlosta, M., &amp; Zdrahal, Z. (2017). Open University Learning Analytics Dataset. Scientific Data, 4, 170171. https://doi.org/10.1038/sdata.2017.171</w:t>
      </w:r>
    </w:p>
    <w:p>
      <w:pPr>
        <w:ind w:left="360" w:hanging="360"/>
      </w:pPr>
      <w:r>
        <w:t>Lundberg, S. M., &amp; Lee, S.-I. (2017). A Unified Approach to Interpreting Model Predictions. Advances in Neural Information Processing Systems, 30.</w:t>
      </w:r>
    </w:p>
    <w:p>
      <w:pPr>
        <w:ind w:left="360" w:hanging="360"/>
      </w:pPr>
      <w:r>
        <w:t>Scikit-learn documentation. https://scikit-learn.org/</w:t>
      </w:r>
    </w:p>
    <w:p>
      <w:pPr>
        <w:ind w:left="360" w:hanging="360"/>
      </w:pPr>
      <w:r>
        <w:t>SHAP documentation. https://shap.readthedocs.io/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4748B"/>
        <w:sz w:val="18"/>
      </w:rPr>
      <w:t>Student Success Analytics | Project Information and Progress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Prepared as an MSc project documentation artifact.</dc:description>
  <cp:lastModifiedBy/>
  <cp:revision>1</cp:revision>
  <dcterms:created xsi:type="dcterms:W3CDTF">2013-12-23T23:15:00Z</dcterms:created>
  <dcterms:modified xsi:type="dcterms:W3CDTF">2013-12-23T23:15:00Z</dcterms:modified>
  <cp:category/>
</cp:coreProperties>
</file>