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AGREEMENT</w:t>
      </w:r>
    </w:p>
    <w:p>
      <w:r>
        <w:t>This Agreement is entered into on 1 February 2025 by and between Bluepeak Software Inc. ("Client") and Maria Lopez ("Consultant").</w:t>
      </w:r>
    </w:p>
    <w:p>
      <w:r>
        <w:t>The Consultant shall provide data engineering services as described in Schedule A.</w:t>
      </w:r>
    </w:p>
    <w:p>
      <w:r>
        <w:t>The term of this Agreement shall commence on the effective date and continue for twelve months.</w:t>
      </w:r>
    </w:p>
    <w:p>
      <w:r>
        <w:t>In consideration of the services, the Client shall pay a fee of $9,000 per month, invoiced monthly.</w:t>
      </w:r>
    </w:p>
    <w:p>
      <w:r>
        <w:t>Either party may terminate this Agreement with thirty days written notice.</w:t>
      </w:r>
    </w:p>
    <w:p>
      <w:r>
        <w:t>Confidential Information shall not be disclosed to any third party without prior written consent, and these obligations survive termination.</w:t>
      </w:r>
    </w:p>
    <w:p>
      <w:r>
        <w:t>This Agreement shall be governed by the laws of the State of Texas.</w:t>
      </w:r>
    </w:p>
    <w:p>
      <w:r>
        <w:t>IN WITNESS WHEREOF, the parties have executed this Agreement as of the date first written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Document control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Issued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