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Dinethya — Agglomerative Hierarchical Clustering Viva Guide</w:t>
      </w:r>
    </w:p>
    <w:p>
      <w:r>
        <w:t>Scope: මෙය 05_Agglomerative.ipynb සඳහා පමණයි. Development customers 40,000 අතරින් seed 42 යොදා තෝරාගත් 2,500ක sample එකට පමණක් labels ඇත. ඉතිරි development customers 37,500ට සහ holdout customers 10,000ට Agglomerative labels නැහැ. මෙය real full-data fit එකක් සාර්ථක වන තුරු sample-based result එකකි; group final model තේරීමක් නොවේ.</w:t>
      </w:r>
    </w:p>
    <w:p>
      <w:r>
        <w:rPr>
          <w:b/>
        </w:rPr>
        <w:t xml:space="preserve">Executed environment: </w:t>
      </w:r>
      <w:r>
        <w:t>Python 3.14.0, kernel agglomerative-local, scikit-learn 1.9.1, SciPy 1.18.1. Notebook code cells 21ම ක්‍රියාත්මක විය.</w:t>
      </w:r>
    </w:p>
    <w:p>
      <w:pPr>
        <w:pStyle w:val="Heading1"/>
      </w:pPr>
      <w:r>
        <w:t>1. Objective සහ bottom-up clustering</w:t>
      </w:r>
    </w:p>
    <w:p>
      <w:r>
        <w:rPr>
          <w:b/>
        </w:rPr>
        <w:t xml:space="preserve">Code එක කරන්නේ: </w:t>
      </w:r>
      <w:r>
        <w:t>Agglomerative ක්‍රමයේ එක් customer කෙනෙක් එක් group එකක් ලෙස පටන්ගෙන, ආසන්න groups දෙක බැගින් merge කර hierarchy එකක් සෑදේ. Dinethyaගේ notebook එක මේ algorithm එක පමණක් පරීක්ෂා කරයි.</w:t>
      </w:r>
    </w:p>
    <w:p>
      <w:r>
        <w:rPr>
          <w:b/>
        </w:rPr>
        <w:t xml:space="preserve">ඇයි අවශ්‍ය: </w:t>
      </w:r>
      <w:r>
        <w:t>Customer behaviour වල group structure සහ merge order තේරුම් ගැනීමට.</w:t>
      </w:r>
    </w:p>
    <w:p>
      <w:r>
        <w:rPr>
          <w:b/>
        </w:rPr>
        <w:t xml:space="preserve">Actual output එකේ තේරුම: </w:t>
      </w:r>
      <w:r>
        <w:t>ඉදිරි සියලු model results development sample එකට පමණක් අදාළයි; 40,000ටම labels ලැබුණා කියා පැවසිය නොහැක.</w:t>
      </w:r>
    </w:p>
    <w:p>
      <w:r>
        <w:rPr>
          <w:b/>
        </w:rPr>
        <w:t xml:space="preserve">Viva — simple English: </w:t>
      </w:r>
      <w:r>
        <w:t>“I used bottom-up Agglomerative clustering to study customer behaviour. My fitted labels cover a fixed development sample, not all 40,000 customers.”</w:t>
      </w:r>
    </w:p>
    <w:p>
      <w:pPr>
        <w:pStyle w:val="Heading1"/>
      </w:pPr>
      <w:r>
        <w:t>2. Shared data සහ leakage control</w:t>
      </w:r>
    </w:p>
    <w:p>
      <w:r>
        <w:rPr>
          <w:b/>
        </w:rPr>
        <w:t xml:space="preserve">Code එක කරන්නේ: </w:t>
      </w:r>
      <w:r>
        <w:t>Processed CSV දෙක load කර shape, ordered columns, IDs, numeric types සහ finite values check කරයි. customer_id ඉවත් කළ පසු features 18යි.</w:t>
      </w:r>
    </w:p>
    <w:p>
      <w:r>
        <w:rPr>
          <w:b/>
        </w:rPr>
        <w:t xml:space="preserve">ඇයි අවශ්‍ය: </w:t>
      </w:r>
      <w:r>
        <w:t>Shared split/scaling/encoding නැවත නොකරන නිසා group preprocessing එක නොවෙනස්ව පවතී. customer_id, CLV, churn සහ existing labels fit කිරීමෙන් leakage ඇතිවිය හැක.</w:t>
      </w:r>
    </w:p>
    <w:p>
      <w:r>
        <w:rPr>
          <w:b/>
        </w:rPr>
        <w:t xml:space="preserve">Actual output එකේ තේරුම: </w:t>
      </w:r>
      <w:r>
        <w:t>Development 40,000×19; holdout 10,000×19. IDs unique සහ overlap නැහැ. Features 18ම finite numeric. Holdout model fitting සඳහා භාවිතා කළේ නැහැ.</w:t>
      </w:r>
    </w:p>
    <w:p>
      <w:r>
        <w:rPr>
          <w:b/>
        </w:rPr>
        <w:t xml:space="preserve">Viva — simple English: </w:t>
      </w:r>
      <w:r>
        <w:t>“I used the shared preprocessed data without re-splitting or re-scaling. Customer ID is only a join key; CLV and churn never enter X.”</w:t>
      </w:r>
    </w:p>
    <w:p>
      <w:pPr>
        <w:pStyle w:val="Heading1"/>
      </w:pPr>
      <w:r>
        <w:t>3. Sampling, memory සහ representativeness</w:t>
      </w:r>
    </w:p>
    <w:p>
      <w:r>
        <w:rPr>
          <w:b/>
        </w:rPr>
        <w:t xml:space="preserve">Code එක කරන්නේ: </w:t>
      </w:r>
      <w:r>
        <w:t>Seed 42 සමඟ simple random without replacement ක්‍රමයෙන් development IDs 2,500ක් තෝරා, features 18 සඳහා sample හා full-development means, standard deviations සහ quartiles සසඳයි.</w:t>
      </w:r>
    </w:p>
    <w:p>
      <w:r>
        <w:t>ඇයි අවශ්‍ය: 40,000-row condensed float64 pairwise distances පමණක් 6.40 GB ගනී. මේ run එකේ available RAM අගය agglomerative_final_sample_summary.json හි සටහන් වේ. 50% margin සමඟ full-data distance calculation සඳහා 9.60 GB working budget එකක් යොදා ඇත. Memory සීමා නිසා මේ notebook එක 2,500-customer sample එක පමණක් fit කරයි; full-data fit එකක් කර නැත.</w:t>
      </w:r>
    </w:p>
    <w:p>
      <w:r>
        <w:rPr>
          <w:b/>
        </w:rPr>
        <w:t xml:space="preserve">Actual output එකේ තේරුම: </w:t>
      </w:r>
      <w:r>
        <w:t>Largest absolute standardized mean difference 0.0379. Mean මට්ටමින් sample එක සාධාරණ ලෙස පෙනුණත් rare patterns අල්ලාගත් බව මෙයින් තහවුරු නොවේ. Sample IDs reproducibility JSON එකේ තිබේ.</w:t>
      </w:r>
    </w:p>
    <w:p>
      <w:r>
        <w:t>Viva — simple English: “I used exactly 2,500 development customers with seed 42. A 40,000-customer hierarchy needs at least 6.40 GB for condensed distances, plus fitting memory; the RAM measured for this run is recorded in my final sample summary. The other 37,500 development customers have no Agglomerative labels.”</w:t>
      </w:r>
    </w:p>
    <w:p>
      <w:pPr>
        <w:pStyle w:val="Heading1"/>
      </w:pPr>
      <w:r>
        <w:t>4. Predeclared baseline: Ward/Euclidean K=3</w:t>
      </w:r>
    </w:p>
    <w:p>
      <w:r>
        <w:rPr>
          <w:b/>
        </w:rPr>
        <w:t xml:space="preserve">Code එක කරන්නේ: </w:t>
      </w:r>
      <w:r>
        <w:t>sklearn AgglomerativeClustering එක Ward linkage, Euclidean metric සහ K=3 ලෙස fit කර labels, scores, sizes හා runtime සටහන් කරයි.</w:t>
      </w:r>
    </w:p>
    <w:p>
      <w:r>
        <w:rPr>
          <w:b/>
        </w:rPr>
        <w:t xml:space="preserve">ඇයි අවශ්‍ය: </w:t>
      </w:r>
      <w:r>
        <w:t>Tuning කිරීමට පෙර පැහැදිලි reference configuration එකක් තැබීමට.</w:t>
      </w:r>
    </w:p>
    <w:p>
      <w:r>
        <w:t>Actual output එකේ තේරුම: Baseline sizes [1229, 375, 896]; full-sample Silhouette 0.04512; Davies–Bouldin 4.15341; Calinski–Harabasz 138.00. Baseline යනු තෝරාගත් result එක නොවේ.</w:t>
      </w:r>
    </w:p>
    <w:p>
      <w:r>
        <w:rPr>
          <w:b/>
        </w:rPr>
        <w:t xml:space="preserve">Profiling-only fields: </w:t>
      </w:r>
      <w:r>
        <w:t>Age mean Cluster 0 45.9, Cluster 1 45.5. Activity status හි Cluster 0 Active 69.3%; Cluster 1 Inactive 98.7%. මෙම existing status එක recency සමඟ සම්බන්ධ නිසා එය post-hoc interpretation පමණක්; fit හෝ selection සඳහා නොවේ.</w:t>
      </w:r>
    </w:p>
    <w:p>
      <w:r>
        <w:rPr>
          <w:b/>
        </w:rPr>
        <w:t xml:space="preserve">Viva — simple English: </w:t>
      </w:r>
      <w:r>
        <w:t>“My predeclared baseline was Ward with Euclidean distance and K equals 3. It produced three groups and served as a reference, not the best result.”</w:t>
      </w:r>
    </w:p>
    <w:p>
      <w:pPr>
        <w:pStyle w:val="Heading1"/>
      </w:pPr>
      <w:r>
        <w:t>5. Linkage සහ K=2…8 sweep</w:t>
      </w:r>
    </w:p>
    <w:p>
      <w:r>
        <w:rPr>
          <w:b/>
        </w:rPr>
        <w:t xml:space="preserve">Code එක කරන්නේ: </w:t>
      </w:r>
      <w:r>
        <w:t>Same 2,500 IDs මත Ward/Euclidean, complete/Euclidean, average/Euclidean, complete/Manhattan හා average/Manhattan hierarchies සාදා, එක් එක් tree එක K=2 සිට 8 දක්වා cut කරයි. Selected setting එක sklearn සමඟද fit කර SciPy cut එක සමඟ ARI agreement බලයි.</w:t>
      </w:r>
    </w:p>
    <w:p>
      <w:r>
        <w:rPr>
          <w:b/>
        </w:rPr>
        <w:t xml:space="preserve">ඇයි අවශ්‍ය: </w:t>
      </w:r>
      <w:r>
        <w:t>Linkage යනු groups අතර distance rule එකයි. Wardට Euclidean පමණයි. Single linkage chaining ඇති කළ හැකි නිසා omit කළා; එය මෙහි අත්හදා බැලූ ප්‍රතිඵලයක් නොවේ.</w:t>
      </w:r>
    </w:p>
    <w:p>
      <w:r>
        <w:t>Actual output එකේ තේරුම: Rows 35ක් සටහන් විය; 35ටම full 2,500-customer sample එක මත Silhouette සහ Davies–Bouldin, Calinski–Harabasz metrics ඇත. Average linkage K=3…8 හි rows 12ක smallest cluster &lt;1% නිසා වෙනම warning ඇත. Unscored rows 0යි; fit exceptions නැහැ. Selected SciPy-vs-sklearn ARI 1.000.</w:t>
      </w:r>
    </w:p>
    <w:p>
      <w:r>
        <w:t>Viva — simple English: “I used the same full 2,500 sampled customers to score all 35 cuts, with each configuration’s correct distance. Twelve cuts have a separate warning for a cluster below 1%; none are unscored.”</w:t>
      </w:r>
    </w:p>
    <w:p>
      <w:pPr>
        <w:pStyle w:val="Heading1"/>
      </w:pPr>
      <w:r>
        <w:t>6. Three evaluation metrics</w:t>
      </w:r>
    </w:p>
    <w:p>
      <w:r>
        <w:t>Code එක කරන්නේ: සියලු Silhouette scores එකම fixed 2,500-customer development sample එක මත ගණනය කරයි: Euclidean fits සඳහා Euclidean ද, Manhattan fits සඳහා Manhattan ද භාවිතා කරයි. Davies–Bouldin (DB) හා Calinski–Harabasz (CH) ද fitted rows 2,500ම භාවිතා කරයි. CSV හි සෑම row එකකම silhouette_eval_n=2500.</w:t>
      </w:r>
    </w:p>
    <w:p>
      <w:r>
        <w:rPr>
          <w:b/>
        </w:rPr>
        <w:t xml:space="preserve">ඇයි අවශ්‍ය: </w:t>
      </w:r>
      <w:r>
        <w:t>Silhouette වැඩි නම් separation හොඳයි. DB අඩු නම් scatter ratio හොඳයි. CH වැඩි නම් between-group dispersion සාපේක්ෂව වැඩියි. DB සහ CH Euclidean-style feature-space diagnostics නිසා Manhattan fits සඳහා සැලකිල්ලෙන් අර්ථකථනය කරන්න.</w:t>
      </w:r>
    </w:p>
    <w:p>
      <w:r>
        <w:t>Actual output එකේ තේරුම: Selected Ward K=2: corrected full-sample Silhouette 0.12429680, DB 2.58440236, CH 188.35071578. Separation තවම modest වේ.</w:t>
      </w:r>
    </w:p>
    <w:p>
      <w:r>
        <w:t>Viva — simple English: “Every Silhouette score uses the same 2,500 customers. The chosen Ward K=2 has Silhouette 0.12429680, Davies–Bouldin 2.58440236, and Calinski–Harabasz 188.35071578.”</w:t>
      </w:r>
    </w:p>
    <w:p>
      <w:pPr>
        <w:pStyle w:val="Heading1"/>
      </w:pPr>
      <w:r>
        <w:t>7. Figures සහ dendrogram</w:t>
      </w:r>
    </w:p>
    <w:p>
      <w:r>
        <w:rPr>
          <w:b/>
        </w:rPr>
        <w:t xml:space="preserve">Code එක කරන්නේ: </w:t>
      </w:r>
      <w:r>
        <w:t>Metric-vs-K, smallest-cluster share සහ Ward dendrogram figures සුරකියි. Dendrogram එක sample Ward tree එකේ අවසාන merges 30 පෙන්වයි.</w:t>
      </w:r>
    </w:p>
    <w:p>
      <w:r>
        <w:rPr>
          <w:b/>
        </w:rPr>
        <w:t xml:space="preserve">ඇයි අවශ්‍ය: </w:t>
      </w:r>
      <w:r>
        <w:t>K trend, tiny clusters සහ hierarchy merge pattern පැහැදිලි කිරීමට.</w:t>
      </w:r>
    </w:p>
    <w:p>
      <w:r>
        <w:rPr>
          <w:b/>
        </w:rPr>
        <w:t xml:space="preserve">Actual output එකේ තේරුම: </w:t>
      </w:r>
      <w:r>
        <w:t>එය 2,500-customer sample hierarchy එකේ truncated view එකකි; 40,000 දෙනාගේ hierarchy නොවේ.</w:t>
      </w:r>
    </w:p>
    <w:p>
      <w:r>
        <w:rPr>
          <w:b/>
        </w:rPr>
        <w:t xml:space="preserve">Viva — simple English: </w:t>
      </w:r>
      <w:r>
        <w:t>“The dendrogram shows the last 30 merges of the Ward tree fitted on my 2,500 sampled development customers.”</w:t>
      </w:r>
    </w:p>
    <w:p>
      <w:pPr>
        <w:pStyle w:val="Heading1"/>
      </w:pPr>
      <w:r>
        <w:t>8. Overlapping subsample ARI stability</w:t>
      </w:r>
    </w:p>
    <w:p>
      <w:r>
        <w:rPr>
          <w:b/>
        </w:rPr>
        <w:t xml:space="preserve">Code එක කරන්නේ: </w:t>
      </w:r>
      <w:r>
        <w:t>Candidate setting එකකට seeds 101, 202, 303, 404 යටතේ 2,000-customer overlapping subsamples හතරක් fit කරයි. Fit pairs හයක් common IDs මත පමණක් adjusted Rand index (ARI) ගණනය කරයි.</w:t>
      </w:r>
    </w:p>
    <w:p>
      <w:r>
        <w:rPr>
          <w:b/>
        </w:rPr>
        <w:t xml:space="preserve">ඇයි අවශ්‍ය: </w:t>
      </w:r>
      <w:r>
        <w:t>Deterministic model එක identical X මත seed වෙනස් කර නැවත fit කිරීම stability test එකක් නොවේ. Sample composition වෙනස් වූ විට labels රඳනවාදැයි මෙහි පරීක්ෂා කරයි.</w:t>
      </w:r>
    </w:p>
    <w:p>
      <w:r>
        <w:rPr>
          <w:b/>
        </w:rPr>
        <w:t xml:space="preserve">Actual output එකේ තේරුම: </w:t>
      </w:r>
      <w:r>
        <w:t>Stability CSV rows 30. Selected mean ARI 0.83402, minimum 0.78197; pair overlap 1589–1609 IDs. ARI 1 යනු perfect agreement; 0 chance-levelට ආසන්නයි.</w:t>
      </w:r>
    </w:p>
    <w:p>
      <w:r>
        <w:rPr>
          <w:b/>
        </w:rPr>
        <w:t xml:space="preserve">Viva — simple English: </w:t>
      </w:r>
      <w:r>
        <w:t>“I refitted on four overlapping subsamples and compared only common customer IDs with ARI. The chosen setting averaged about 0.83402 ARI, with a minimum near 0.78197.”</w:t>
      </w:r>
    </w:p>
    <w:p>
      <w:pPr>
        <w:pStyle w:val="Heading1"/>
      </w:pPr>
      <w:r>
        <w:t>9. Exploratory selection, refit සහ profiles</w:t>
      </w:r>
    </w:p>
    <w:p>
      <w:r>
        <w:t>Code එක කරන්නේ: Each linkage/metric එකේ scored rows සියල්ලෙන් best-Silhouette K shortlist කරයි; tiny-cluster warnings ඇති rows ද metric evidence සමඟ සලකා බලයි. Stability safeguard සහ weighted score යටතේ selected setting තෝරා same 2,500 IDs මත sklearn refit කරයි. Raw/profiling joins මඟින් behavioural patterns බලයි; CLV/churn පසුව පමණක් post-hoc context ලෙස join කරයි.</w:t>
      </w:r>
    </w:p>
    <w:p>
      <w:r>
        <w:rPr>
          <w:b/>
        </w:rPr>
        <w:t xml:space="preserve">ඇයි අවශ්‍ය: </w:t>
      </w:r>
      <w:r>
        <w:t>Separation, size, stability, runtime හා simpler K එකටම බලන්න. Business values model selectionට යොදාගැනීම leakage වේ.</w:t>
      </w:r>
    </w:p>
    <w:p>
      <w:r>
        <w:t>Actual output එකේ තේරුම: Corrected full-sample scores යටතේ ද selected Ward/Euclidean K=2: sizes [2125, 375] (85%/15%); Silhouette 0.12429680, DB 2.58440236, CH 188.35071578. Stability safeguard මුල් exploratory run එක දැක පසුව එක් කළ නිසා independent validation අවශ්‍යයි. Provisional Cluster 0 mean recency 28.9 days; Cluster 1 262.7 days. Post-hoc churn means 23.3 සහ 46.5; ඒවා selectionට භාවිතා කළේ නැහැ.</w:t>
      </w:r>
    </w:p>
    <w:p>
      <w:r>
        <w:t>Viva — simple English: “Ward with Euclidean distance and K equals 2 remains my sample-based exploratory choice after scoring every cut on the full 2,500-customer sample. It does not assign the other 37,500 development customers.”</w:t>
      </w:r>
    </w:p>
    <w:p>
      <w:pPr>
        <w:pStyle w:val="Heading1"/>
      </w:pPr>
      <w:r>
        <w:t>10. Artifacts, holdout සහ unfinished scope</w:t>
      </w:r>
    </w:p>
    <w:p>
      <w:r>
        <w:rPr>
          <w:b/>
        </w:rPr>
        <w:t xml:space="preserve">Code එක කරන්නේ: </w:t>
      </w:r>
      <w:r>
        <w:t>Sample assignments, sizes/profiles, experiment/stability CSVs, summary, figures, sample IDs/seeds/versions සහ fitted sample model සුරකියි. Saved sample model artifact: models/agglomerative_selected_sample_model.pkl.</w:t>
      </w:r>
    </w:p>
    <w:p>
      <w:r>
        <w:rPr>
          <w:b/>
        </w:rPr>
        <w:t xml:space="preserve">ඇයි අවශ්‍ය: </w:t>
      </w:r>
      <w:r>
        <w:t>Reproducibility සඳහා සහ result scope වැරදි ලෙස කියා නොසිටීමට. Standard sklearn AgglomerativeClustering ට unseen records සඳහා native predict() නැහැ.</w:t>
      </w:r>
    </w:p>
    <w:p>
      <w:r>
        <w:t>Actual output එකේ තේරුම: Assignments 2,500 of 40,000 development customers සඳහා පමණයි. ඉතිරි development customers 37,500ට සහ holdout customers 10,000ට Agglomerative labels නැහැ. Available RAM full fit එකට ප්‍රමාණවත් නොවූ නිසා මේ result එක sample-based පමණයි; saved model unseen-customer predictor එකක් නොවේ.</w:t>
      </w:r>
    </w:p>
    <w:p>
      <w:r>
        <w:t>Viva — simple English: “This is a sample-based Agglomerative result unless a real full-data fit succeeds. My saved assignments cover 2,500 of 40,000 development customers. I did not invent labels for the other 37,500 or for holdout.”</w:t>
      </w:r>
    </w:p>
    <w:p>
      <w:pPr>
        <w:pStyle w:val="Heading1"/>
      </w:pPr>
      <w:r>
        <w:t>Actual results at a glance</w:t>
      </w:r>
    </w:p>
    <w:tbl>
      <w:tblPr>
        <w:tblStyle w:val="TableGrid"/>
        <w:tblW w:type="auto" w:w="0"/>
        <w:tblLook w:firstColumn="1" w:firstRow="1" w:lastColumn="0" w:lastRow="0" w:noHBand="0" w:noVBand="1" w:val="04A0"/>
      </w:tblPr>
      <w:tblGrid>
        <w:gridCol w:w="3360"/>
        <w:gridCol w:w="3360"/>
        <w:gridCol w:w="3360"/>
      </w:tblGrid>
      <w:tr>
        <w:tc>
          <w:tcPr>
            <w:tcW w:type="dxa" w:w="3360"/>
          </w:tcPr>
          <w:p>
            <w:r>
              <w:t>Measure</w:t>
            </w:r>
          </w:p>
        </w:tc>
        <w:tc>
          <w:tcPr>
            <w:tcW w:type="dxa" w:w="3360"/>
          </w:tcPr>
          <w:p>
            <w:r>
              <w:t>Baseline Ward K=3</w:t>
            </w:r>
          </w:p>
        </w:tc>
        <w:tc>
          <w:tcPr>
            <w:tcW w:type="dxa" w:w="3360"/>
          </w:tcPr>
          <w:p>
            <w:r>
              <w:t>Selected Ward K=2</w:t>
            </w:r>
          </w:p>
        </w:tc>
      </w:tr>
      <w:tr>
        <w:tc>
          <w:tcPr>
            <w:tcW w:type="dxa" w:w="3360"/>
          </w:tcPr>
          <w:p>
            <w:r>
              <w:t>Sample customers</w:t>
            </w:r>
          </w:p>
        </w:tc>
        <w:tc>
          <w:tcPr>
            <w:tcW w:type="dxa" w:w="3360"/>
          </w:tcPr>
          <w:p>
            <w:r>
              <w:t>2,500</w:t>
            </w:r>
          </w:p>
        </w:tc>
        <w:tc>
          <w:tcPr>
            <w:tcW w:type="dxa" w:w="3360"/>
          </w:tcPr>
          <w:p>
            <w:r>
              <w:t>2,500</w:t>
            </w:r>
          </w:p>
        </w:tc>
      </w:tr>
      <w:tr>
        <w:tc>
          <w:tcPr>
            <w:tcW w:type="dxa" w:w="3360"/>
          </w:tcPr>
          <w:p>
            <w:r>
              <w:t>Cluster sizes</w:t>
            </w:r>
          </w:p>
        </w:tc>
        <w:tc>
          <w:tcPr>
            <w:tcW w:type="dxa" w:w="3360"/>
          </w:tcPr>
          <w:p>
            <w:r>
              <w:t>[1229, 375, 896]</w:t>
            </w:r>
          </w:p>
        </w:tc>
        <w:tc>
          <w:tcPr>
            <w:tcW w:type="dxa" w:w="3360"/>
          </w:tcPr>
          <w:p>
            <w:r>
              <w:t>[2125, 375]</w:t>
            </w:r>
          </w:p>
        </w:tc>
      </w:tr>
      <w:tr>
        <w:tc>
          <w:tcPr>
            <w:tcW w:type="dxa" w:w="3360"/>
          </w:tcPr>
          <w:p>
            <w:r>
              <w:t>Silhouette</w:t>
            </w:r>
          </w:p>
        </w:tc>
        <w:tc>
          <w:tcPr>
            <w:tcW w:type="dxa" w:w="3360"/>
          </w:tcPr>
          <w:p>
            <w:r>
              <w:t>0.04512</w:t>
            </w:r>
          </w:p>
        </w:tc>
        <w:tc>
          <w:tcPr>
            <w:tcW w:type="dxa" w:w="3360"/>
          </w:tcPr>
          <w:p>
            <w:r>
              <w:t>0.12429680</w:t>
            </w:r>
          </w:p>
        </w:tc>
      </w:tr>
      <w:tr>
        <w:tc>
          <w:tcPr>
            <w:tcW w:type="dxa" w:w="3360"/>
          </w:tcPr>
          <w:p>
            <w:r>
              <w:t>Davies–Bouldin</w:t>
            </w:r>
          </w:p>
        </w:tc>
        <w:tc>
          <w:tcPr>
            <w:tcW w:type="dxa" w:w="3360"/>
          </w:tcPr>
          <w:p>
            <w:r>
              <w:t>4.15341</w:t>
            </w:r>
          </w:p>
        </w:tc>
        <w:tc>
          <w:tcPr>
            <w:tcW w:type="dxa" w:w="3360"/>
          </w:tcPr>
          <w:p>
            <w:r>
              <w:t>2.58440236</w:t>
            </w:r>
          </w:p>
        </w:tc>
      </w:tr>
      <w:tr>
        <w:tc>
          <w:tcPr>
            <w:tcW w:type="dxa" w:w="3360"/>
          </w:tcPr>
          <w:p>
            <w:r>
              <w:t>Calinski–Harabasz</w:t>
            </w:r>
          </w:p>
        </w:tc>
        <w:tc>
          <w:tcPr>
            <w:tcW w:type="dxa" w:w="3360"/>
          </w:tcPr>
          <w:p>
            <w:r>
              <w:t>138.00</w:t>
            </w:r>
          </w:p>
        </w:tc>
        <w:tc>
          <w:tcPr>
            <w:tcW w:type="dxa" w:w="3360"/>
          </w:tcPr>
          <w:p>
            <w:r>
              <w:t>188.35071578</w:t>
            </w:r>
          </w:p>
        </w:tc>
      </w:tr>
      <w:tr>
        <w:tc>
          <w:tcPr>
            <w:tcW w:type="dxa" w:w="3360"/>
          </w:tcPr>
          <w:p>
            <w:r>
              <w:t>Mean overlap ARI</w:t>
            </w:r>
          </w:p>
        </w:tc>
        <w:tc>
          <w:tcPr>
            <w:tcW w:type="dxa" w:w="3360"/>
          </w:tcPr>
          <w:p>
            <w:r>
              <w:t>Not assessed for K=3 baseline</w:t>
            </w:r>
          </w:p>
        </w:tc>
        <w:tc>
          <w:tcPr>
            <w:tcW w:type="dxa" w:w="3360"/>
          </w:tcPr>
          <w:p>
            <w:r>
              <w:t>0.83402</w:t>
            </w:r>
          </w:p>
        </w:tc>
      </w:tr>
    </w:tbl>
    <w:p>
      <w:pPr>
        <w:pStyle w:val="Heading1"/>
      </w:pPr>
      <w:r>
        <w:t>Provisional behavioural profile (sample means)</w:t>
      </w:r>
    </w:p>
    <w:tbl>
      <w:tblPr>
        <w:tblStyle w:val="TableGrid"/>
        <w:tblW w:type="auto" w:w="0"/>
        <w:tblLook w:firstColumn="1" w:firstRow="1" w:lastColumn="0" w:lastRow="0" w:noHBand="0" w:noVBand="1" w:val="04A0"/>
      </w:tblPr>
      <w:tblGrid>
        <w:gridCol w:w="3360"/>
        <w:gridCol w:w="3360"/>
        <w:gridCol w:w="3360"/>
      </w:tblGrid>
      <w:tr>
        <w:tc>
          <w:tcPr>
            <w:tcW w:type="dxa" w:w="3360"/>
          </w:tcPr>
          <w:p>
            <w:r>
              <w:t>Measure</w:t>
            </w:r>
          </w:p>
        </w:tc>
        <w:tc>
          <w:tcPr>
            <w:tcW w:type="dxa" w:w="3360"/>
          </w:tcPr>
          <w:p>
            <w:r>
              <w:t>Cluster 0</w:t>
            </w:r>
          </w:p>
        </w:tc>
        <w:tc>
          <w:tcPr>
            <w:tcW w:type="dxa" w:w="3360"/>
          </w:tcPr>
          <w:p>
            <w:r>
              <w:t>Cluster 1</w:t>
            </w:r>
          </w:p>
        </w:tc>
      </w:tr>
      <w:tr>
        <w:tc>
          <w:tcPr>
            <w:tcW w:type="dxa" w:w="3360"/>
          </w:tcPr>
          <w:p>
            <w:r>
              <w:t>Days since purchase</w:t>
            </w:r>
          </w:p>
        </w:tc>
        <w:tc>
          <w:tcPr>
            <w:tcW w:type="dxa" w:w="3360"/>
          </w:tcPr>
          <w:p>
            <w:r>
              <w:t>28.88</w:t>
            </w:r>
          </w:p>
        </w:tc>
        <w:tc>
          <w:tcPr>
            <w:tcW w:type="dxa" w:w="3360"/>
          </w:tcPr>
          <w:p>
            <w:r>
              <w:t>262.69</w:t>
            </w:r>
          </w:p>
        </w:tc>
      </w:tr>
      <w:tr>
        <w:tc>
          <w:tcPr>
            <w:tcW w:type="dxa" w:w="3360"/>
          </w:tcPr>
          <w:p>
            <w:r>
              <w:t>Total purchases</w:t>
            </w:r>
          </w:p>
        </w:tc>
        <w:tc>
          <w:tcPr>
            <w:tcW w:type="dxa" w:w="3360"/>
          </w:tcPr>
          <w:p>
            <w:r>
              <w:t>98.16</w:t>
            </w:r>
          </w:p>
        </w:tc>
        <w:tc>
          <w:tcPr>
            <w:tcW w:type="dxa" w:w="3360"/>
          </w:tcPr>
          <w:p>
            <w:r>
              <w:t>92.50</w:t>
            </w:r>
          </w:p>
        </w:tc>
      </w:tr>
      <w:tr>
        <w:tc>
          <w:tcPr>
            <w:tcW w:type="dxa" w:w="3360"/>
          </w:tcPr>
          <w:p>
            <w:r>
              <w:t>Average order value USD</w:t>
            </w:r>
          </w:p>
        </w:tc>
        <w:tc>
          <w:tcPr>
            <w:tcW w:type="dxa" w:w="3360"/>
          </w:tcPr>
          <w:p>
            <w:r>
              <w:t>512.35</w:t>
            </w:r>
          </w:p>
        </w:tc>
        <w:tc>
          <w:tcPr>
            <w:tcW w:type="dxa" w:w="3360"/>
          </w:tcPr>
          <w:p>
            <w:r>
              <w:t>499.01</w:t>
            </w:r>
          </w:p>
        </w:tc>
      </w:tr>
      <w:tr>
        <w:tc>
          <w:tcPr>
            <w:tcW w:type="dxa" w:w="3360"/>
          </w:tcPr>
          <w:p>
            <w:r>
              <w:t>CLV USD (post-hoc)</w:t>
            </w:r>
          </w:p>
        </w:tc>
        <w:tc>
          <w:tcPr>
            <w:tcW w:type="dxa" w:w="3360"/>
          </w:tcPr>
          <w:p>
            <w:r>
              <w:t>58443.24</w:t>
            </w:r>
          </w:p>
        </w:tc>
        <w:tc>
          <w:tcPr>
            <w:tcW w:type="dxa" w:w="3360"/>
          </w:tcPr>
          <w:p>
            <w:r>
              <w:t>51895.20</w:t>
            </w:r>
          </w:p>
        </w:tc>
      </w:tr>
      <w:tr>
        <w:tc>
          <w:tcPr>
            <w:tcW w:type="dxa" w:w="3360"/>
          </w:tcPr>
          <w:p>
            <w:r>
              <w:t>Churn score (post-hoc)</w:t>
            </w:r>
          </w:p>
        </w:tc>
        <w:tc>
          <w:tcPr>
            <w:tcW w:type="dxa" w:w="3360"/>
          </w:tcPr>
          <w:p>
            <w:r>
              <w:t>23.32</w:t>
            </w:r>
          </w:p>
        </w:tc>
        <w:tc>
          <w:tcPr>
            <w:tcW w:type="dxa" w:w="3360"/>
          </w:tcPr>
          <w:p>
            <w:r>
              <w:t>46.46</w:t>
            </w:r>
          </w:p>
        </w:tc>
      </w:tr>
      <w:tr>
        <w:tc>
          <w:tcPr>
            <w:tcW w:type="dxa" w:w="3360"/>
          </w:tcPr>
          <w:p>
            <w:r>
              <w:t>Age (profiling only)</w:t>
            </w:r>
          </w:p>
        </w:tc>
        <w:tc>
          <w:tcPr>
            <w:tcW w:type="dxa" w:w="3360"/>
          </w:tcPr>
          <w:p>
            <w:r>
              <w:t>45.89</w:t>
            </w:r>
          </w:p>
        </w:tc>
        <w:tc>
          <w:tcPr>
            <w:tcW w:type="dxa" w:w="3360"/>
          </w:tcPr>
          <w:p>
            <w:r>
              <w:t>45.49</w:t>
            </w:r>
          </w:p>
        </w:tc>
      </w:tr>
      <w:tr>
        <w:tc>
          <w:tcPr>
            <w:tcW w:type="dxa" w:w="3360"/>
          </w:tcPr>
          <w:p>
            <w:r>
              <w:t>Active % (profiling only)</w:t>
            </w:r>
          </w:p>
        </w:tc>
        <w:tc>
          <w:tcPr>
            <w:tcW w:type="dxa" w:w="3360"/>
          </w:tcPr>
          <w:p>
            <w:r>
              <w:t>69.27</w:t>
            </w:r>
          </w:p>
        </w:tc>
        <w:tc>
          <w:tcPr>
            <w:tcW w:type="dxa" w:w="3360"/>
          </w:tcPr>
          <w:p>
            <w:r>
              <w:t>0.00</w:t>
            </w:r>
          </w:p>
        </w:tc>
      </w:tr>
      <w:tr>
        <w:tc>
          <w:tcPr>
            <w:tcW w:type="dxa" w:w="3360"/>
          </w:tcPr>
          <w:p>
            <w:r>
              <w:t>Inactive % (profiling only)</w:t>
            </w:r>
          </w:p>
        </w:tc>
        <w:tc>
          <w:tcPr>
            <w:tcW w:type="dxa" w:w="3360"/>
          </w:tcPr>
          <w:p>
            <w:r>
              <w:t>7.48</w:t>
            </w:r>
          </w:p>
        </w:tc>
        <w:tc>
          <w:tcPr>
            <w:tcW w:type="dxa" w:w="3360"/>
          </w:tcPr>
          <w:p>
            <w:r>
              <w:t>98.67</w:t>
            </w:r>
          </w:p>
        </w:tc>
      </w:tr>
    </w:tbl>
    <w:p>
      <w:pPr>
        <w:pStyle w:val="Heading2"/>
      </w:pPr>
      <w:r>
        <w:t>Metric trends on fixed sample</w:t>
      </w:r>
    </w:p>
    <w:p>
      <w:r/>
    </w:p>
    <w:p>
      <w:pPr>
        <w:pStyle w:val="Heading2"/>
      </w:pPr>
      <w:r>
        <w:t>Overlapping-subsample ARI</w:t>
      </w:r>
    </w:p>
    <w:p>
      <w:r/>
    </w:p>
    <w:p>
      <w:pPr>
        <w:pStyle w:val="Heading2"/>
      </w:pPr>
      <w:r>
        <w:t>Truncated Ward sample hierarchy</w:t>
      </w:r>
    </w:p>
    <w:p>
      <w:r/>
    </w:p>
    <w:p>
      <w:pPr>
        <w:pStyle w:val="Heading1"/>
      </w:pPr>
      <w:r>
        <w:t>Important limitations to say aloud</w:t>
      </w:r>
    </w:p>
    <w:p>
      <w:pPr>
        <w:pStyle w:val="ListBullet"/>
      </w:pPr>
      <w:r>
        <w:t>Only 2,500 of 40,000 development customers have Agglomerative labels; the other 37,500 and all holdout customers have none. This remains a sample-based result unless a real full-data fit succeeds.</w:t>
      </w:r>
    </w:p>
    <w:p>
      <w:pPr>
        <w:pStyle w:val="ListBullet"/>
      </w:pPr>
      <w:r>
        <w:t>The corrected full-sample Silhouette is 0.12429680, indicating modest separation; selected groups are imbalanced (85%/15%).</w:t>
      </w:r>
    </w:p>
    <w:p>
      <w:pPr>
        <w:pStyle w:val="ListBullet"/>
      </w:pPr>
      <w:r>
        <w:t>The stability gate was added after the first exploratory pass; the choice needs independent validation.</w:t>
      </w:r>
    </w:p>
    <w:p>
      <w:pPr>
        <w:pStyle w:val="ListBullet"/>
      </w:pPr>
      <w:r>
        <w:t>All 35 sweep rows have all three metrics on the same full 2,500-customer sample. Twelve average-linkage cuts have a separate &lt;1% cluster warning; zero rows remain unscored.</w:t>
      </w:r>
    </w:p>
    <w:p>
      <w:pPr>
        <w:pStyle w:val="ListBullet"/>
      </w:pPr>
      <w:r>
        <w:t>Business variables were joined only after selection; holdout was never clustered or predicted.</w:t>
      </w:r>
    </w:p>
    <w:p>
      <w:r>
        <w:rPr>
          <w:b/>
        </w:rPr>
        <w:t xml:space="preserve">Reproducibility: </w:t>
      </w:r>
      <w:r>
        <w:t>python 3.14.0, numpy 2.5.3, pandas 3.0.6, scipy 1.18.1, scikit-learn 1.9.1, matplotlib 3.11.2, nbclient 0.11.0, nbformat 5.11.1, ipykernel 7.4.0, python-docx 1.2.0. Results are under results/agglomerative/ and results/figures/agglomerative/.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eastAsia="Nirmala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irmala UI" w:hAnsi="Nirmala UI" w:eastAsia="Nirmala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irmala UI" w:hAnsi="Nirmala UI" w:eastAsia="Nirmala U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irmala UI" w:hAnsi="Nirmala UI" w:eastAsia="Nirmala U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