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LegalEase</w:t>
        <w:br/>
        <w:t>3. Project Design Phase</w:t>
      </w:r>
    </w:p>
    <w:p>
      <w:pPr>
        <w:pStyle w:val="Heading1"/>
      </w:pPr>
      <w:r>
        <w:t>System Architecture</w:t>
      </w:r>
    </w:p>
    <w:p>
      <w:r>
        <w:t>User → Streamlit Frontend → FastAPI Backend → AI Core → Gemini API → Generated Document → Review/Edit → TXT/DOCX/PDF</w:t>
      </w:r>
    </w:p>
    <w:p>
      <w:pPr>
        <w:pStyle w:val="Heading1"/>
      </w:pPr>
      <w:r>
        <w:t>Module Design</w:t>
      </w:r>
    </w:p>
    <w:p>
      <w:r>
        <w:t>Frontend: user interface and downloads.</w:t>
      </w:r>
    </w:p>
    <w:p>
      <w:r>
        <w:t>Backend: API and request validation.</w:t>
      </w:r>
    </w:p>
    <w:p>
      <w:r>
        <w:t>AI Core: Gemini document generation.</w:t>
      </w:r>
    </w:p>
    <w:p>
      <w:r>
        <w:t>Utilities: text cleaning and DOCX/PDF generation.</w:t>
      </w:r>
    </w:p>
    <w:p>
      <w:pPr>
        <w:pStyle w:val="Heading1"/>
      </w:pPr>
      <w:r>
        <w:t>Data Flow</w:t>
      </w:r>
    </w:p>
    <w:p>
      <w:r>
        <w:t>The user enters document information. Streamlit sends the information to FastAPI. FastAPI validates the request and calls the AI generation module. Gemini returns the generated text. The backend returns it to Streamlit. The user reviews or edits it and downloads the required format.</w:t>
      </w:r>
    </w:p>
    <w:p>
      <w:pPr>
        <w:pStyle w:val="Heading1"/>
      </w:pPr>
      <w:r>
        <w:t>UI Design</w:t>
      </w:r>
    </w:p>
    <w:p>
      <w:r>
        <w:t>The interface contains document type, parties, terms and conditions, effective date, additional information, generate button, generated-document editor, and download controls.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