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LegalEase</w:t>
        <w:br/>
        <w:t>7.Project Documentation</w:t>
      </w:r>
    </w:p>
    <w:p>
      <w:pPr>
        <w:pStyle w:val="Heading1"/>
      </w:pPr>
      <w:r>
        <w:t>Technical Documentation</w:t>
      </w:r>
    </w:p>
    <w:p>
      <w:r>
        <w:t>Document the frontend, backend, AI integration, utility modules, API endpoints, setup procedure, project structure, and application workflow.</w:t>
      </w:r>
    </w:p>
    <w:p>
      <w:pPr>
        <w:pStyle w:val="Heading1"/>
      </w:pPr>
      <w:r>
        <w:t>Setup Documentation</w:t>
      </w:r>
    </w:p>
    <w:p>
      <w:r>
        <w:t>Create a Python virtual environment, activate it, install requirements, configure the Gemini API key in `.env`, start FastAPI, and start Streamlit.</w:t>
      </w:r>
    </w:p>
    <w:p>
      <w:pPr>
        <w:pStyle w:val="Heading1"/>
      </w:pPr>
      <w:r>
        <w:t>User Documentation</w:t>
      </w:r>
    </w:p>
    <w:p>
      <w:r>
        <w:t>Open LegalEase, select the document type, enter parties and terms, provide the effective date, generate the draft, review/edit it, and download the required format.</w:t>
      </w:r>
    </w:p>
    <w:p>
      <w:pPr>
        <w:pStyle w:val="Heading1"/>
      </w:pPr>
      <w:r>
        <w:t>Security Documentation</w:t>
      </w:r>
    </w:p>
    <w:p>
      <w:r>
        <w:t>The Gemini API key must remain in `.env` and must not be committed to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