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1F3A5F"/>
          <w:sz w:val="40"/>
          <w:szCs w:val="40"/>
        </w:rPr>
        <w:t xml:space="preserve">Position Paper Plan</w:t>
      </w:r>
    </w:p>
    <w:p>
      <w:pPr>
        <w:spacing w:after="100"/>
      </w:pPr>
      <w:r>
        <w:rPr>
          <w:color w:val="555555"/>
          <w:sz w:val="26"/>
          <w:szCs w:val="26"/>
        </w:rPr>
        <w:t xml:space="preserve">Project Deal Replication, Evaluation Rubric, and Reputation Layer</w:t>
      </w:r>
    </w:p>
    <w:p>
      <w:pPr>
        <w:pBdr>
          <w:bottom w:val="single" w:color="CCCCCC" w:sz="6" w:space="1"/>
        </w:pBdr>
        <w:spacing w:after="160" w:before="160"/>
      </w:pPr>
      <w:r>
        <w:t xml:space="preserve"/>
      </w:r>
    </w:p>
    <w:p>
      <w:pPr>
        <w:pStyle w:val="Heading1"/>
        <w:spacing w:after="160" w:before="320"/>
      </w:pPr>
      <w:r>
        <w:t xml:space="preserve">Overview</w:t>
      </w:r>
    </w:p>
    <w:p>
      <w:pPr>
        <w:spacing w:after="120"/>
      </w:pPr>
      <w:r>
        <w:t xml:space="preserve">This position paper builds on Anthropic's Project Deal, the December 2025 experiment in which autonomous AI agents represented humans in a real-money marketplace. Project Deal demonstrated that agent-to-agent commerce works mechanically, but its central finding — that stronger models systematically extract more value while users cannot perceive the difference — has not been independently replicated, openly studied, or accompanied by a standard evaluation framework.</w:t>
      </w:r>
    </w:p>
    <w:p>
      <w:pPr>
        <w:spacing w:after="120"/>
      </w:pPr>
      <w:r>
        <w:t xml:space="preserve">The paper makes three contributions: a reproducible small-scale replication of Project Deal in pure Python, a proposed rubric for evaluating agent-to-agent marketplaces, and a first study of buyer–seller reputation as a behaviour-shaping signal in autonomous commerce.</w:t>
      </w:r>
    </w:p>
    <w:p>
      <w:pPr>
        <w:pStyle w:val="Heading1"/>
        <w:spacing w:after="160" w:before="320"/>
      </w:pPr>
      <w:r>
        <w:t xml:space="preserve">Three Contributions</w:t>
      </w:r>
    </w:p>
    <w:p>
      <w:pPr>
        <w:pStyle w:val="ListParagraph"/>
        <w:numPr>
          <w:ilvl w:val="0"/>
          <w:numId w:val="2"/>
        </w:numPr>
        <w:spacing w:after="60"/>
      </w:pPr>
      <w:r>
        <w:rPr>
          <w:b/>
          <w:bCs/>
        </w:rPr>
        <w:t xml:space="preserve">Open replication of Project Deal. </w:t>
      </w:r>
      <w:r>
        <w:t xml:space="preserve">A faithful small-scale reconstruction of Anthropic's experimental design in pure Python, with no proprietary dependencies. The system supports persona generation, append-only channel-based negotiation, deal commitment, and constraint validation, mirroring the published structure of Project Deal as closely as the public write-up permits.</w:t>
      </w:r>
    </w:p>
    <w:p>
      <w:pPr>
        <w:pStyle w:val="ListParagraph"/>
        <w:numPr>
          <w:ilvl w:val="0"/>
          <w:numId w:val="2"/>
        </w:numPr>
        <w:spacing w:after="60"/>
      </w:pPr>
      <w:r>
        <w:rPr>
          <w:b/>
          <w:bCs/>
        </w:rPr>
        <w:t xml:space="preserve">A proposed evaluation rubric. </w:t>
      </w:r>
      <w:r>
        <w:t xml:space="preserve">Eight metrics across four categories — sales outcomes, negotiation efficiency, integrity, and subjective fairness — that together capture what existing evaluations miss when they focus only on whether deals close. The rubric is computed automatically from run logs and is the spine of the experimental section.</w:t>
      </w:r>
    </w:p>
    <w:p>
      <w:pPr>
        <w:pStyle w:val="ListParagraph"/>
        <w:numPr>
          <w:ilvl w:val="0"/>
          <w:numId w:val="2"/>
        </w:numPr>
        <w:spacing w:after="60"/>
      </w:pPr>
      <w:r>
        <w:rPr>
          <w:b/>
          <w:bCs/>
        </w:rPr>
        <w:t xml:space="preserve">A reputation layer experiment. </w:t>
      </w:r>
      <w:r>
        <w:t xml:space="preserve">An extension of the replication in which buyer and seller agents rate each other after every closed deal. Reputations persist across negotiations and are visible to other agents during decision-making. The paper compares outcomes with and without the reputation layer to test whether peer ratings change agent behaviour in measurable ways.</w:t>
      </w:r>
    </w:p>
    <w:p>
      <w:pPr>
        <w:pStyle w:val="Heading1"/>
        <w:spacing w:after="160" w:before="320"/>
      </w:pPr>
      <w:r>
        <w:t xml:space="preserve">Plan of Work</w:t>
      </w:r>
    </w:p>
    <w:p>
      <w:pPr>
        <w:pStyle w:val="Heading2"/>
        <w:spacing w:after="120" w:before="240"/>
      </w:pPr>
      <w:r>
        <w:t xml:space="preserve">Phase 1 — Replication</w:t>
      </w:r>
    </w:p>
    <w:p>
      <w:pPr>
        <w:spacing w:after="120"/>
      </w:pPr>
      <w:r>
        <w:t xml:space="preserve">Audit the existing implementation against Project Deal's published design. Document what is identical, what is deliberately simplified, and what is necessarily different given the absence of public source material. Produce a comparison table that lets reviewers verify the faithfulness of the replication. Establish a single, well-documented baseline run as the reference point for all subsequent experiments.</w:t>
      </w:r>
    </w:p>
    <w:p>
      <w:pPr>
        <w:pStyle w:val="Heading2"/>
        <w:spacing w:after="120" w:before="240"/>
      </w:pPr>
      <w:r>
        <w:t xml:space="preserve">Phase 2 — Experimental Conditions</w:t>
      </w:r>
    </w:p>
    <w:p>
      <w:pPr>
        <w:spacing w:after="120"/>
      </w:pPr>
      <w:r>
        <w:t xml:space="preserve">Run two experimental conditions, each repeated for statistical reliability:</w:t>
      </w:r>
    </w:p>
    <w:p>
      <w:pPr>
        <w:pStyle w:val="ListParagraph"/>
        <w:numPr>
          <w:ilvl w:val="0"/>
          <w:numId w:val="2"/>
        </w:numPr>
        <w:spacing w:after="60"/>
      </w:pPr>
      <w:r>
        <w:rPr>
          <w:b/>
          <w:bCs/>
        </w:rPr>
        <w:t xml:space="preserve">Run A: </w:t>
      </w:r>
      <w:r>
        <w:t xml:space="preserve">All agents operate on the same underlying model. This is the homogeneous baseline.</w:t>
      </w:r>
    </w:p>
    <w:p>
      <w:pPr>
        <w:pStyle w:val="ListParagraph"/>
        <w:numPr>
          <w:ilvl w:val="0"/>
          <w:numId w:val="2"/>
        </w:numPr>
        <w:spacing w:after="60"/>
      </w:pPr>
      <w:r>
        <w:rPr>
          <w:b/>
          <w:bCs/>
        </w:rPr>
        <w:t xml:space="preserve">Run B: </w:t>
      </w:r>
      <w:r>
        <w:t xml:space="preserve">A mixed marketplace in which agents are assigned to different model strengths at random. This is the condition that directly tests Project Deal's central finding — whether capability asymmetry produces measurable outcome asymmetry, and whether the gap is visible to participants from outcomes alone.</w:t>
      </w:r>
    </w:p>
    <w:p>
      <w:pPr>
        <w:pStyle w:val="Heading2"/>
        <w:spacing w:after="120" w:before="240"/>
      </w:pPr>
      <w:r>
        <w:t xml:space="preserve">Phase 3 — Rubric Definition</w:t>
      </w:r>
    </w:p>
    <w:p>
      <w:pPr>
        <w:spacing w:after="120"/>
      </w:pPr>
      <w:r>
        <w:t xml:space="preserve">Define the eight-metric evaluation rubric across four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b/>
                <w:bCs/>
                <w:color w:val="FFFFFF"/>
                <w:sz w:val="22"/>
                <w:szCs w:val="22"/>
              </w:rPr>
              <w:t xml:space="preserve">Category</w:t>
            </w:r>
          </w:p>
        </w:tc>
        <w:tc>
          <w:tcPr>
            <w:tcW w:type="dxa" w:w="696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b/>
                <w:bCs/>
                <w:color w:val="FFFFFF"/>
                <w:sz w:val="22"/>
                <w:szCs w:val="22"/>
              </w:rPr>
              <w:t xml:space="preserve">Metrics</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Sales</w:t>
            </w:r>
          </w:p>
        </w:tc>
        <w:tc>
          <w:tcPr>
            <w:tcW w:type="dxa" w:w="69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Deal completion rate, seller margin extraction, buyer savings</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Efficiency</w:t>
            </w:r>
          </w:p>
        </w:tc>
        <w:tc>
          <w:tcPr>
            <w:tcW w:type="dxa" w:w="69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Message economy, deal resolution failure rate</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Integrity</w:t>
            </w:r>
          </w:p>
        </w:tc>
        <w:tc>
          <w:tcPr>
            <w:tcW w:type="dxa" w:w="69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Constraint violation rate, capability gap detectability</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Fairness</w:t>
            </w:r>
          </w:p>
        </w:tc>
        <w:tc>
          <w:tcPr>
            <w:tcW w:type="dxa" w:w="69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Self-reported fairness rating</w:t>
            </w:r>
          </w:p>
        </w:tc>
      </w:tr>
    </w:tbl>
    <w:p>
      <w:pPr>
        <w:spacing w:after="120"/>
      </w:pPr>
      <w:r>
        <w:t xml:space="preserve"/>
      </w:r>
    </w:p>
    <w:p>
      <w:pPr>
        <w:spacing w:after="120"/>
      </w:pPr>
      <w:r>
        <w:t xml:space="preserve">The rubric is the centrepiece of the paper. Each metric is given a formal definition, a justification for inclusion, and an automated method of computation. A reference implementation accompanies the paper so that future work can apply the same rubric to comparable systems.</w:t>
      </w:r>
    </w:p>
    <w:p>
      <w:pPr>
        <w:pStyle w:val="Heading2"/>
        <w:spacing w:after="120" w:before="240"/>
      </w:pPr>
      <w:r>
        <w:t xml:space="preserve">Phase 4 — Baseline Comparison</w:t>
      </w:r>
    </w:p>
    <w:p>
      <w:pPr>
        <w:spacing w:after="120"/>
      </w:pPr>
      <w:r>
        <w:t xml:space="preserve">Apply the rubric to Run A and Run B across multiple trials per condition. Build the headline comparison: how do outcomes differ between a homogeneous marketplace and a mixed one? Within the mixed condition, report a secondary analysis on whether stronger-model agents systematically outperform weaker-model agents on each rubric dimension, and whether the resulting capability gap is detectable from outcomes alone.</w:t>
      </w:r>
    </w:p>
    <w:p>
      <w:pPr>
        <w:pStyle w:val="Heading2"/>
        <w:spacing w:after="120" w:before="240"/>
      </w:pPr>
      <w:r>
        <w:t xml:space="preserve">Phase 5 — Reputation Layer</w:t>
      </w:r>
    </w:p>
    <w:p>
      <w:pPr>
        <w:spacing w:after="120"/>
      </w:pPr>
      <w:r>
        <w:t xml:space="preserve">Extend the system with a persistent buyer–seller reputation score. After every closed deal, both sides rate each other on a small fixed scale. Ratings update over time, are visible to all agents during context construction, and are explicitly referenced in agent instructions. Re-run the same experimental conditions with the reputation layer enabled and compare against the no-reputation baseline using the same rubric.</w:t>
      </w:r>
    </w:p>
    <w:p>
      <w:pPr>
        <w:spacing w:after="120"/>
      </w:pPr>
      <w:r>
        <w:t xml:space="preserve">This phase is the genuinely novel contribution of the paper. Project Deal had no reputation system. The closest published academic precedents (A2A-NT, NegotiationGym, Diagon) also did not test reputation. Whether reputation helps, hurts, or has no effect on agent commerce outcomes is therefore an open empirical question, and the paper provides a first answer.</w:t>
      </w:r>
    </w:p>
    <w:p>
      <w:pPr>
        <w:pStyle w:val="Heading1"/>
        <w:spacing w:after="160" w:before="320"/>
      </w:pPr>
      <w:r>
        <w:t xml:space="preserve">Scope</w:t>
      </w:r>
    </w:p>
    <w:p>
      <w:pPr>
        <w:spacing w:after="120"/>
      </w:pPr>
      <w:r>
        <w:t xml:space="preserve">Payment execution is explicitly out of scope. Agents in this work commit to deals but do not transact. The reasoning is twofold. First, agents in the original Project Deal experiment also did not execute payments — settlement was central, post-hoc, and conducted by humans. Second, real payment integration introduces a much larger engineering surface (Stripe Agent Toolkit, ACP, AP2, x402, escrow semantics) that would dominate the paper without strengthening its central claims. The paper treats payment execution as a deliberate next step and discusses what it would require, rather than partially implementing it.</w:t>
      </w:r>
    </w:p>
    <w:p>
      <w:pPr>
        <w:spacing w:after="120"/>
      </w:pPr>
      <w:r>
        <w:t xml:space="preserve">Other deliberate exclusions: very large agent populations, multi-week persistence, prompt-injection adversarial testing, and cross-vendor model ensembles. Each is discussed in the Future Work section as a separate research direction.</w:t>
      </w:r>
    </w:p>
    <w:p>
      <w:pPr>
        <w:pStyle w:val="Heading1"/>
        <w:spacing w:after="160" w:before="320"/>
      </w:pPr>
      <w:r>
        <w:t xml:space="preserve">Paper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b/>
                <w:bCs/>
                <w:color w:val="FFFFFF"/>
                <w:sz w:val="22"/>
                <w:szCs w:val="22"/>
              </w:rPr>
              <w:t xml:space="preserve">Section</w:t>
            </w:r>
          </w:p>
        </w:tc>
        <w:tc>
          <w:tcPr>
            <w:tcW w:type="dxa" w:w="616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b/>
                <w:bCs/>
                <w:color w:val="FFFFFF"/>
                <w:sz w:val="22"/>
                <w:szCs w:val="22"/>
              </w:rPr>
              <w:t xml:space="preserve">Content</w:t>
            </w:r>
          </w:p>
        </w:tc>
      </w:tr>
      <w:tr>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Introduction</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Project Deal context, the three gaps this paper addresses, and a one-paragraph statement of contributions.</w:t>
            </w:r>
          </w:p>
        </w:tc>
      </w:tr>
      <w:tr>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Related Work</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Project Deal, A2A-NT, NegotiationGym, Diagon, and a brief note that none of these used NVIDIA's NeMo stack — the replication here is similarly independent.</w:t>
            </w:r>
          </w:p>
        </w:tc>
      </w:tr>
      <w:tr>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System Design</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Architecture of the replication: persona generation, channel structure, action types, constraint validation. Comparison table against Project Deal.</w:t>
            </w:r>
          </w:p>
        </w:tc>
      </w:tr>
      <w:tr>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Proposed Rubric</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Eight metrics with formal definitions and rationale for inclusion.</w:t>
            </w:r>
          </w:p>
        </w:tc>
      </w:tr>
      <w:tr>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Experiments</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Run A vs Run B baseline comparison; capability-gap analysis within Run B; reputation-on vs reputation-off comparison.</w:t>
            </w:r>
          </w:p>
        </w:tc>
      </w:tr>
      <w:tr>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Discussion</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What the replication confirms, what it does not, where the rubric proves useful, and where it falls short.</w:t>
            </w:r>
          </w:p>
        </w:tc>
      </w:tr>
      <w:tr>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Future Work</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Payment execution, longer-running marketplaces, adversarial testing, cross-vendor model ensembles.</w:t>
            </w:r>
          </w:p>
        </w:tc>
      </w:tr>
      <w:tr>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Conclusion</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Summary of contributions and an open invitation to extend the replication and rubric.</w:t>
            </w:r>
          </w:p>
        </w:tc>
      </w:tr>
    </w:tbl>
    <w:p>
      <w:pPr>
        <w:spacing w:after="120"/>
      </w:pPr>
      <w:r>
        <w:t xml:space="preserve"/>
      </w:r>
    </w:p>
    <w:p>
      <w:pPr>
        <w:pStyle w:val="Heading1"/>
        <w:spacing w:after="160" w:before="320"/>
      </w:pPr>
      <w:r>
        <w:t xml:space="preserve">Expected Outputs</w:t>
      </w:r>
    </w:p>
    <w:p>
      <w:pPr>
        <w:pStyle w:val="ListParagraph"/>
        <w:numPr>
          <w:ilvl w:val="0"/>
          <w:numId w:val="2"/>
        </w:numPr>
        <w:spacing w:after="60"/>
      </w:pPr>
      <w:r>
        <w:t xml:space="preserve">A camera-ready position paper of appropriate length for the chosen venue.</w:t>
      </w:r>
    </w:p>
    <w:p>
      <w:pPr>
        <w:pStyle w:val="ListParagraph"/>
        <w:numPr>
          <w:ilvl w:val="0"/>
          <w:numId w:val="2"/>
        </w:numPr>
        <w:spacing w:after="60"/>
      </w:pPr>
      <w:r>
        <w:t xml:space="preserve">An open-source code release of the replication and rubric implementation.</w:t>
      </w:r>
    </w:p>
    <w:p>
      <w:pPr>
        <w:pStyle w:val="ListParagraph"/>
        <w:numPr>
          <w:ilvl w:val="0"/>
          <w:numId w:val="2"/>
        </w:numPr>
        <w:spacing w:after="60"/>
      </w:pPr>
      <w:r>
        <w:t xml:space="preserve">A frozen set of personas and run logs that future work can use to compare against.</w:t>
      </w:r>
    </w:p>
    <w:p>
      <w:pPr>
        <w:pStyle w:val="ListParagraph"/>
        <w:numPr>
          <w:ilvl w:val="0"/>
          <w:numId w:val="2"/>
        </w:numPr>
        <w:spacing w:after="60"/>
      </w:pPr>
      <w:r>
        <w:t xml:space="preserve">Public preprint on arXiv concurrent with workshop submission.</w:t>
      </w:r>
    </w:p>
    <w:p>
      <w:pPr>
        <w:pBdr>
          <w:bottom w:val="single" w:color="CCCCCC" w:sz="6" w:space="1"/>
        </w:pBdr>
        <w:spacing w:after="160" w:before="160"/>
      </w:pPr>
      <w:r>
        <w:t xml:space="preserve"/>
      </w:r>
    </w:p>
    <w:p>
      <w:pPr>
        <w:spacing w:after="120"/>
      </w:pPr>
      <w:r>
        <w:rPr>
          <w:i/>
          <w:iCs/>
        </w:rPr>
        <w:t xml:space="preserve">This plan keeps the paper's claims narrow enough to defend with limited resources while still producing three genuine contributions. The replication is foundation, the rubric is structure, and the reputation layer is the novel angle that makes the paper more than a re-implementation.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2026-05-14T08:11:07.800Z</dcterms:created>
  <dcterms:modified xsi:type="dcterms:W3CDTF">2026-05-14T08:11:07.801Z</dcterms:modified>
</cp:coreProperties>
</file>

<file path=docProps/custom.xml><?xml version="1.0" encoding="utf-8"?>
<Properties xmlns="http://schemas.openxmlformats.org/officeDocument/2006/custom-properties" xmlns:vt="http://schemas.openxmlformats.org/officeDocument/2006/docPropsVTypes"/>
</file>