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C5C56"/>
          <w:sz w:val="20"/>
          <w:szCs w:val="20"/>
        </w:rPr>
        <w:t xml:space="preserve">INVESTMENT BRIEF  ·  PRIVATE &amp; CONFIDENTIAL</w:t>
      </w:r>
    </w:p>
    <w:p>
      <w:pPr>
        <w:spacing w:after="80"/>
      </w:pPr>
      <w:r>
        <w:rPr>
          <w:b/>
          <w:bCs/>
          <w:color w:val="1B2B3A"/>
          <w:sz w:val="56"/>
          <w:szCs w:val="56"/>
        </w:rPr>
        <w:t xml:space="preserve">Clinical Intelligence Network</w:t>
      </w:r>
    </w:p>
    <w:p>
      <w:pPr>
        <w:spacing w:after="320"/>
      </w:pPr>
      <w:r>
        <w:rPr>
          <w:i/>
          <w:iCs/>
          <w:color w:val="5C5C56"/>
          <w:sz w:val="26"/>
          <w:szCs w:val="26"/>
        </w:rPr>
        <w:t xml:space="preserve">Building the Data Infrastructure for Precision Medicine in the Global South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6.5B</w:t>
            </w:r>
          </w:p>
          <w:p>
            <w:pPr>
              <w:jc w:val="center"/>
            </w:pPr>
            <w:r>
              <w:rPr>
                <w:color w:val="C9D2D9"/>
                <w:sz w:val="18"/>
                <w:szCs w:val="18"/>
              </w:rPr>
              <w:t xml:space="preserve">People absent from global health AI</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$100B+</w:t>
            </w:r>
          </w:p>
          <w:p>
            <w:pPr>
              <w:jc w:val="center"/>
            </w:pPr>
            <w:r>
              <w:rPr>
                <w:color w:val="C9D2D9"/>
                <w:sz w:val="18"/>
                <w:szCs w:val="18"/>
              </w:rPr>
              <w:t xml:space="preserve">Asia-Pacific AI health market by 2033</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$38B</w:t>
            </w:r>
          </w:p>
          <w:p>
            <w:pPr>
              <w:jc w:val="center"/>
            </w:pPr>
            <w:r>
              <w:rPr>
                <w:color w:val="C9D2D9"/>
                <w:sz w:val="18"/>
                <w:szCs w:val="18"/>
              </w:rPr>
              <w:t xml:space="preserve">IQVIA — built on Western data only</w:t>
            </w:r>
          </w:p>
        </w:tc>
        <w:tc>
          <w:tcPr>
            <w:tcBorders>
              <w:top w:val="single" w:color="D8D2C4" w:sz="1"/>
              <w:left w:val="single" w:color="D8D2C4" w:sz="1"/>
              <w:bottom w:val="single" w:color="D8D2C4" w:sz="1"/>
              <w:right w:val="single" w:color="D8D2C4" w:sz="1"/>
            </w:tcBorders>
            <w:shd w:fill="1B2B3A" w:val="clear"/>
            <w:tcMar>
              <w:top w:type="dxa" w:w="160"/>
              <w:left w:type="dxa" w:w="200"/>
              <w:bottom w:type="dxa" w:w="160"/>
              <w:right w:type="dxa" w:w="200"/>
            </w:tcMar>
          </w:tcPr>
          <w:p>
            <w:pPr>
              <w:jc w:val="center"/>
            </w:pPr>
            <w:r>
              <w:rPr>
                <w:b/>
                <w:bCs/>
                <w:color w:val="FFFFFF"/>
                <w:sz w:val="52"/>
                <w:szCs w:val="52"/>
              </w:rPr>
              <w:t xml:space="preserve">$750K</w:t>
            </w:r>
          </w:p>
          <w:p>
            <w:pPr>
              <w:jc w:val="center"/>
            </w:pPr>
            <w:r>
              <w:rPr>
                <w:color w:val="C9D2D9"/>
                <w:sz w:val="18"/>
                <w:szCs w:val="18"/>
              </w:rPr>
              <w:t xml:space="preserve">Pre-seed raise · $8M cap</w:t>
            </w:r>
          </w:p>
        </w:tc>
      </w:tr>
    </w:tbl>
    <w:p>
      <w:pPr>
        <w:spacing w:after="280"/>
      </w:pPr>
    </w:p>
    <w:p>
      <w:pPr>
        <w:pStyle w:val="Heading1"/>
        <w:pBdr>
          <w:bottom w:val="single" w:color="1B2B3A" w:sz="8" w:space="4"/>
        </w:pBdr>
        <w:spacing w:after="180" w:before="360"/>
      </w:pPr>
      <w:r>
        <w:rPr>
          <w:b/>
          <w:bCs/>
          <w:color w:val="1B2B3A"/>
        </w:rPr>
        <w:t xml:space="preserve">The Opportunity</w:t>
      </w:r>
    </w:p>
    <w:p>
      <w:pPr>
        <w:spacing w:after="130"/>
      </w:pPr>
      <w:r>
        <w:rPr>
          <w:sz w:val="22"/>
          <w:szCs w:val="22"/>
        </w:rPr>
        <w:t xml:space="preserve">The next generation of medical AI and drug discovery will be built on large-scale clinical datasets. Companies such as Tempus AI and Flatiron Health have achieved multi-billion dollar valuations by structuring and analyzing patient data from North American and European hospital systems. The vast majority of the world’s population — across South and Southeast Asia, the Middle East, Africa, and Latin America — remains largely absent from these datasets.</w:t>
      </w:r>
    </w:p>
    <w:p>
      <w:pPr>
        <w:spacing w:after="130"/>
      </w:pPr>
      <w:r>
        <w:rPr>
          <w:sz w:val="22"/>
          <w:szCs w:val="22"/>
        </w:rPr>
        <w:t xml:space="preserve">The addressable population exceeds 6.5 billion people across a market projected at $100 billion by 2033. No institutional-grade clinical data infrastructure currently exists to serve it.</w:t>
      </w:r>
    </w:p>
    <w:p>
      <w:pPr>
        <w:spacing w:after="130"/>
      </w:pPr>
      <w:r>
        <w:rPr>
          <w:sz w:val="22"/>
          <w:szCs w:val="22"/>
        </w:rPr>
        <w:t xml:space="preserve">There is a second, equally significant gap that no data company has addressed: the outcomes of Western patients receiving advanced regenerative and longevity therapies — stem cell protocols, NAD+ therapy, plasmapheresis, peptide therapies, NK-cell expansion — in non-Western clinical settings. These therapies are being administered at scale across Southeast Asia to a growing population of American and European patients. The longitudinal outcomes data does not exist in any structured, licensable form.</w:t>
      </w:r>
    </w:p>
    <w:p>
      <w:pPr>
        <w:shd w:fill="1B2B3A" w:val="clear"/>
        <w:spacing w:after="200" w:before="200"/>
        <w:ind w:left="180" w:right="180"/>
      </w:pPr>
      <w:r>
        <w:rPr>
          <w:b/>
          <w:bCs/>
          <w:color w:val="FFFFFF"/>
          <w:sz w:val="23"/>
          <w:szCs w:val="23"/>
        </w:rPr>
        <w:t xml:space="preserve">CIN is building both datasets simultaneously — through two owned platforms operating in the same clinical geography, governed by the same IRB framework, feeding the same licensing infrastructure.</w:t>
      </w:r>
    </w:p>
    <w:p>
      <w:r>
        <w:br w:type="page"/>
      </w:r>
    </w:p>
    <w:p>
      <w:pPr>
        <w:pStyle w:val="Heading1"/>
        <w:pBdr>
          <w:bottom w:val="single" w:color="1B2B3A" w:sz="8" w:space="4"/>
        </w:pBdr>
        <w:spacing w:after="180" w:before="360"/>
      </w:pPr>
      <w:r>
        <w:rPr>
          <w:b/>
          <w:bCs/>
          <w:color w:val="1B2B3A"/>
        </w:rPr>
        <w:t xml:space="preserve">The Two-Platform Architecture</w:t>
      </w:r>
    </w:p>
    <w:p>
      <w:pPr>
        <w:spacing w:after="130"/>
      </w:pPr>
      <w:r>
        <w:rPr>
          <w:sz w:val="22"/>
          <w:szCs w:val="22"/>
        </w:rPr>
        <w:t xml:space="preserve">CIN operates through two complementary platforms. Each generates a distinct and commercially valuable dataset. Together they create a clinical intelligence asset that no competitor — IQVIA, Tempus, Flatiron, or any emerging health AI company — is positioned to build.</w:t>
      </w:r>
    </w:p>
    <w:p>
      <w:pPr>
        <w:pStyle w:val="Heading2"/>
        <w:spacing w:after="100" w:before="260"/>
      </w:pPr>
      <w:r>
        <w:rPr>
          <w:color w:val="1B2B3A"/>
        </w:rPr>
        <w:t xml:space="preserve">Platform 1 — CIN Core: Global South Population Data</w:t>
      </w:r>
    </w:p>
    <w:p>
      <w:pPr>
        <w:spacing w:after="130"/>
      </w:pPr>
      <w:r>
        <w:rPr>
          <w:sz w:val="22"/>
          <w:szCs w:val="22"/>
        </w:rPr>
        <w:t xml:space="preserve">CIN Core aggregates, structures, and licenses de-identified clinical data from emerging market healthcare systems, beginning with Nepal and expanding across South Asia, Southeast Asia, the Middle East, Sub-Saharan Africa, and Latin America.</w:t>
      </w:r>
    </w:p>
    <w:p>
      <w:pPr>
        <w:pStyle w:val="ListParagraph"/>
        <w:numPr>
          <w:ilvl w:val="0"/>
          <w:numId w:val="2"/>
        </w:numPr>
        <w:spacing w:after="70"/>
      </w:pPr>
      <w:r>
        <w:rPr>
          <w:sz w:val="22"/>
          <w:szCs w:val="22"/>
        </w:rPr>
        <w:t xml:space="preserve">Entry point: Nepal, where the founding team’s 25-year institutional relationships with the Ministry of Health and university hospital leadership provide a direct path to IRB-approved data collection unavailable to any competitor with capital alone</w:t>
      </w:r>
    </w:p>
    <w:p>
      <w:pPr>
        <w:pStyle w:val="ListParagraph"/>
        <w:numPr>
          <w:ilvl w:val="0"/>
          <w:numId w:val="2"/>
        </w:numPr>
        <w:spacing w:after="70"/>
      </w:pPr>
      <w:r>
        <w:rPr>
          <w:sz w:val="22"/>
          <w:szCs w:val="22"/>
        </w:rPr>
        <w:t xml:space="preserve">Data type: inpatient and outpatient clinical records across high-volume populations representing some of the world’s most scientifically significant and underrepresented disease profiles</w:t>
      </w:r>
    </w:p>
    <w:p>
      <w:pPr>
        <w:pStyle w:val="ListParagraph"/>
        <w:numPr>
          <w:ilvl w:val="0"/>
          <w:numId w:val="2"/>
        </w:numPr>
        <w:spacing w:after="70"/>
      </w:pPr>
      <w:r>
        <w:rPr>
          <w:sz w:val="22"/>
          <w:szCs w:val="22"/>
        </w:rPr>
        <w:t xml:space="preserve">Expansion model: the same IRB-governed infrastructure framework deployed with local institutional partners in each new geography</w:t>
      </w:r>
    </w:p>
    <w:p>
      <w:pPr>
        <w:pStyle w:val="ListParagraph"/>
        <w:numPr>
          <w:ilvl w:val="0"/>
          <w:numId w:val="2"/>
        </w:numPr>
        <w:spacing w:after="70"/>
      </w:pPr>
      <w:r>
        <w:rPr>
          <w:sz w:val="22"/>
          <w:szCs w:val="22"/>
        </w:rPr>
        <w:t xml:space="preserve">Buyers: pharma, biotech, AI health platforms, clinical trial sponsors seeking access to Global South patient populations</w:t>
      </w:r>
    </w:p>
    <w:p>
      <w:pPr>
        <w:pStyle w:val="Heading2"/>
        <w:spacing w:after="100" w:before="260"/>
      </w:pPr>
      <w:r>
        <w:rPr>
          <w:color w:val="1B2B3A"/>
        </w:rPr>
        <w:t xml:space="preserve">Platform 2 — Casanova Medicals: Western Patient Outcomes in Asian Clinical Settings</w:t>
      </w:r>
    </w:p>
    <w:p>
      <w:pPr>
        <w:spacing w:after="130"/>
      </w:pPr>
      <w:r>
        <w:rPr>
          <w:sz w:val="22"/>
          <w:szCs w:val="22"/>
        </w:rPr>
        <w:t xml:space="preserve">Casanova Medicals is a patient navigation and outcomes platform serving Americans aged 55 and over who access advanced regenerative and longevity therapies through Casanova’s network of partner institutions across Thailand, Vietnam, Malaysia, and the wider region.</w:t>
      </w:r>
    </w:p>
    <w:p>
      <w:pPr>
        <w:pStyle w:val="ListParagraph"/>
        <w:numPr>
          <w:ilvl w:val="0"/>
          <w:numId w:val="2"/>
        </w:numPr>
        <w:spacing w:after="70"/>
      </w:pPr>
      <w:r>
        <w:rPr>
          <w:sz w:val="22"/>
          <w:szCs w:val="22"/>
        </w:rPr>
        <w:t xml:space="preserve">Patient profile: Western patients, predominantly American, 55+, with documented chronic conditions, receiving advanced therapies — NAD+ IV, stem cell protocols, plasmapheresis, xenon gas, exosomes, NK-cell expansion, peptide therapies — at accredited partner institutions in Southeast Asia</w:t>
      </w:r>
    </w:p>
    <w:p>
      <w:pPr>
        <w:pStyle w:val="ListParagraph"/>
        <w:numPr>
          <w:ilvl w:val="0"/>
          <w:numId w:val="2"/>
        </w:numPr>
        <w:spacing w:after="70"/>
      </w:pPr>
      <w:r>
        <w:rPr>
          <w:sz w:val="22"/>
          <w:szCs w:val="22"/>
        </w:rPr>
        <w:t xml:space="preserve">Data type: longitudinal outcomes data tracking patient profile, assigned protocol, monthly adherence, energy, sleep, and goal-progress scores from intake through 12 months of follow-up</w:t>
      </w:r>
    </w:p>
    <w:p>
      <w:pPr>
        <w:pStyle w:val="ListParagraph"/>
        <w:numPr>
          <w:ilvl w:val="0"/>
          <w:numId w:val="2"/>
        </w:numPr>
        <w:spacing w:after="70"/>
      </w:pPr>
      <w:r>
        <w:rPr>
          <w:sz w:val="22"/>
          <w:szCs w:val="22"/>
        </w:rPr>
        <w:t xml:space="preserve">Governance: IRB-approved consent framework built into Casanova’s intake architecture from day one, producing a de-identified, structured dataset suitable for research licensing</w:t>
      </w:r>
    </w:p>
    <w:p>
      <w:pPr>
        <w:pStyle w:val="ListParagraph"/>
        <w:numPr>
          <w:ilvl w:val="0"/>
          <w:numId w:val="2"/>
        </w:numPr>
        <w:spacing w:after="70"/>
      </w:pPr>
      <w:r>
        <w:rPr>
          <w:sz w:val="22"/>
          <w:szCs w:val="22"/>
        </w:rPr>
        <w:t xml:space="preserve">Buyers: longevity pharma, biotech companies validating regenerative therapies, AI health platforms building longevity diagnostic models, clinical trial sponsors recruiting Western patient cohorts for trials of therapies currently administered only in Asia</w:t>
      </w:r>
    </w:p>
    <w:p>
      <w:pPr>
        <w:pStyle w:val="Heading2"/>
        <w:spacing w:after="100" w:before="260"/>
      </w:pPr>
      <w:r>
        <w:rPr>
          <w:color w:val="1B2B3A"/>
        </w:rPr>
        <w:t xml:space="preserve">Why the combination is the strategic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CIN Core alone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CIN + Casanova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Dataset coverage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South local populations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South populations + Western patients in Global South clinical settings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Therapy coverage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Standard disease profiles across emerging markets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Standard profiles + advanced regenerative/longevity therapies with no equivalent Western dataset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Pharma value proposition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Drug discovery and trial recruitment in underserved populations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real-world outcomes validation for longevity therapies the industry cannot get clean data on elsewhere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AI health value proposition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Training data for Global South diagnostic models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cross-population response modeling for regenerative therapies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Defensibility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Institutional relationships no capital can replicate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Above + owned patient navigation platform generating proprietary outcomes data by design</w:t>
            </w:r>
          </w:p>
        </w:tc>
      </w:tr>
    </w:tbl>
    <w:p>
      <w:r>
        <w:br w:type="page"/>
      </w:r>
    </w:p>
    <w:p>
      <w:pPr>
        <w:pStyle w:val="Heading1"/>
        <w:pBdr>
          <w:bottom w:val="single" w:color="1B2B3A" w:sz="8" w:space="4"/>
        </w:pBdr>
        <w:spacing w:after="180" w:before="360"/>
      </w:pPr>
      <w:r>
        <w:rPr>
          <w:b/>
          <w:bCs/>
          <w:color w:val="1B2B3A"/>
        </w:rPr>
        <w:t xml:space="preserve">The Dataset That Does Not Exist Anywhere Else</w:t>
      </w:r>
    </w:p>
    <w:p>
      <w:pPr>
        <w:pBdr>
          <w:left w:val="single" w:color="A8332B" w:sz="14" w:space="12"/>
        </w:pBdr>
        <w:spacing w:after="160" w:before="160"/>
        <w:ind w:left="560"/>
      </w:pPr>
      <w:r>
        <w:rPr>
          <w:i/>
          <w:iCs/>
          <w:color w:val="5C5C56"/>
          <w:sz w:val="24"/>
          <w:szCs w:val="24"/>
        </w:rPr>
        <w:t xml:space="preserve">What happens when an American 65-year-old with hypertension, chronic inflammation, and type 2 diabetes receives a structured NAD+ protocol, plasmapheresis, and daily therapeutic intervention at an accredited Bangkok hospital, tracked longitudinally over 12 months? Nobody knows. No dataset captures it. No clinical trial has been run at scale. No AI model has been trained on it.</w:t>
      </w:r>
    </w:p>
    <w:p>
      <w:pPr>
        <w:spacing w:after="130"/>
      </w:pPr>
      <w:r>
        <w:rPr>
          <w:sz w:val="22"/>
          <w:szCs w:val="22"/>
        </w:rPr>
        <w:t xml:space="preserve">The longevity and regenerative medicine industry is growing rapidly. NAD+ therapy, stem cell protocols, exosome treatments, and peptide therapies are being administered to thousands of Western patients annually in Southeast Asian clinical settings. The outcomes are largely undocumented — not because the data doesn’t exist clinically, but because no platform has built the infrastructure to capture, structure, and license it.</w:t>
      </w:r>
    </w:p>
    <w:p>
      <w:pPr>
        <w:spacing w:after="130"/>
      </w:pPr>
      <w:r>
        <w:rPr>
          <w:sz w:val="22"/>
          <w:szCs w:val="22"/>
        </w:rPr>
        <w:t xml:space="preserve">Casanova captures it by design. Every patient who enters the Casanova program consents to de-identified outcomes tracking. Every monthly clinical check-in generates structured longitudinal data. Every protocol assignment — NAD+, stem cell, plasmapheresis, peptide — is recorded against a documented patient profile and tracked to outcome.</w:t>
      </w:r>
    </w:p>
    <w:p>
      <w:pPr>
        <w:spacing w:after="130"/>
      </w:pPr>
      <w:r>
        <w:rPr>
          <w:sz w:val="22"/>
          <w:szCs w:val="22"/>
        </w:rPr>
        <w:t xml:space="preserve">At 200 patients annually with 12-month follow-up, Casanova generates a longitudinal dataset of approximately 2,400 structured patient-month records per year, growing compoundingly. At 500 patients, 6,000 records annually. No pharma company, no AI health platform, and no clinical research organization has access to this data — because the platform that generates it did not exist until now.</w:t>
      </w:r>
    </w:p>
    <w:p>
      <w:pPr>
        <w:shd w:fill="5E7E60" w:val="clear"/>
        <w:spacing w:after="200" w:before="200"/>
        <w:ind w:left="180" w:right="180"/>
      </w:pPr>
      <w:r>
        <w:rPr>
          <w:b/>
          <w:bCs/>
          <w:color w:val="FFFFFF"/>
          <w:sz w:val="23"/>
          <w:szCs w:val="23"/>
        </w:rPr>
        <w:t xml:space="preserve">This is not a secondary benefit of Casanova. It is co-primary. The patient navigation business funds the data collection. The data collection funds the licensing revenue. The licensing revenue funds the expansion.</w:t>
      </w:r>
    </w:p>
    <w:p>
      <w:r>
        <w:br w:type="page"/>
      </w:r>
    </w:p>
    <w:p>
      <w:pPr>
        <w:pStyle w:val="Heading1"/>
        <w:pBdr>
          <w:bottom w:val="single" w:color="1B2B3A" w:sz="8" w:space="4"/>
        </w:pBdr>
        <w:spacing w:after="180" w:before="360"/>
      </w:pPr>
      <w:r>
        <w:rPr>
          <w:b/>
          <w:bCs/>
          <w:color w:val="1B2B3A"/>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Revenue Layer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Buyer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Description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Research Data Licensing — Global South Population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Pharma, biotech, AI health platforms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De-identified clinical datasets from Nepal and expanding Global South network licensed for drug discovery, biomarker identification, and population response modeling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Research Data Licensing — Longevity Outcomes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Longevity pharma, biotech, AI longevity platforms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De-identified longitudinal outcomes data from Western patients receiving regenerative therapies in Southeast Asian clinical settings — the only structured dataset of its kind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Clinical AI Applications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Hospitals, research institutions, health systems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Predictive tools built on the combined dataset — IVF outcomes, cardiovascular risk, metabolic disease, longevity protocol optimization, population health analytics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Clinical Trial Recruitment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pharma R&amp;D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Identify eligible patient cohorts across CIN Core partner institutions and Casanova’s patient network. Western patients already receiving relevant therapies in Asian clinical settings are premium trial candidates.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Patient Navigation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Direct to consumer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Coordination fees ($4,500–$18,500 per patient), CPP subscription ($249/mo), affiliate and visa services. Self-funding data collection layer.</w:t>
            </w:r>
          </w:p>
        </w:tc>
      </w:tr>
    </w:tbl>
    <w:p>
      <w:r>
        <w:br w:type="page"/>
      </w:r>
    </w:p>
    <w:p>
      <w:pPr>
        <w:pStyle w:val="Heading1"/>
        <w:pBdr>
          <w:bottom w:val="single" w:color="1B2B3A" w:sz="8" w:space="4"/>
        </w:pBdr>
        <w:spacing w:after="180" w:before="360"/>
      </w:pPr>
      <w:r>
        <w:rPr>
          <w:b/>
          <w:bCs/>
          <w:color w:val="1B2B3A"/>
        </w:rPr>
        <w:t xml:space="preserve">Founding Team</w:t>
      </w:r>
    </w:p>
    <w:p>
      <w:pPr>
        <w:pStyle w:val="Heading2"/>
        <w:spacing w:after="100" w:before="260"/>
      </w:pPr>
      <w:r>
        <w:rPr>
          <w:color w:val="1B2B3A"/>
        </w:rPr>
        <w:t xml:space="preserve">Prof. Janardan Subedi</w:t>
      </w:r>
    </w:p>
    <w:p>
      <w:pPr>
        <w:spacing w:after="130"/>
      </w:pPr>
      <w:r>
        <w:rPr>
          <w:sz w:val="22"/>
          <w:szCs w:val="22"/>
        </w:rPr>
        <w:t xml:space="preserve">NIH-funded epidemiologist. 93 peer-reviewed publications. 25-year consultant to Nepal’s Ministry of Health. Distinguished Professor at Tribhuvan University. Director of the Miami Center for Nepal Studies. The institutional relationships that form CIN Core’s Nepal foundation were built over 25 years and cannot be replicated with capital.</w:t>
      </w:r>
    </w:p>
    <w:p>
      <w:pPr>
        <w:pStyle w:val="Heading2"/>
        <w:spacing w:after="100" w:before="260"/>
      </w:pPr>
      <w:r>
        <w:rPr>
          <w:color w:val="1B2B3A"/>
        </w:rPr>
        <w:t xml:space="preserve">Dr. Suvro Banerjee, MD FACC FESC FSCAI</w:t>
      </w:r>
    </w:p>
    <w:p>
      <w:pPr>
        <w:spacing w:after="130"/>
      </w:pPr>
      <w:r>
        <w:rPr>
          <w:sz w:val="22"/>
          <w:szCs w:val="22"/>
        </w:rPr>
        <w:t xml:space="preserve">Senior Consultant Interventional Cardiologist, Apollo Hospitals. Active Principal Investigator on international clinical trials. Steering Committee member on national cardiology guidelines. Leading CIN’s clinical partnership development across South Asia and Southeast Asia. Clinical advisory board spanning endocrinology, reproductive medicine, neurology, oncology, and public health being assembled through Dr. Banerjee’s institutional network.</w:t>
      </w:r>
    </w:p>
    <w:p>
      <w:pPr>
        <w:pStyle w:val="Heading2"/>
        <w:spacing w:after="100" w:before="260"/>
      </w:pPr>
      <w:r>
        <w:rPr>
          <w:color w:val="1B2B3A"/>
        </w:rPr>
        <w:t xml:space="preserve">The Casanova Platform</w:t>
      </w:r>
    </w:p>
    <w:p>
      <w:pPr>
        <w:spacing w:after="130"/>
      </w:pPr>
      <w:r>
        <w:rPr>
          <w:sz w:val="22"/>
          <w:szCs w:val="22"/>
        </w:rPr>
        <w:t xml:space="preserve">The Casanova Medicals patient navigation business is operational, with physician oversight in place, a full product and program architecture built, and Experience Asia (Stephen McEvoy, 30+ years in region, TAT registered, USTOA member) as the in-country fulfillment partner. The platform is designed from the ground up to generate IRB-eligible longitudinal outcomes data — the data collection architecture is built in, not retrofitted.</w:t>
      </w:r>
    </w:p>
    <w:p>
      <w:r>
        <w:br w:type="page"/>
      </w:r>
    </w:p>
    <w:p>
      <w:pPr>
        <w:pStyle w:val="Heading1"/>
        <w:pBdr>
          <w:bottom w:val="single" w:color="1B2B3A" w:sz="8" w:space="4"/>
        </w:pBdr>
        <w:spacing w:after="180" w:before="360"/>
      </w:pPr>
      <w:r>
        <w:rPr>
          <w:b/>
          <w:bCs/>
          <w:color w:val="1B2B3A"/>
        </w:rPr>
        <w:t xml:space="preserve">Current Status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Status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CIN Core — Nepal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Institutional relationships established at leadership level. Formal MOUs and IRB submissions are the immediate next step.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CIN Core — Apollo / South Asia</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Dr. Banerjee’s institutional network provides the expansion path across South Asia and Southeast Asia.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 Platform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Full product architecture complete. Physician on board. Experience Asia partnership in place. CPP data collection framework built.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Casanova — IRB</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IRB consent framework to be built into Casanova’s intake architecture before first patient enrollment — parallel to CIN Core IRB submission.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Combined dataset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First structured longevity outcomes records anticipated within 90 days of Casanova launch. CIN Core Nepal dataset anticipated within 6 months of MOU execution.</w:t>
            </w:r>
          </w:p>
        </w:tc>
      </w:tr>
    </w:tbl>
    <w:p>
      <w:pPr>
        <w:pStyle w:val="Heading1"/>
        <w:pBdr>
          <w:bottom w:val="single" w:color="1B2B3A" w:sz="8" w:space="4"/>
        </w:pBdr>
        <w:spacing w:after="180" w:before="360"/>
      </w:pPr>
      <w:r>
        <w:rPr>
          <w:b/>
          <w:bCs/>
          <w:color w:val="1B2B3A"/>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Pre-Seed Round</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$750,000 SAFE · $8,000,000 valuation cap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Use of Funds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Formalize CIN Core institutional MOUs in Nepal. Complete parallel IRB submissions for CIN Core and Casanova. Fund Nepal ground-coordinator staffing for founding cohort enrollment across diabetes, pregnancy, oncology, cardiovascular, and metabolic disease cohorts. Complete Casanova CPP build and first patient enrollment. Build shared data ingestion, de-identification, and licensing platform.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Milestones to Seed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Signed institutional MOUs → IRB approval → 50–100 CIN Core enrolled patients across multiple disease cohorts → 20–30 Casanova patients with 90-day outcomes data → priced seed round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Seed Round (targeted)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$12–15M · $40–50M cap — funds Nepal at scale across all disease cohorts, Casanova at 200+ patients annually, Apollo and Southeast Asia CIN expansion, first pharma partnership conversations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Series A (targeted)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$45–60M — 18–24 months of longitudinal depth, first licensing deals in place, 400–500 Casanova patients with 12-month outcomes, IQVIA and Tempus comparables as the pricing conversation</w:t>
            </w:r>
          </w:p>
        </w:tc>
      </w:tr>
    </w:tbl>
    <w:p>
      <w:pPr>
        <w:spacing w:after="200"/>
      </w:pPr>
    </w:p>
    <w:p>
      <w:pPr>
        <w:pStyle w:val="Heading2"/>
        <w:spacing w:after="100" w:before="260"/>
      </w:pPr>
      <w:r>
        <w:rPr>
          <w:color w:val="1B2B3A"/>
        </w:rPr>
        <w:t xml:space="preserve">Why now</w:t>
      </w:r>
    </w:p>
    <w:p>
      <w:pPr>
        <w:spacing w:after="130"/>
      </w:pPr>
      <w:r>
        <w:rPr>
          <w:sz w:val="22"/>
          <w:szCs w:val="22"/>
        </w:rPr>
        <w:t xml:space="preserve">AI-enabled health data companies raised an average of $34.4 million per round in 2025 — an 83% premium over non-AI health companies. Data infrastructure was the third largest funded category in digital health in H1 2025, drawing $893 million. The average Series A for an AI health data company is $24.4 million. The average Series B is $54.8 million. CIN is raising its pre-seed at $750K — milestone capital to convert institutional relationships into a signed, IRB-governed, live dataset. The seed round will be priced against a market that has demonstrated it will pay significantly for what CIN is building.</w:t>
      </w:r>
    </w:p>
    <w:p>
      <w:r>
        <w:br w:type="page"/>
      </w:r>
    </w:p>
    <w:p>
      <w:pPr>
        <w:pStyle w:val="Heading1"/>
        <w:pBdr>
          <w:bottom w:val="single" w:color="1B2B3A" w:sz="8" w:space="4"/>
        </w:pBdr>
        <w:spacing w:after="180" w:before="360"/>
      </w:pPr>
      <w:r>
        <w:rPr>
          <w:b/>
          <w:bCs/>
          <w:color w:val="1B2B3A"/>
        </w:rPr>
        <w:t xml:space="preserve">The Nepal Dataset — Why It Matters to Pharma and AI</w:t>
      </w:r>
    </w:p>
    <w:p>
      <w:pPr>
        <w:spacing w:after="130"/>
      </w:pPr>
      <w:r>
        <w:rPr>
          <w:sz w:val="22"/>
          <w:szCs w:val="22"/>
        </w:rPr>
        <w:t xml:space="preserve">Nepal is not a small market for clinical data. It is a scientifically extraordinary one. A population of 30 million with almost no existing structured clinical dataset, high burden of disease across multiple categories simultaneously, and institutional access that no competitor can purchase. The founding team’s 25-year relationships with the Ministry of Health and university hospital leadership are the result of decades of NIH-funded epidemiological work — they are not relationships that a well-funded competitor can replicate in 12 months.</w:t>
      </w:r>
    </w:p>
    <w:p>
      <w:pPr>
        <w:spacing w:after="130"/>
      </w:pPr>
      <w:r>
        <w:rPr>
          <w:sz w:val="22"/>
          <w:szCs w:val="22"/>
        </w:rPr>
        <w:t xml:space="preserve">The disease cohorts available through CIN Core’s Nepal network represent some of the highest-value research targets in global pharma and AI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Disease Cohort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Why it matters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pPr>
              <w:jc w:val="left"/>
            </w:pPr>
            <w:r>
              <w:rPr>
                <w:b/>
                <w:bCs/>
                <w:color w:val="FFFFFF"/>
                <w:sz w:val="19"/>
                <w:szCs w:val="19"/>
              </w:rPr>
              <w:t xml:space="preserve">Buyer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Diabetes — Type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Nepal has one of the fastest-growing T2D prevalence rates in South Asia. Genetic and metabolic profiles distinct from Western cohorts. Drug response data critical for pharma developing next-generation metabolic therapies.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Pharma (Novo Nordisk, Eli Lilly, AstraZeneca), AI metabolic health platforms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Pregnancy and maternal health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High-volume obstetric population with distinct nutritional, genetic, and environmental profiles. Maternal mortality and complication data with almost no structured baseline. Critical for global health AI and reproductive medicine research.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health funders (Gates Foundation, WHO), reproductive medicine AI, maternal health pharma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Oncology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Cancer incidence and presentation patterns in South Asian populations significantly underrepresented in Western oncology datasets. Drug response modeling for South Asian genetics is a known gap in precision oncology.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Oncology pharma, AI precision medicine platforms (comparable to what Tempus built on Western oncology data)</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Cardiovascular disease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CVD is the leading cause of death in Nepal and across South Asia. Dr. Banerjee’s Apollo network provides additional cardiology depth. Drug and intervention response data across a genetically distinct high-CVD population.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Cardiovascular pharma, AI cardiac risk platforms, clinical trial sponsors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Metabolic disease and nutrition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Distinct metabolic profiles driven by dietary patterns, altitude, genetics, and environmental factors not captured in any existing global dataset.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Metabolic pharma, nutrition AI, population health platforms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Infectious disease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High-volume infectious disease presentation across a population with limited prior antibiotic exposure — significant for antimicrobial resistance research and vaccine development.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Global health pharma, AMR research funders, vaccine developers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Mental health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Almost no structured mental health data exists for South Asian populations. Presentation patterns, treatment response, and cultural context are clinically distinct from Western datasets.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Mental health AI platforms, pharma developing global mental health therapeutics</w:t>
            </w:r>
          </w:p>
        </w:tc>
      </w:tr>
    </w:tbl>
    <w:p>
      <w:pPr>
        <w:spacing w:after="130"/>
      </w:pPr>
      <w:r>
        <w:rPr>
          <w:sz w:val="22"/>
          <w:szCs w:val="22"/>
        </w:rPr>
        <w:t xml:space="preserve">Each disease cohort is a separate licensing opportunity. A pharma company developing a diabetes drug needs South Asian metabolic data. An oncology AI platform needs non-Western cancer presentation data. A reproductive medicine company needs maternal health data from high-volume obstetric populations. CIN Core’s Nepal network provides access to all of them through a single IRB-governed infrastructure.</w:t>
      </w:r>
    </w:p>
    <w:p>
      <w:pPr>
        <w:shd w:fill="5E7E60" w:val="clear"/>
        <w:spacing w:after="200" w:before="200"/>
        <w:ind w:left="180" w:right="180"/>
      </w:pPr>
      <w:r>
        <w:rPr>
          <w:b/>
          <w:bCs/>
          <w:color w:val="FFFFFF"/>
          <w:sz w:val="23"/>
          <w:szCs w:val="23"/>
        </w:rPr>
        <w:t xml:space="preserve">This is not one dataset. It is seven simultaneous longitudinal research programs, each with a distinct pharma and AI buyer, running through the same infrastructure.</w:t>
      </w:r>
    </w:p>
    <w:p>
      <w:r>
        <w:br w:type="page"/>
      </w:r>
    </w:p>
    <w:p>
      <w:pPr>
        <w:pStyle w:val="Heading1"/>
        <w:pBdr>
          <w:bottom w:val="single" w:color="1B2B3A" w:sz="8" w:space="4"/>
        </w:pBdr>
        <w:spacing w:after="180" w:before="360"/>
      </w:pPr>
      <w:r>
        <w:rPr>
          <w:b/>
          <w:bCs/>
          <w:color w:val="1B2B3A"/>
        </w:rPr>
        <w:t xml:space="preserve">The Market Context</w:t>
      </w:r>
    </w:p>
    <w:p>
      <w:pPr>
        <w:spacing w:after="130"/>
      </w:pPr>
      <w:r>
        <w:rPr>
          <w:sz w:val="22"/>
          <w:szCs w:val="22"/>
        </w:rPr>
        <w:t xml:space="preserve">Investors put $10.7 billion into AI-powered health tech in 2025 — 24% higher than all of 2024. AI-enabled health data companies raised an average of $34.4 million per round, an 83% premium over non-AI health companies. Data infrastructure was the third largest funded category in digital health in H1 2025, drawing $893 million in six months.</w:t>
      </w:r>
    </w:p>
    <w:p>
      <w:pPr>
        <w:spacing w:after="130"/>
      </w:pPr>
      <w:r>
        <w:rPr>
          <w:sz w:val="22"/>
          <w:szCs w:val="22"/>
        </w:rPr>
        <w:t xml:space="preserve">The companies attracting the largest rounds share two characteristics: they focus on AI, and they are building proprietary data assets that incumbents cannot replicate. OpenEvidence raised $925 million at Series A. Abridge raised $550 million across two rounds in 2025. Lila Sciences raised $550 million in 2025 alone for AI-driven drug discovery. Truveta launched with $320 million to build the world’s largest diverse clinical database.</w:t>
      </w:r>
    </w:p>
    <w:p>
      <w:pPr>
        <w:spacing w:after="130"/>
      </w:pPr>
      <w:r>
        <w:rPr>
          <w:sz w:val="22"/>
          <w:szCs w:val="22"/>
        </w:rPr>
        <w:t xml:space="preserve">CIN is the only company building a proprietary clinical data infrastructure for the 6.5 billion people these platforms were not built for — with an owned patient navigation platform generating a second dataset that none of them have — anchored by a founding team whose institutional relationships are the result of 25 years of work, not 25 months of fundraising.</w:t>
      </w:r>
    </w:p>
    <w:p>
      <w:pPr>
        <w:shd w:fill="1B2B3A" w:val="clear"/>
        <w:spacing w:after="200" w:before="200"/>
        <w:ind w:left="180" w:right="180"/>
      </w:pPr>
      <w:r>
        <w:rPr>
          <w:b/>
          <w:bCs/>
          <w:color w:val="FFFFFF"/>
          <w:sz w:val="23"/>
          <w:szCs w:val="23"/>
        </w:rPr>
        <w:t xml:space="preserve">The seed round will be priced against a market paying $24 million average for AI health Series A rounds. CIN’s seed will be priced against demonstrated data — signed MOUs, IRB approval, enrolled cohorts, and 90 days of Casanova outcomes. That is a meaningfully different conversation.</w:t>
      </w:r>
    </w:p>
    <w:p>
      <w:r>
        <w:br w:type="page"/>
      </w:r>
    </w:p>
    <w:p>
      <w:pPr>
        <w:pStyle w:val="Heading1"/>
        <w:pBdr>
          <w:bottom w:val="single" w:color="1B2B3A" w:sz="8" w:space="4"/>
        </w:pBdr>
        <w:spacing w:after="180" w:before="360"/>
      </w:pPr>
      <w:r>
        <w:rPr>
          <w:b/>
          <w:bCs/>
          <w:color w:val="1B2B3A"/>
        </w:rPr>
        <w:t xml:space="preserve">Global Expansion</w:t>
      </w:r>
    </w:p>
    <w:p>
      <w:pPr>
        <w:spacing w:after="130"/>
      </w:pPr>
      <w:r>
        <w:rPr>
          <w:sz w:val="22"/>
          <w:szCs w:val="22"/>
        </w:rPr>
        <w:t xml:space="preserve">Beginning with university hospital relationships in Nepal (CIN Core) and partner institutions in Thailand, Vietnam, and Malaysia (Casanova), the platform expands across South Asia, Southeast Asia, the Middle East, Sub-Saharan Africa, and Latin America — deploying the same IRB-governed data infrastructure framework with local institutional partners in each geography.</w:t>
      </w:r>
    </w:p>
    <w:p>
      <w:pPr>
        <w:spacing w:after="130"/>
      </w:pPr>
      <w:r>
        <w:rPr>
          <w:sz w:val="22"/>
          <w:szCs w:val="22"/>
        </w:rPr>
        <w:t xml:space="preserve">As Casanova’s patient navigation business expands to Vietnam, Malaysia, Indonesia, and the Philippines — markets where it is building institutional referral relationships with hospitals and wellness centers — each new country becomes a new Casanova data node and a new CIN licensing market simultaneously.</w:t>
      </w:r>
    </w:p>
    <w:p>
      <w:pPr>
        <w:shd w:fill="1B2B3A" w:val="clear"/>
        <w:spacing w:after="200" w:before="200"/>
        <w:ind w:left="180" w:right="180"/>
      </w:pPr>
      <w:r>
        <w:rPr>
          <w:b/>
          <w:bCs/>
          <w:color w:val="FFFFFF"/>
          <w:sz w:val="23"/>
          <w:szCs w:val="23"/>
        </w:rPr>
        <w:t xml:space="preserve">One IRB framework. One data infrastructure. One licensing platform. Two patient populations. Endlessly scalable.</w:t>
      </w:r>
    </w:p>
    <w:p>
      <w:r>
        <w:br w:type="page"/>
      </w:r>
    </w:p>
    <w:p>
      <w:pPr>
        <w:pStyle w:val="Heading1"/>
        <w:pBdr>
          <w:bottom w:val="single" w:color="1B2B3A" w:sz="8" w:space="4"/>
        </w:pBdr>
        <w:spacing w:after="180" w:before="360"/>
      </w:pPr>
      <w:r>
        <w:rPr>
          <w:b/>
          <w:bCs/>
          <w:color w:val="1B2B3A"/>
        </w:rPr>
        <w:t xml:space="preserve">The Investor Hook</w:t>
      </w:r>
    </w:p>
    <w:p>
      <w:pPr>
        <w:shd w:fill="A8332B" w:val="clear"/>
        <w:spacing w:after="200" w:before="200"/>
        <w:ind w:left="180" w:right="180"/>
      </w:pPr>
      <w:r>
        <w:rPr>
          <w:b/>
          <w:bCs/>
          <w:color w:val="FFFFFF"/>
          <w:sz w:val="23"/>
          <w:szCs w:val="23"/>
        </w:rPr>
        <w:t xml:space="preserve">Tempus AI went public at $6 billion on Western oncology data. IQVIA is worth $38 billion — built entirely on data from 12% of the world’s population. We are building the same infrastructure for the other 88% — and we are the only team on earth also capturing the one dataset the longevity industry cannot get anywhere else: what actually happens when Western patients receive advanced regenerative therapies in Asian clinical settings, tracked longitudinally, at scale.</w:t>
      </w:r>
    </w:p>
    <w:p>
      <w:pPr>
        <w:pStyle w:val="Heading2"/>
        <w:spacing w:after="100" w:before="260"/>
      </w:pPr>
      <w:r>
        <w:rPr>
          <w:color w:val="1B2B3A"/>
        </w:rPr>
        <w:t xml:space="preserve">Four sentences. Say them slowly. Then stop talking.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Tempus AI went public at $6 billion on Western oncology data. IQVIA is worth $38 billion — built entirely on data from 12% of the world’s population.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 other 88% — 6.5 billion people across South Asia, Southeast Asia, Africa, and Latin America — are functionally invisible to global health AI. Every diagnostic model, every drug discovery pipeline, every clinical risk tool deployed in these markets was not trained on them.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We are building the data infrastructure to fix that — starting in Nepal, where our founding team’s 25-year institutional relationships give us a path no competitor can replicate with capital alone — and simultaneously capturing the longevity outcomes dataset that the entire regenerative medicine industry is trying to validate but cannot get clean data 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bCs/>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pPr>
              <w:jc w:val="left"/>
            </w:pPr>
            <w:r>
              <w:rPr>
                <w:b w:val="false"/>
                <w:bCs w:val="false"/>
                <w:color w:val="2A2A28"/>
                <w:sz w:val="19"/>
                <w:szCs w:val="19"/>
              </w:rPr>
              <w:t xml:space="preserve">The market is $100 billion by 2033 in Asia-Pacific alone. We have two owned platforms generating the two datasets the industry is missing. We are the only team on earth positioned to build both.</w:t>
            </w:r>
          </w:p>
        </w:tc>
      </w:tr>
    </w:tbl>
    <w:p>
      <w:pPr>
        <w:spacing w:after="200"/>
      </w:pPr>
    </w:p>
    <w:p>
      <w:pPr>
        <w:spacing w:after="130"/>
      </w:pPr>
      <w:r>
        <w:rPr>
          <w:b/>
          <w:bCs/>
          <w:sz w:val="22"/>
          <w:szCs w:val="22"/>
        </w:rPr>
        <w:t xml:space="preserve">Then hand them the brief.</w:t>
      </w:r>
    </w:p>
    <w:p>
      <w:pPr>
        <w:spacing w:after="130"/>
      </w:pPr>
      <w:r>
        <w:rPr>
          <w:b/>
          <w:bCs/>
          <w:sz w:val="22"/>
          <w:szCs w:val="22"/>
        </w:rPr>
        <w:t xml:space="preserve">And stop talking.</w:t>
      </w:r>
    </w:p>
    <w:p>
      <w:pPr>
        <w:spacing w:after="200"/>
      </w:pPr>
    </w:p>
    <w:p>
      <w:pPr>
        <w:spacing w:after="130"/>
      </w:pPr>
      <w:r>
        <w:rPr>
          <w:i/>
          <w:iCs/>
          <w:color w:val="5C5C56"/>
          <w:sz w:val="22"/>
          <w:szCs w:val="22"/>
        </w:rPr>
        <w:t xml:space="preserve">This document is private and confidential. Not for distribution. Does not constitute a securities offering.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2026-06-25T06:02:50.901Z</dcterms:created>
  <dcterms:modified xsi:type="dcterms:W3CDTF">2026-06-25T06:02:50.912Z</dcterms:modified>
</cp:coreProperties>
</file>

<file path=docProps/custom.xml><?xml version="1.0" encoding="utf-8"?>
<Properties xmlns="http://schemas.openxmlformats.org/officeDocument/2006/custom-properties" xmlns:vt="http://schemas.openxmlformats.org/officeDocument/2006/docPropsVTypes"/>
</file>