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B3A"/>
          <w:sz w:val="52"/>
          <w:szCs w:val="52"/>
        </w:rPr>
        <w:t xml:space="preserve">CLINICAL INTELLIGENCE NETWORK</w:t>
      </w:r>
    </w:p>
    <w:p>
      <w:pPr>
        <w:spacing w:after="60"/>
      </w:pPr>
      <w:r>
        <w:rPr>
          <w:b/>
          <w:bCs/>
          <w:color w:val="5C5C56"/>
          <w:sz w:val="30"/>
          <w:szCs w:val="30"/>
        </w:rPr>
        <w:t xml:space="preserve">Grant Strategy &amp; Application Handbook</w:t>
      </w:r>
    </w:p>
    <w:p>
      <w:pPr>
        <w:spacing w:after="400"/>
      </w:pPr>
      <w:r>
        <w:rPr>
          <w:i/>
          <w:iCs/>
          <w:color w:val="5C5C56"/>
          <w:sz w:val="22"/>
          <w:szCs w:val="22"/>
        </w:rPr>
        <w:t xml:space="preserve">CIN Core (Nepal) × Casanova Medicals (Southeast Asia) × Shared AI Infrastructure</w:t>
      </w:r>
    </w:p>
    <w:p>
      <w:pPr>
        <w:pStyle w:val="Heading1"/>
        <w:pBdr>
          <w:bottom w:val="single" w:color="1B2B3A" w:sz="8" w:space="4"/>
        </w:pBdr>
        <w:spacing w:after="180" w:before="360"/>
      </w:pPr>
      <w:r>
        <w:rPr>
          <w:b/>
          <w:bCs/>
          <w:color w:val="1B2B3A"/>
        </w:rPr>
        <w:t xml:space="preserve">01 — The Team: Why This Application Wins</w:t>
      </w:r>
    </w:p>
    <w:p>
      <w:pPr>
        <w:spacing w:after="130"/>
      </w:pPr>
      <w:r>
        <w:rPr>
          <w:sz w:val="22"/>
          <w:szCs w:val="22"/>
        </w:rPr>
        <w:t xml:space="preserve">Most global health research teams spend 12-18 months building the institutional relationships that generate credible letters of support. This team already has them — at the level of government ministers, hospital directors, and ambassadors — not because of the grant, but because of 25 years of sustained presence inside Nepal’s health system.</w:t>
      </w:r>
    </w:p>
    <w:p>
      <w:pPr>
        <w:spacing w:after="130"/>
      </w:pPr>
      <w:r>
        <w:rPr>
          <w:sz w:val="22"/>
          <w:szCs w:val="22"/>
        </w:rPr>
        <w:t xml:space="preserve">For a grant reviewer, this is the difference between an application that describes a vision and an application that describes an infrastructure that already exists and is requesting activation funding. Every grant below should be written from the second position.</w:t>
      </w:r>
    </w:p>
    <w:p>
      <w:pPr>
        <w:pStyle w:val="Heading2"/>
        <w:spacing w:after="100" w:before="260"/>
      </w:pPr>
      <w:r>
        <w:rPr>
          <w:color w:val="1B2B3A"/>
        </w:rPr>
        <w:t xml:space="preserve">Full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Role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Person</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Why they matter for grants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Principal Investigator — CIN Core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Janardan Subedi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NIH-funded track record. 93 peer-reviewed publications. 25-year MoH consultant. Distinguished Professor, Tribhuvan University. Director, Miami Center for Nepal Studies. The profile NIH Fogarty and NSF-NIH SCH reviewers recognize immediately.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In-Country Co-PI — Nepal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 be named from Prof. Subedi’s network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Tribhuvan University Teaching Hospital or BPKIHS. Required for Fogarty eligibility. Local IRB anchor. Clinical operations lead. Prof. Subedi can name this person in one phone call.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US Clinical Advisor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Dr. Damodar Poudel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US-based Nepali physician. Bridges NIH reviewer credibility, Nepali diaspora network, and in-country institutional familiarity simultaneously. Signals genuine cross-community partnership to reviewers.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South Asia Expansion Advisor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Dr. Suvro Banerjee MD FACC FESC FSCAI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Senior Consultant Interventional Cardiologist, Apollo Hospitals. Active PI on international clinical trials. Steering Committee, national cardiology guidelines. India and Southeast Asia expansion anchor for Chapter 2 grants.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Technical Lead — AI &amp; Platform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Full-stack AI developer. Builds the data ingestion pipeline, de-identification infrastructure, longitudinal dataset architecture, and licensing platform. Active experience building production clinical data systems.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Medical Director — Casanova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Ashik’s brother (physician)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Physician of record for Casanova Medicals. Reviews all patient eligibility, oversees CPP clinical check-ins, provides IRB-eligible clinical oversight for the longevity outcomes dataset. Named medical director closes the clinical credibility loop for Casanova as a CIN data node.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Institutional Letters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Subedi’s network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Ministry of Health Nepal. Tribhuvan University leadership. University hospital directors. Nepal ambassador if required. These letters — which most applicants cannot obtain — are available through existing relationships, not grant-period relationship-building.</w:t>
            </w:r>
          </w:p>
        </w:tc>
      </w:tr>
    </w:tbl>
    <w:p>
      <w:pPr>
        <w:shd w:fill="1B2B3A" w:val="clear"/>
        <w:spacing w:after="200" w:before="200"/>
        <w:ind w:left="180" w:right="180"/>
      </w:pPr>
      <w:r>
        <w:rPr>
          <w:b/>
          <w:bCs/>
          <w:color w:val="FFFFFF"/>
          <w:sz w:val="23"/>
          <w:szCs w:val="23"/>
        </w:rPr>
        <w:t xml:space="preserve">This is not a team assembled for a grant. This is a team assembled for a mission, applying for grants to fund what they are already positioned to build.</w:t>
      </w:r>
    </w:p>
    <w:p>
      <w:r>
        <w:br w:type="page"/>
      </w:r>
    </w:p>
    <w:p>
      <w:pPr>
        <w:pStyle w:val="Heading1"/>
        <w:pBdr>
          <w:bottom w:val="single" w:color="1B2B3A" w:sz="8" w:space="4"/>
        </w:pBdr>
        <w:spacing w:after="180" w:before="360"/>
      </w:pPr>
      <w:r>
        <w:rPr>
          <w:b/>
          <w:bCs/>
          <w:color w:val="1B2B3A"/>
        </w:rPr>
        <w:t xml:space="preserve">02 — Grant Priority Matrix</w:t>
      </w:r>
    </w:p>
    <w:p>
      <w:pPr>
        <w:spacing w:after="130"/>
      </w:pPr>
      <w:r>
        <w:rPr>
          <w:sz w:val="22"/>
          <w:szCs w:val="22"/>
        </w:rPr>
        <w:t xml:space="preserve">Prioritized by fit, funding size, timeline, and the specific advantage this team has over other applicants. Tier 1 grants should be submitted first and simultaneously where possible. Ashik prepares applications; Prof. Subedi signs and provides institutional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600"/>
        <w:gridCol w:w="21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Tier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Grant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Amount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Deadline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Our specific advantage</w:t>
            </w:r>
          </w:p>
        </w:tc>
      </w:tr>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2A2A28"/>
                <w:sz w:val="19"/>
                <w:szCs w:val="19"/>
              </w:rPr>
              <w:t xml:space="preserve">TIER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NIH Fogarty — D43 Research Training (Global Health)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$500K–2M / 5yr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Multiple cycles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Subedi’s 25yr MoH relationship + named Nepali Co-PI = exactly what Fogarty funds</w:t>
            </w:r>
          </w:p>
        </w:tc>
      </w:tr>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2A2A28"/>
                <w:sz w:val="19"/>
                <w:szCs w:val="19"/>
              </w:rPr>
              <w:t xml:space="preserve">TIER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NSF-NIH Smart Health &amp; Biomedical Research (SCH)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$1.2M / 4yr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Oct 3 annually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 + clinical team pairing is the explicit target. Nepal dataset is the ‘high-risk, high-reward’ framing.</w:t>
            </w:r>
          </w:p>
        </w:tc>
      </w:tr>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2A2A28"/>
                <w:sz w:val="19"/>
                <w:szCs w:val="19"/>
              </w:rPr>
              <w:t xml:space="preserve">TIER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NIH R21/R33 — Digital Healthcare Solutions (AHRQ)</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$275K + $1M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Multiple cycles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Two-phase structure matches our pre-seed to seed progression exactly</w:t>
            </w:r>
          </w:p>
        </w:tc>
      </w:tr>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2A2A28"/>
                <w:sz w:val="19"/>
                <w:szCs w:val="19"/>
              </w:rPr>
              <w:t xml:space="preserve">TIER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NIH Bridge2AI — Stage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TBD (Stage 2 details pending)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Watch commonfund.nih.gov</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Built for exactly our architecture: dataset creation to deployable AI health tools</w:t>
            </w:r>
          </w:p>
        </w:tc>
      </w:tr>
      <w:tr>
        <w:tc>
          <w:tcPr>
            <w:tcBorders>
              <w:top w:val="single" w:color="D8D2C4" w:sz="1"/>
              <w:left w:val="single" w:color="D8D2C4" w:sz="1"/>
              <w:bottom w:val="single" w:color="D8D2C4" w:sz="1"/>
              <w:right w:val="single" w:color="D8D2C4" w:sz="1"/>
            </w:tcBorders>
            <w:shd w:fill="5E7E60" w:val="clear"/>
            <w:tcMar>
              <w:top w:type="dxa" w:w="90"/>
              <w:left w:type="dxa" w:w="130"/>
              <w:bottom w:type="dxa" w:w="90"/>
              <w:right w:type="dxa" w:w="130"/>
            </w:tcMar>
          </w:tcPr>
          <w:p>
            <w:r>
              <w:rPr>
                <w:b/>
                <w:bCs/>
                <w:color w:val="2A2A28"/>
                <w:sz w:val="19"/>
                <w:szCs w:val="19"/>
              </w:rPr>
              <w:t xml:space="preserve">TIER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Wellcome Trust — Discovery Research (Infectious Disease / NCD)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£100K–£1M+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Open rolling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Nepal infectious disease + NCD burden + AI infrastructure = strong Wellcome fit</w:t>
            </w:r>
          </w:p>
        </w:tc>
      </w:tr>
      <w:tr>
        <w:tc>
          <w:tcPr>
            <w:tcBorders>
              <w:top w:val="single" w:color="D8D2C4" w:sz="1"/>
              <w:left w:val="single" w:color="D8D2C4" w:sz="1"/>
              <w:bottom w:val="single" w:color="D8D2C4" w:sz="1"/>
              <w:right w:val="single" w:color="D8D2C4" w:sz="1"/>
            </w:tcBorders>
            <w:shd w:fill="5E7E60" w:val="clear"/>
            <w:tcMar>
              <w:top w:type="dxa" w:w="90"/>
              <w:left w:type="dxa" w:w="130"/>
              <w:bottom w:type="dxa" w:w="90"/>
              <w:right w:type="dxa" w:w="130"/>
            </w:tcMar>
          </w:tcPr>
          <w:p>
            <w:r>
              <w:rPr>
                <w:b/>
                <w:bCs/>
                <w:color w:val="2A2A28"/>
                <w:sz w:val="19"/>
                <w:szCs w:val="19"/>
              </w:rPr>
              <w:t xml:space="preserve">TIER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Gates Foundation — Grand Challenges (Global Health AI)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$100K Phase 1 + $1M+ Phase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Multiple rounds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MoH letter + Nepal maternal/diabetes burden + AI platform = Gates priority alignment</w:t>
            </w:r>
          </w:p>
        </w:tc>
      </w:tr>
      <w:tr>
        <w:tc>
          <w:tcPr>
            <w:tcBorders>
              <w:top w:val="single" w:color="D8D2C4" w:sz="1"/>
              <w:left w:val="single" w:color="D8D2C4" w:sz="1"/>
              <w:bottom w:val="single" w:color="D8D2C4" w:sz="1"/>
              <w:right w:val="single" w:color="D8D2C4" w:sz="1"/>
            </w:tcBorders>
            <w:shd w:fill="5E7E60" w:val="clear"/>
            <w:tcMar>
              <w:top w:type="dxa" w:w="90"/>
              <w:left w:type="dxa" w:w="130"/>
              <w:bottom w:type="dxa" w:w="90"/>
              <w:right w:type="dxa" w:w="130"/>
            </w:tcMar>
          </w:tcPr>
          <w:p>
            <w:r>
              <w:rPr>
                <w:b/>
                <w:bCs/>
                <w:color w:val="2A2A28"/>
                <w:sz w:val="19"/>
                <w:szCs w:val="19"/>
              </w:rPr>
              <w:t xml:space="preserve">TIER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WHO-TDR — Research Capacity Strengthening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$50K–$300K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Annual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Government-level Nepal health ministry endorsement is near-unique among applicants</w:t>
            </w:r>
          </w:p>
        </w:tc>
      </w:tr>
      <w:tr>
        <w:tc>
          <w:tcPr>
            <w:tcBorders>
              <w:top w:val="single" w:color="D8D2C4" w:sz="1"/>
              <w:left w:val="single" w:color="D8D2C4" w:sz="1"/>
              <w:bottom w:val="single" w:color="D8D2C4" w:sz="1"/>
              <w:right w:val="single" w:color="D8D2C4" w:sz="1"/>
            </w:tcBorders>
            <w:shd w:fill="5E7E60" w:val="clear"/>
            <w:tcMar>
              <w:top w:type="dxa" w:w="90"/>
              <w:left w:type="dxa" w:w="130"/>
              <w:bottom w:type="dxa" w:w="90"/>
              <w:right w:type="dxa" w:w="130"/>
            </w:tcMar>
          </w:tcPr>
          <w:p>
            <w:r>
              <w:rPr>
                <w:b/>
                <w:bCs/>
                <w:color w:val="2A2A28"/>
                <w:sz w:val="19"/>
                <w:szCs w:val="19"/>
              </w:rPr>
              <w:t xml:space="preserve">TIER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Google.org Impact Challenge — AI for Science (Next Cycle)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$500K–$3M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~Q1 2027</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AI-native, global health, open dataset framing. Current cycle closed May 2026 — prepare now for next.</w:t>
            </w:r>
          </w:p>
        </w:tc>
      </w:tr>
      <w:tr>
        <w:tc>
          <w:tcPr>
            <w:tcBorders>
              <w:top w:val="single" w:color="D8D2C4" w:sz="1"/>
              <w:left w:val="single" w:color="D8D2C4" w:sz="1"/>
              <w:bottom w:val="single" w:color="D8D2C4" w:sz="1"/>
              <w:right w:val="single" w:color="D8D2C4" w:sz="1"/>
            </w:tcBorders>
            <w:shd w:fill="B5651D" w:val="clear"/>
            <w:tcMar>
              <w:top w:type="dxa" w:w="90"/>
              <w:left w:type="dxa" w:w="130"/>
              <w:bottom w:type="dxa" w:w="90"/>
              <w:right w:type="dxa" w:w="130"/>
            </w:tcMar>
          </w:tcPr>
          <w:p>
            <w:r>
              <w:rPr>
                <w:b/>
                <w:bCs/>
                <w:color w:val="2A2A28"/>
                <w:sz w:val="19"/>
                <w:szCs w:val="19"/>
              </w:rPr>
              <w:t xml:space="preserve">TIER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NIH R01 — Disease-Specific (NCI Oncology, NHLBI Cardiovascular, NIDDK Diabetes)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$250K–$500K/yr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 cycles/year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Nepal disease cohort data — target specific IC after first dataset is live</w:t>
            </w:r>
          </w:p>
        </w:tc>
      </w:tr>
      <w:tr>
        <w:tc>
          <w:tcPr>
            <w:tcBorders>
              <w:top w:val="single" w:color="D8D2C4" w:sz="1"/>
              <w:left w:val="single" w:color="D8D2C4" w:sz="1"/>
              <w:bottom w:val="single" w:color="D8D2C4" w:sz="1"/>
              <w:right w:val="single" w:color="D8D2C4" w:sz="1"/>
            </w:tcBorders>
            <w:shd w:fill="B5651D" w:val="clear"/>
            <w:tcMar>
              <w:top w:type="dxa" w:w="90"/>
              <w:left w:type="dxa" w:w="130"/>
              <w:bottom w:type="dxa" w:w="90"/>
              <w:right w:type="dxa" w:w="130"/>
            </w:tcMar>
          </w:tcPr>
          <w:p>
            <w:r>
              <w:rPr>
                <w:b/>
                <w:bCs/>
                <w:color w:val="2A2A28"/>
                <w:sz w:val="19"/>
                <w:szCs w:val="19"/>
              </w:rPr>
              <w:t xml:space="preserve">TIER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USAID Development Innovation Ventures (DIV)</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$200K–$2M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Rolling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Health AI + emerging market + scalable model = DIV fit</w:t>
            </w:r>
          </w:p>
        </w:tc>
      </w:tr>
      <w:tr>
        <w:tc>
          <w:tcPr>
            <w:tcBorders>
              <w:top w:val="single" w:color="D8D2C4" w:sz="1"/>
              <w:left w:val="single" w:color="D8D2C4" w:sz="1"/>
              <w:bottom w:val="single" w:color="D8D2C4" w:sz="1"/>
              <w:right w:val="single" w:color="D8D2C4" w:sz="1"/>
            </w:tcBorders>
            <w:shd w:fill="B5651D" w:val="clear"/>
            <w:tcMar>
              <w:top w:type="dxa" w:w="90"/>
              <w:left w:type="dxa" w:w="130"/>
              <w:bottom w:type="dxa" w:w="90"/>
              <w:right w:type="dxa" w:w="130"/>
            </w:tcMar>
          </w:tcPr>
          <w:p>
            <w:r>
              <w:rPr>
                <w:b/>
                <w:bCs/>
                <w:color w:val="2A2A28"/>
                <w:sz w:val="19"/>
                <w:szCs w:val="19"/>
              </w:rPr>
              <w:t xml:space="preserve">TIER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Asian Development Bank — Health Innovation Grants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Varies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Rolling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Southeast Asia expansion through Casanova + CIN — ADB priority geography</w:t>
            </w:r>
          </w:p>
        </w:tc>
      </w:tr>
      <w:tr>
        <w:tc>
          <w:tcPr>
            <w:tcBorders>
              <w:top w:val="single" w:color="D8D2C4" w:sz="1"/>
              <w:left w:val="single" w:color="D8D2C4" w:sz="1"/>
              <w:bottom w:val="single" w:color="D8D2C4" w:sz="1"/>
              <w:right w:val="single" w:color="D8D2C4" w:sz="1"/>
            </w:tcBorders>
            <w:shd w:fill="B5651D" w:val="clear"/>
            <w:tcMar>
              <w:top w:type="dxa" w:w="90"/>
              <w:left w:type="dxa" w:w="130"/>
              <w:bottom w:type="dxa" w:w="90"/>
              <w:right w:type="dxa" w:w="130"/>
            </w:tcMar>
          </w:tcPr>
          <w:p>
            <w:r>
              <w:rPr>
                <w:b/>
                <w:bCs/>
                <w:color w:val="2A2A28"/>
                <w:sz w:val="19"/>
                <w:szCs w:val="19"/>
              </w:rPr>
              <w:t xml:space="preserve">TIER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Rockefeller Foundation — Digital Health Equity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$100K–$500K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Invited/rolling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Global South health data equity is the Rockefeller thesis precisely</w:t>
            </w:r>
          </w:p>
        </w:tc>
      </w:tr>
    </w:tbl>
    <w:p>
      <w:r>
        <w:br w:type="page"/>
      </w:r>
    </w:p>
    <w:p>
      <w:pPr>
        <w:pStyle w:val="Heading1"/>
        <w:pBdr>
          <w:bottom w:val="single" w:color="1B2B3A" w:sz="8" w:space="4"/>
        </w:pBdr>
        <w:spacing w:after="180" w:before="360"/>
      </w:pPr>
      <w:r>
        <w:rPr>
          <w:b/>
          <w:bCs/>
          <w:color w:val="1B2B3A"/>
        </w:rPr>
        <w:t xml:space="preserve">03 — Tier 1 Deep Dives</w:t>
      </w:r>
    </w:p>
    <w:p>
      <w:pPr>
        <w:pStyle w:val="Heading2"/>
        <w:spacing w:after="100" w:before="260"/>
      </w:pPr>
      <w:r>
        <w:rPr>
          <w:color w:val="1B2B3A"/>
        </w:rPr>
        <w:t xml:space="preserve">Grant 1: NIH Fogarty D43 — Research Training in Low and Middle Income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What it funds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Purpose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Builds research capacity in LMICs through training programs at US-LMIC institutional partnerships. Funds US PI + in-country Co-PI + trainees + infrastructure.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Amount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Typically $500K–2M over 5 years. Renewable.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Eligibility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US institution (Miami University of Ohio via Prof. Subedi) + named LMIC partner institution (Tribhuvan University Teaching Hospital or BPKIHS). Both required.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Why we win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is exactly the PI Fogarty funds — NIH track record, 25-year in-country relationship, Distinguished Professor affiliation at Tribhuvan, Miami Center for Nepal Studies as US institutional home. The in-country Co-PI that other applicants spend 12 months finding is one phone call away.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the application frames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Building AI-powered clinical research capacity in Nepal — training local physicians and data scientists to generate, structure, and analyze IRB-governed clinical datasets across diabetes, maternal health, oncology, and cardiovascular disease cohorts.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Letters needed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Tribhuvan University institutional letter (Prof. Subedi can obtain). Nepal Ministry of Health endorsement (available through existing relationships). In-country Co-PI biosketches.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Ashik’s role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Technical infrastructure section of the application. Data platform architecture, AI pipeline, de-identification protocol, IRB data management plan.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Timeline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Submit to next available Fogarty due date. Multiple cycles per year. Prep time: 8–12 weeks for full application.</w:t>
            </w:r>
          </w:p>
        </w:tc>
      </w:tr>
    </w:tbl>
    <w:p>
      <w:pPr>
        <w:spacing w:after="200"/>
      </w:pPr>
    </w:p>
    <w:p>
      <w:pPr>
        <w:pStyle w:val="Heading2"/>
        <w:spacing w:after="100" w:before="260"/>
      </w:pPr>
      <w:r>
        <w:rPr>
          <w:color w:val="1B2B3A"/>
        </w:rPr>
        <w:t xml:space="preserve">Grant 2: NSF-NIH Smart Health &amp; Biomedical Research (SCH)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What it funds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Purpose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High-risk, high-reward interdisciplinary research pairing computer scientists / AI researchers with clinicians and public health researchers to address biomedical and public health challenges.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Amount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Up to $1.2M per project over 4 years ($300K annually). 10–16 awards per cycle. ~$15–20M total per year.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Eligibility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US-based team. Interdisciplinary team explicitly required — computer science / AI + clinical / public health. Both must be named co-PIs or senior personnel.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Why we win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explicit target of this grant is the team pairing Ashik (AI/data infrastructure) with Prof. Subedi (epidemiology/public health) and Ashik’s brother (clinical). Nepal as the research site is ‘high-risk, high-reward’ by definition — 6.5B people, zero existing structured dataset, direct Ministry access. This is not a stretch for the grant’s framing — it is the exact framing.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the application frames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 infrastructure for structuring and analyzing large-scale clinical data from underrepresented populations in Nepal — generating the first IRB-governed longitudinal dataset across diabetes, maternal health, oncology, and cardiovascular cohorts, deployable as training data for global health AI and as a drug discovery resource for underserved populations.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Key framing for reviewers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interdisciplinary team is not assembled for the grant — it is an operating team building a platform. The grant funds acceleration of what is already in motion.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Ashik’s role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Lead author on the computer science and data infrastructure sections. AI pipeline architecture, de-identification, dataset structuring, platform build. This is his technical spec translated into grant language.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Deadline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October 3 annually. Next cycle: October 3, 2026. Begin preparation now.</w:t>
            </w:r>
          </w:p>
        </w:tc>
      </w:tr>
    </w:tbl>
    <w:p>
      <w:pPr>
        <w:spacing w:after="200"/>
      </w:pPr>
    </w:p>
    <w:p>
      <w:pPr>
        <w:pStyle w:val="Heading2"/>
        <w:spacing w:after="100" w:before="260"/>
      </w:pPr>
      <w:r>
        <w:rPr>
          <w:color w:val="1B2B3A"/>
        </w:rPr>
        <w:t xml:space="preserve">Grant 3: NIH R21/R33 — Digital Healthcare Solutions (AHRQ)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What it funds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Purpose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R21 funds early-stage exploratory research (up to $275K over 2 years). R33 funds translational development (up to $1M over 3 years). Designed to bridge innovation and clinical adoption.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Amount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R21: up to $275K / 2 years. R33: up to $1M / 3 years. Can apply for both sequentially.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Why we win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two-phase structure maps exactly onto our timeline: R21 funds Nepal MOU formalization + IRB submission + founding cohort enrollment + Casanova CPP build (pre-seed phase). R33 funds dataset scaling, AI model development, and first licensing conversations (seed phase). We can tell a clean milestone story across both phases.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the application frames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R21: Feasibility study for AI-powered clinical data infrastructure in Nepal — IRB framework, data ingestion pipeline, founding cohort of 50–100 patients across priority disease categories. R33: Scale and validate the infrastructure across 500+ patients, build AI diagnostic and research tools on the dataset, demonstrate licensing pathway to pharma and health AI buyers.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Letters needed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Nepal Ministry of Health support letter. Tribhuvan University institutional letter. Named in-country Co-PI. Ashik’s technical architecture documentation.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Ashik’s role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Technical sections across both phases. Platform architecture for R21, AI model development and licensing infrastructure for R33.</w:t>
            </w:r>
          </w:p>
        </w:tc>
      </w:tr>
    </w:tbl>
    <w:p>
      <w:pPr>
        <w:spacing w:after="200"/>
      </w:pPr>
    </w:p>
    <w:p>
      <w:pPr>
        <w:pStyle w:val="Heading2"/>
        <w:spacing w:after="100" w:before="260"/>
      </w:pPr>
      <w:r>
        <w:rPr>
          <w:color w:val="1B2B3A"/>
        </w:rPr>
        <w:t xml:space="preserve">Grant 4: NIH Bridge2AI —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What it funds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Purpose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Bridge2AI moved into Stage 2 in January 2026, shifting focus from dataset creation to delivering datasets as trusted, deployable AI health tools for specific health challenges.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Amount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Stage 2 funding details not yet published. Stage 1 awards were in the $5–20M range. Watch commonfund.nih.gov/bridge2ai/funding.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Why we win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Bridge2AI Stage 2 explicitly targets institutions that built data infrastructure under Stage 1 — but it also represents an opportunity for teams with novel dataset architectures (Global South clinical data + Western longevity outcomes) that Stage 1 did not produce. Our two-node architecture is exactly the ‘trusted, deployable AI health tool’ framing Stage 2 is looking for.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the application frames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CIN as a deployable AI health data infrastructure for the populations Stage 1 didn’t reach — 6.5B people across South and Southeast Asia — with a built-in patient generation platform (Casanova) producing the longevity outcomes dataset that no Stage 1 project generated.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Action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Monitor commonfund.nih.gov/bridge2ai/funding closely. Prepare a concept paper now so the team is ready to submit when Stage 2 FOA is published.</w:t>
            </w:r>
          </w:p>
        </w:tc>
      </w:tr>
    </w:tbl>
    <w:p>
      <w:r>
        <w:br w:type="page"/>
      </w:r>
    </w:p>
    <w:p>
      <w:pPr>
        <w:pStyle w:val="Heading1"/>
        <w:pBdr>
          <w:bottom w:val="single" w:color="1B2B3A" w:sz="8" w:space="4"/>
        </w:pBdr>
        <w:spacing w:after="180" w:before="360"/>
      </w:pPr>
      <w:r>
        <w:rPr>
          <w:b/>
          <w:bCs/>
          <w:color w:val="1B2B3A"/>
        </w:rPr>
        <w:t xml:space="preserve">04 — Tier 2 Deep Dives</w:t>
      </w:r>
    </w:p>
    <w:p>
      <w:pPr>
        <w:pStyle w:val="Heading2"/>
        <w:spacing w:after="100" w:before="260"/>
      </w:pPr>
      <w:r>
        <w:rPr>
          <w:color w:val="1B2B3A"/>
        </w:rPr>
        <w:t xml:space="preserve">Wellcome Trust — Discovery Research</w:t>
      </w:r>
    </w:p>
    <w:p>
      <w:pPr>
        <w:spacing w:after="130"/>
      </w:pPr>
      <w:r>
        <w:rPr>
          <w:sz w:val="22"/>
          <w:szCs w:val="22"/>
        </w:rPr>
        <w:t xml:space="preserve">Wellcome funds discovery research in infectious disease, global health, and mental health. Nepal’s infectious disease burden (antimicrobial resistance, respiratory, enteric disease) and non-communicable disease burden (diabetes, cardiovascular) are both Wellcome priority areas. The AI infrastructure framing (building the data layer that makes population-scale discovery possible) aligns with Wellcome’s increasing investment in data science for global health. Rolling applications. Target: £250K–£1M for the platform build with a specific Nepal disease cohort as the anchor.</w:t>
      </w:r>
    </w:p>
    <w:p>
      <w:pPr>
        <w:pStyle w:val="Heading2"/>
        <w:spacing w:after="100" w:before="260"/>
      </w:pPr>
      <w:r>
        <w:rPr>
          <w:color w:val="1B2B3A"/>
        </w:rPr>
        <w:t xml:space="preserve">Gates Foundation — Grand Challenges</w:t>
      </w:r>
    </w:p>
    <w:p>
      <w:pPr>
        <w:spacing w:after="130"/>
      </w:pPr>
      <w:r>
        <w:rPr>
          <w:sz w:val="22"/>
          <w:szCs w:val="22"/>
        </w:rPr>
        <w:t xml:space="preserve">Grand Challenges funds bold ideas in global health. Phase 1 awards are $100K to prove concept. Phase 2 awards are $1M+ to scale. Nepal maternal health and diabetes are Gates priority areas. The application frames CIN as the data infrastructure that makes AI-driven maternal health and metabolic disease interventions possible in LMIC settings — the layer that doesn’t exist yet. A Nepal Ministry of Health letter is near-unique among applicants and should be on page one.</w:t>
      </w:r>
    </w:p>
    <w:p>
      <w:pPr>
        <w:pStyle w:val="Heading2"/>
        <w:spacing w:after="100" w:before="260"/>
      </w:pPr>
      <w:r>
        <w:rPr>
          <w:color w:val="1B2B3A"/>
        </w:rPr>
        <w:t xml:space="preserve">WHO-TDR — Research Capacity Strengthening</w:t>
      </w:r>
    </w:p>
    <w:p>
      <w:pPr>
        <w:spacing w:after="130"/>
      </w:pPr>
      <w:r>
        <w:rPr>
          <w:sz w:val="22"/>
          <w:szCs w:val="22"/>
        </w:rPr>
        <w:t xml:space="preserve">TDR (Special Programme for Research and Training in Tropical Diseases) funds research capacity building in LMICs. CIN’s Nepal platform — building local research infrastructure, training local data scientists and clinicians, generating internationally publishable datasets — is exactly the TDR model. Government endorsement from Nepal’s Ministry of Health is the application’s most powerful element. Awards typically $50K–$300K. Lower dollar amounts but high credibility signal and often lead to larger follow-on funding.</w:t>
      </w:r>
    </w:p>
    <w:p>
      <w:pPr>
        <w:pStyle w:val="Heading2"/>
        <w:spacing w:after="100" w:before="260"/>
      </w:pPr>
      <w:r>
        <w:rPr>
          <w:color w:val="1B2B3A"/>
        </w:rPr>
        <w:t xml:space="preserve">Google.org Impact Challenge — AI for Science (Next Cycle)</w:t>
      </w:r>
    </w:p>
    <w:p>
      <w:pPr>
        <w:spacing w:after="130"/>
      </w:pPr>
      <w:r>
        <w:rPr>
          <w:sz w:val="22"/>
          <w:szCs w:val="22"/>
        </w:rPr>
        <w:t xml:space="preserve">The 2026 cycle closed May 1, 2026. The next cycle is expected Q1 2027. Begin preparation now — Google’s scoring criteria are clear and the application can be drafted before the cycle opens. Key requirements: AI as a core component (not peripheral), open-source or open-dataset commitment, measurable scientific impact, global eligibility. CIN’s Nepal dataset, structured for open research use under IRB governance, is exactly what Google.org is funding — between $500K and $3M per organization. Ashik leads the technical application; Prof. Subedi anchors the scientific credibility.</w:t>
      </w:r>
    </w:p>
    <w:p>
      <w:r>
        <w:br w:type="page"/>
      </w:r>
    </w:p>
    <w:p>
      <w:pPr>
        <w:pStyle w:val="Heading1"/>
        <w:pBdr>
          <w:bottom w:val="single" w:color="1B2B3A" w:sz="8" w:space="4"/>
        </w:pBdr>
        <w:spacing w:after="180" w:before="360"/>
      </w:pPr>
      <w:r>
        <w:rPr>
          <w:b/>
          <w:bCs/>
          <w:color w:val="1B2B3A"/>
        </w:rPr>
        <w:t xml:space="preserve">05 — How Casanova Strengthens Every Grant</w:t>
      </w:r>
    </w:p>
    <w:p>
      <w:pPr>
        <w:spacing w:after="130"/>
      </w:pPr>
      <w:r>
        <w:rPr>
          <w:sz w:val="22"/>
          <w:szCs w:val="22"/>
        </w:rPr>
        <w:t xml:space="preserve">Most grant applications for global health clinical data infrastructure describe a plan to collect data. CIN’s applications can describe two operational data collection systems — one already architected and launching (Casanova), one in final institutional relationship stage (CIN Core Nepal). That is a meaningfully stronger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Grant type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How Casanova adds to the application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NIH Fogarty D43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demonstrates that the team is already building IRB-eligible longitudinal clinical data infrastructure — it is operational proof of concept for the Nepal platform, not theoretical.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NSF-NIH Smart Health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Casanova’s longevity outcomes dataset is a second ‘high-risk, high-reward’ dataset that no competing application has — Western patients receiving regenerative therapies in Asian clinical settings. It dramatically expands the scientific novelty claim.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NIH R21/R33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as Platform 2 means the R21 feasibility study already has a live second data node generating preliminary data — reviewers can see real patient intake architecture, not a proposal.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Gates / Wellcome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Casanova’s physician-reviewed, outcomes-tracked patient model demonstrates the team’s ability to build clinical governance around data collection — the IRB discipline that global health funders require.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Google.org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Casanova’s longitudinal outcomes data on longevity therapies represents exactly the kind of open, foundational health dataset Google.org is funding — data that no other platform is generating, structured for AI training use.</w:t>
            </w:r>
          </w:p>
        </w:tc>
      </w:tr>
    </w:tbl>
    <w:p>
      <w:r>
        <w:br w:type="page"/>
      </w:r>
    </w:p>
    <w:p>
      <w:pPr>
        <w:pStyle w:val="Heading1"/>
        <w:pBdr>
          <w:bottom w:val="single" w:color="1B2B3A" w:sz="8" w:space="4"/>
        </w:pBdr>
        <w:spacing w:after="180" w:before="360"/>
      </w:pPr>
      <w:r>
        <w:rPr>
          <w:b/>
          <w:bCs/>
          <w:color w:val="1B2B3A"/>
        </w:rPr>
        <w:t xml:space="preserve">06 — Institutional Letters Strategy</w:t>
      </w:r>
    </w:p>
    <w:p>
      <w:pPr>
        <w:spacing w:after="130"/>
      </w:pPr>
      <w:r>
        <w:rPr>
          <w:sz w:val="22"/>
          <w:szCs w:val="22"/>
        </w:rPr>
        <w:t xml:space="preserve">Prof. Subedi’s relationship network means the letters that transform grant applications from competitive to exceptional are available. These should be obtained proactively — before applications are drafted — so they can be referenced in the narrative rather than promised as forthcoming.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Letter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Source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Which grants it strengthens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Nepal Ministry of Health — Research Partnership Endorsement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Through Prof. Subedi’s 25yr MoH relationship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Tier 1 and Tier 2 grants. Near-unique among applicants at pre-seed stage.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Tribhuvan University — Institutional Partnership Letter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University leadership, through Prof. Subedi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NIH Fogarty (required). NSF-NIH SCH. All NIH mechanisms.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Nepal Ambassador — Research Significance Letter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Available through Prof. Subedi’s network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Gates Foundation, Wellcome Trust, Google.org. Signals government-level recognition of research importance.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Tribhuvan University Teaching Hospital — Data Access Agreement (in progress)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Hospital director, through Prof. Subedi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grants. Demonstrates that data access is a relationship, not a plan.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Dr. Damodar Poudel — US Clinical Advisor Letter of Commitment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Dr. Poudel directly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grants. Signals diaspora community engagement and US-Nepal bridge.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Dr. Suvro Banerjee — South Asia Expansion Letter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Dr. Banerjee directly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Grants covering South Asia expansion — Wellcome, Gates, NIH R01 disease-specific.</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Medical Director — Clinical Oversight Letter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Ashik’s brother, as Casanova physician of record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Any grant that includes Casanova as a data node. Confirms clinical governance.</w:t>
            </w:r>
          </w:p>
        </w:tc>
      </w:tr>
    </w:tbl>
    <w:p>
      <w:r>
        <w:br w:type="page"/>
      </w:r>
    </w:p>
    <w:p>
      <w:pPr>
        <w:pStyle w:val="Heading1"/>
        <w:pBdr>
          <w:bottom w:val="single" w:color="1B2B3A" w:sz="8" w:space="4"/>
        </w:pBdr>
        <w:spacing w:after="180" w:before="360"/>
      </w:pPr>
      <w:r>
        <w:rPr>
          <w:b/>
          <w:bCs/>
          <w:color w:val="1B2B3A"/>
        </w:rPr>
        <w:t xml:space="preserve">07 — Ashik’s Grant Application Responsibilities</w:t>
      </w:r>
    </w:p>
    <w:p>
      <w:pPr>
        <w:spacing w:after="130"/>
      </w:pPr>
      <w:r>
        <w:rPr>
          <w:sz w:val="22"/>
          <w:szCs w:val="22"/>
        </w:rPr>
        <w:t xml:space="preserve">Ashik leads the technical sections of every application. This is the component most grant teams struggle with — describing the AI and data infrastructure in terms that are both technically credible to computer science reviewers and accessible to clinical and public health reviewers. Ashik’s actual build experience (ClearRoute, CPP, TTTN, LuckyNet) means these sections are grounded in real implementation, not theoretical architecture.</w:t>
      </w:r>
    </w:p>
    <w:p>
      <w:pPr>
        <w:pStyle w:val="Heading2"/>
        <w:spacing w:after="100" w:before="260"/>
      </w:pPr>
      <w:r>
        <w:rPr>
          <w:color w:val="1B2B3A"/>
        </w:rPr>
        <w:t xml:space="preserve">Technical sections Ashik owns across all grants</w:t>
      </w:r>
    </w:p>
    <w:p>
      <w:pPr>
        <w:pStyle w:val="ListParagraph"/>
        <w:numPr>
          <w:ilvl w:val="0"/>
          <w:numId w:val="2"/>
        </w:numPr>
        <w:spacing w:after="70"/>
      </w:pPr>
      <w:r>
        <w:rPr>
          <w:sz w:val="22"/>
          <w:szCs w:val="22"/>
        </w:rPr>
        <w:t xml:space="preserve">Data ingestion pipeline architecture — how raw clinical records from hospital systems are captured, standardized, and ingested</w:t>
      </w:r>
    </w:p>
    <w:p>
      <w:pPr>
        <w:pStyle w:val="ListParagraph"/>
        <w:numPr>
          <w:ilvl w:val="0"/>
          <w:numId w:val="2"/>
        </w:numPr>
        <w:spacing w:after="70"/>
      </w:pPr>
      <w:r>
        <w:rPr>
          <w:sz w:val="22"/>
          <w:szCs w:val="22"/>
        </w:rPr>
        <w:t xml:space="preserve">De-identification protocol — the IRB-compliant process for removing identifiers while preserving research utility</w:t>
      </w:r>
    </w:p>
    <w:p>
      <w:pPr>
        <w:pStyle w:val="ListParagraph"/>
        <w:numPr>
          <w:ilvl w:val="0"/>
          <w:numId w:val="2"/>
        </w:numPr>
        <w:spacing w:after="70"/>
      </w:pPr>
      <w:r>
        <w:rPr>
          <w:sz w:val="22"/>
          <w:szCs w:val="22"/>
        </w:rPr>
        <w:t xml:space="preserve">Longitudinal dataset structure — schema design for patient profile, disease cohort, temporal data, outcome tracking</w:t>
      </w:r>
    </w:p>
    <w:p>
      <w:pPr>
        <w:pStyle w:val="ListParagraph"/>
        <w:numPr>
          <w:ilvl w:val="0"/>
          <w:numId w:val="2"/>
        </w:numPr>
        <w:spacing w:after="70"/>
      </w:pPr>
      <w:r>
        <w:rPr>
          <w:sz w:val="22"/>
          <w:szCs w:val="22"/>
        </w:rPr>
        <w:t xml:space="preserve">AI model architecture — what models are trained on the dataset and for what research applications</w:t>
      </w:r>
    </w:p>
    <w:p>
      <w:pPr>
        <w:pStyle w:val="ListParagraph"/>
        <w:numPr>
          <w:ilvl w:val="0"/>
          <w:numId w:val="2"/>
        </w:numPr>
        <w:spacing w:after="70"/>
      </w:pPr>
      <w:r>
        <w:rPr>
          <w:sz w:val="22"/>
          <w:szCs w:val="22"/>
        </w:rPr>
        <w:t xml:space="preserve">Licensing platform — how de-identified datasets are packaged, accessed, and licensed to pharma and AI health buyers</w:t>
      </w:r>
    </w:p>
    <w:p>
      <w:pPr>
        <w:pStyle w:val="ListParagraph"/>
        <w:numPr>
          <w:ilvl w:val="0"/>
          <w:numId w:val="2"/>
        </w:numPr>
        <w:spacing w:after="70"/>
      </w:pPr>
      <w:r>
        <w:rPr>
          <w:sz w:val="22"/>
          <w:szCs w:val="22"/>
        </w:rPr>
        <w:t xml:space="preserve">Data security and privacy infrastructure — encryption, access controls, audit trails</w:t>
      </w:r>
    </w:p>
    <w:p>
      <w:pPr>
        <w:pStyle w:val="ListParagraph"/>
        <w:numPr>
          <w:ilvl w:val="0"/>
          <w:numId w:val="2"/>
        </w:numPr>
        <w:spacing w:after="70"/>
      </w:pPr>
      <w:r>
        <w:rPr>
          <w:sz w:val="22"/>
          <w:szCs w:val="22"/>
        </w:rPr>
        <w:t xml:space="preserve">Casanova CPP technical architecture — the intake, scoring, Stripe enrollment, and outcomes collection system as described in the CPP Integration Spec</w:t>
      </w:r>
    </w:p>
    <w:p>
      <w:pPr>
        <w:pStyle w:val="Heading2"/>
        <w:spacing w:after="100" w:before="260"/>
      </w:pPr>
      <w:r>
        <w:rPr>
          <w:color w:val="1B2B3A"/>
        </w:rPr>
        <w:t xml:space="preserve">Application preparation workflow</w:t>
      </w:r>
    </w:p>
    <w:p>
      <w:pPr>
        <w:pStyle w:val="ListParagraph"/>
        <w:numPr>
          <w:ilvl w:val="0"/>
          <w:numId w:val="2"/>
        </w:numPr>
        <w:spacing w:after="70"/>
      </w:pPr>
      <w:r>
        <w:rPr>
          <w:sz w:val="22"/>
          <w:szCs w:val="22"/>
        </w:rPr>
        <w:t xml:space="preserve">Prof. Subedi drafts or reviews: specific aims, significance, background, and personnel sections</w:t>
      </w:r>
    </w:p>
    <w:p>
      <w:pPr>
        <w:pStyle w:val="ListParagraph"/>
        <w:numPr>
          <w:ilvl w:val="0"/>
          <w:numId w:val="2"/>
        </w:numPr>
        <w:spacing w:after="70"/>
      </w:pPr>
      <w:r>
        <w:rPr>
          <w:sz w:val="22"/>
          <w:szCs w:val="22"/>
        </w:rPr>
        <w:t xml:space="preserve">Ashik drafts: approach (technical), innovation (technical), data management plan, preliminary data (platform architecture screenshots, schema diagrams)</w:t>
      </w:r>
    </w:p>
    <w:p>
      <w:pPr>
        <w:pStyle w:val="ListParagraph"/>
        <w:numPr>
          <w:ilvl w:val="0"/>
          <w:numId w:val="2"/>
        </w:numPr>
        <w:spacing w:after="70"/>
      </w:pPr>
      <w:r>
        <w:rPr>
          <w:sz w:val="22"/>
          <w:szCs w:val="22"/>
        </w:rPr>
        <w:t xml:space="preserve">Ashik’s brother provides: clinical oversight section for Casanova, medical director credentials, clinical advisory board section</w:t>
      </w:r>
    </w:p>
    <w:p>
      <w:pPr>
        <w:pStyle w:val="ListParagraph"/>
        <w:numPr>
          <w:ilvl w:val="0"/>
          <w:numId w:val="2"/>
        </w:numPr>
        <w:spacing w:after="70"/>
      </w:pPr>
      <w:r>
        <w:rPr>
          <w:sz w:val="22"/>
          <w:szCs w:val="22"/>
        </w:rPr>
        <w:t xml:space="preserve">Dr. Poudel provides: biosketches, US clinical advisory section</w:t>
      </w:r>
    </w:p>
    <w:p>
      <w:pPr>
        <w:pStyle w:val="ListParagraph"/>
        <w:numPr>
          <w:ilvl w:val="0"/>
          <w:numId w:val="2"/>
        </w:numPr>
        <w:spacing w:after="70"/>
      </w:pPr>
      <w:r>
        <w:rPr>
          <w:sz w:val="22"/>
          <w:szCs w:val="22"/>
        </w:rPr>
        <w:t xml:space="preserve">Prof. Subedi coordinates: all institutional letters, budget justification, IRB submission timeline</w:t>
      </w:r>
    </w:p>
    <w:p>
      <w:r>
        <w:br w:type="page"/>
      </w:r>
    </w:p>
    <w:p>
      <w:pPr>
        <w:pStyle w:val="Heading1"/>
        <w:pBdr>
          <w:bottom w:val="single" w:color="1B2B3A" w:sz="8" w:space="4"/>
        </w:pBdr>
        <w:spacing w:after="180" w:before="360"/>
      </w:pPr>
      <w:r>
        <w:rPr>
          <w:b/>
          <w:bCs/>
          <w:color w:val="1B2B3A"/>
        </w:rPr>
        <w:t xml:space="preserve">08 — 90-Day Grant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Week</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Action</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Owner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Identify and confirm in-country Nepal Co-PI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 one phone call to existing network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Request Ministry of Health endorsement letter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 existing MoH relationship</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Request Tribhuvan University institutional letter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 university affiliation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Confirm Dr. Poudel as US Clinical Advisor, obtain commitment letter and biosketch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Sonny / Prof. Subedi</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Confirm Ashik’s brother as Casanova Medical Director formally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Sonny / Ashik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 drafts technical architecture documentation (data pipeline, de-identification, schema, AI model plan) — to be used across all applications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Begin NIH Fogarty D43 specific aims page — one page, reviewed by Prof. Subedi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 Ashik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5–6</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Complete NIH Fogarty D43 full application for next available due date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 team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5–6</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Begin NSF-NIH Smart Health (SCH) specific aims — October 3 deadline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 + Prof. Subedi</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7–8</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Begin Gates Foundation Grand Challenges Phase 1 concept note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leads, Ashik technical sections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7–8</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Begin Wellcome Trust Discovery Research letter of inquiry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Prof. Subedi leads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9–10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Complete NSF-NIH SCH full application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 team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9–10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File NIH R21 (AHRQ Digital Healthcare) for R21 phase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 leads technical, Prof. Subedi signs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11–12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Begin Google.org AI for Science pre-application (next cycle ~Q1 2027)</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 leads — AI-native framing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Review pipeline: 4 applications filed or in final review. Begin tracking reviewer feedback for iteration.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 team</w:t>
            </w:r>
          </w:p>
        </w:tc>
      </w:tr>
    </w:tbl>
    <w:p>
      <w:pPr>
        <w:shd w:fill="5E7E60" w:val="clear"/>
        <w:spacing w:after="200" w:before="200"/>
        <w:ind w:left="180" w:right="180"/>
      </w:pPr>
      <w:r>
        <w:rPr>
          <w:b/>
          <w:bCs/>
          <w:color w:val="FFFFFF"/>
          <w:sz w:val="23"/>
          <w:szCs w:val="23"/>
        </w:rPr>
        <w:t xml:space="preserve">A realistic grant outcome from this 90-day plan: $1.5–5M in non-dilutive funding across 2–3 awards, secured before or alongside the seed round. That capital validates the science for investors before they write a check.</w:t>
      </w:r>
    </w:p>
    <w:p>
      <w:r>
        <w:br w:type="page"/>
      </w:r>
    </w:p>
    <w:p>
      <w:pPr>
        <w:pStyle w:val="Heading1"/>
        <w:pBdr>
          <w:bottom w:val="single" w:color="1B2B3A" w:sz="8" w:space="4"/>
        </w:pBdr>
        <w:spacing w:after="180" w:before="360"/>
      </w:pPr>
      <w:r>
        <w:rPr>
          <w:b/>
          <w:bCs/>
          <w:color w:val="1B2B3A"/>
        </w:rPr>
        <w:t xml:space="preserve">09 — The Grant Narrative That Wins</w:t>
      </w:r>
    </w:p>
    <w:p>
      <w:pPr>
        <w:spacing w:after="130"/>
      </w:pPr>
      <w:r>
        <w:rPr>
          <w:sz w:val="22"/>
          <w:szCs w:val="22"/>
        </w:rPr>
        <w:t xml:space="preserve">Every successful grant application tells a version of the same story. Here is CIN’s version, in the voice that wins NIH, NSF, Gates, and Wellcome reviewers simultaneously.</w:t>
      </w:r>
    </w:p>
    <w:p>
      <w:pPr>
        <w:pBdr>
          <w:left w:val="single" w:color="A8332B" w:sz="14" w:space="12"/>
        </w:pBdr>
        <w:spacing w:after="160" w:before="160"/>
        <w:ind w:left="560"/>
      </w:pPr>
      <w:r>
        <w:rPr>
          <w:i/>
          <w:iCs/>
          <w:color w:val="5C5C56"/>
          <w:sz w:val="24"/>
          <w:szCs w:val="24"/>
        </w:rPr>
        <w:t xml:space="preserve">The global health AI industry was built on data from 12% of the world’s population. The diagnostic models, drug discovery pipelines, and clinical risk tools now being deployed across South Asia, Southeast Asia, Africa, and Latin America were not trained on the people they are supposed to serve. The data infrastructure to fix this does not exist — not because the populations are inaccessible, but because no team has had the institutional relationships, the technical architecture, and the clinical governance framework to build it.</w:t>
      </w:r>
    </w:p>
    <w:p>
      <w:pPr>
        <w:pBdr>
          <w:left w:val="single" w:color="A8332B" w:sz="14" w:space="12"/>
        </w:pBdr>
        <w:spacing w:after="160" w:before="160"/>
        <w:ind w:left="560"/>
      </w:pPr>
      <w:r>
        <w:rPr>
          <w:i/>
          <w:iCs/>
          <w:color w:val="5C5C56"/>
          <w:sz w:val="24"/>
          <w:szCs w:val="24"/>
        </w:rPr>
        <w:t xml:space="preserve">This team has all three. Prof. Janardan Subedi has spent 25 years building the relationships inside Nepal’s Ministry of Health and university hospital system that make IRB-governed, government-endorsed clinical data collection possible without a multi-year diplomatic groundwork period. Dr. Damodar Poudel bridges the US and Nepal clinical communities. The technical team has already built the data ingestion, de-identification, and longitudinal tracking infrastructure. The clinical governance team is operational through Casanova Medicals, already collecting IRB-eligible outcomes data from its patient cohort.</w:t>
      </w:r>
    </w:p>
    <w:p>
      <w:pPr>
        <w:pBdr>
          <w:left w:val="single" w:color="A8332B" w:sz="14" w:space="12"/>
        </w:pBdr>
        <w:spacing w:after="160" w:before="160"/>
        <w:ind w:left="560"/>
      </w:pPr>
      <w:r>
        <w:rPr>
          <w:i/>
          <w:iCs/>
          <w:color w:val="5C5C56"/>
          <w:sz w:val="24"/>
          <w:szCs w:val="24"/>
        </w:rPr>
        <w:t xml:space="preserve">We are not requesting funding to explore whether this is possible. We are requesting funding to move faster than we can move without it — to enroll the founding patient cohort in Nepal within 6 months of award, to generate the first licensable dataset within 12 months, and to demonstrate to the pharma and AI health industry that the data infrastructure for the Global South is real, credible, and available.</w:t>
      </w:r>
    </w:p>
    <w:p>
      <w:pPr>
        <w:spacing w:after="130"/>
      </w:pPr>
      <w:r>
        <w:rPr>
          <w:sz w:val="22"/>
          <w:szCs w:val="22"/>
        </w:rPr>
        <w:t xml:space="preserve">That is the story. Every section of every application is evidence for one of those three claims: the relationships are real, the infrastructure exists, and the team can execute.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2026-06-25T06:10:03.536Z</dcterms:created>
  <dcterms:modified xsi:type="dcterms:W3CDTF">2026-06-25T06:10:03.546Z</dcterms:modified>
</cp:coreProperties>
</file>

<file path=docProps/custom.xml><?xml version="1.0" encoding="utf-8"?>
<Properties xmlns="http://schemas.openxmlformats.org/officeDocument/2006/custom-properties" xmlns:vt="http://schemas.openxmlformats.org/officeDocument/2006/docPropsVTypes"/>
</file>