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B3A"/>
          <w:sz w:val="40"/>
          <w:szCs w:val="40"/>
        </w:rPr>
        <w:t xml:space="preserve">Casanova Medicals</w:t>
      </w:r>
    </w:p>
    <w:p>
      <w:pPr>
        <w:spacing w:after="240"/>
      </w:pPr>
      <w:r>
        <w:rPr>
          <w:color w:val="5C5C56"/>
          <w:sz w:val="24"/>
          <w:szCs w:val="24"/>
        </w:rPr>
        <w:t xml:space="preserve">Site critique &amp; redesign recommendations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1. Summary</w:t>
      </w:r>
    </w:p>
    <w:p>
      <w:pPr>
        <w:spacing w:after="120"/>
      </w:pPr>
      <w:r>
        <w:t xml:space="preserve">The original site (casanovamed.com) has a strong compliance foundation — disclaimers, “not guaranteed” language, and clear clinician-gate framing are all in place and reduce legal/regulatory exposure. The main gaps are conversion-related: missing trust signals, an early paywall, an overloaded product grid, and generic positioning. The redesign keeps every compliance element and adds clinician credibility, a free entry point, a simplified product structure, and an FAQ.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2.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2A28"/>
                <w:sz w:val="20"/>
                <w:szCs w:val="20"/>
              </w:rPr>
              <w:t xml:space="preserve">No named clinicians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For a medical purchase, anonymity is the single biggest trust blocker. Visitors can't verify who is reviewing their health data.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Add a 'Who reviews your intake' section with clinician names, credentials, specialties, and states licensed.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2A28"/>
                <w:sz w:val="20"/>
                <w:szCs w:val="20"/>
              </w:rPr>
              <w:t xml:space="preserve">$149 paywall before any contact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Asking a cold visitor to pay before any human interaction is high friction and matches scam-pattern heuristics for this category.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Lead with a free 2-minute eligibility check. Route paid review only after the check indicates it's the right next step.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2A28"/>
                <w:sz w:val="20"/>
                <w:szCs w:val="20"/>
              </w:rPr>
              <w:t xml:space="preserve">6 products shown at once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Too many SKUs on first scroll causes decision paralysis — visitors don't know which to choose.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Collapse into 3 primary paths (Metabolic / Recovery / Longevity), each bundling review + first month. Labs and Concierge become add-ons shown after the review.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2A28"/>
                <w:sz w:val="20"/>
                <w:szCs w:val="20"/>
              </w:rPr>
              <w:t xml:space="preserve">Generic hero copy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"Peptide care for metabolic health, recovery, and longevity" is interchangeable with Ro, Found, Henry Meds, and every other telehealth competitor.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Lead with the differentiator: clinician review before any payment for medication. Make the promise concrete and specific.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2A28"/>
                <w:sz w:val="20"/>
                <w:szCs w:val="20"/>
              </w:rPr>
              <w:t xml:space="preserve">No FAQ section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Legality, insurance, shipping, and cancellation are the top objections in this category and were buried only in footer fine print.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Add a dedicated FAQ: Is this legal? Does the free check cost anything? What if I'm not approved? Insurance? Shipping time? Cancellation?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2A28"/>
                <w:sz w:val="20"/>
                <w:szCs w:val="20"/>
              </w:rPr>
              <w:t xml:space="preserve">Dev placeholder copy visible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"This intake request stores locally in your browser for now..." is implementation detail that erodes trust if seen by a real visitor.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Remove entirely. Replace with reassurance copy (cost, time, obligation) relevant to the visitor.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2A28"/>
                <w:sz w:val="20"/>
                <w:szCs w:val="20"/>
              </w:rPr>
              <w:t xml:space="preserve">Numbered process steps without distinct framing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01/02/03/04 numbering is a generic template pattern — doesn't reinforce the clinical-gate narrative.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Reframe as a chart/requisition-style ledger (Intake → Review → Decision → Follow-up) with clinical-record visual language.</w:t>
            </w:r>
          </w:p>
        </w:tc>
      </w:tr>
    </w:tbl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3. What stayed the same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Clinician-gate framing (“intake → review → decision” narrative)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disclaimer language: “not guaranteed,” “does not diagnose or prescribe,” consent checkbox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Eligibility good-fit / safety filter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Compounded medication disclosure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pricing: $149 review, $249/mo Metabolic Care, $399/mo Care Navigation, $99 Labs add-on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4. New page 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Hero — sharper promise: clinician review before any medication purchase, free eligibility check CTA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Clinical chart strip — signature element: free check / 48hr review / licensed oversight / no guaranteed prescriptions, styled like a requisition 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Clinicians — 3 named reviewers with credentials, specialties, and states licensed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Three care paths — Metabolic, Recovery, Longevity, each with bundled pricing; Labs and Concierge as add-ons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Process — Intake → Review → Decision → Follow-up, reframed in clinical-record visual language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Eligibility — good-fit signals and safety filters retained, side-by-side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FAQ — legality, free check cost, non-approval outcome, insurance, shipping, cancellation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Intake form — free, 3-minute, no-payment framing; placeholder dev copy removed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Footer — full legal disclaimer retained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5. Design direction</w:t>
      </w:r>
    </w:p>
    <w:p>
      <w:pPr>
        <w:spacing w:after="120"/>
      </w:pPr>
      <w:r>
        <w:t xml:space="preserve">Palette shifts from generic SaaS gradients to a clinical-record aesthetic: deep navy (#1B2B3A), warm paper (#F7F4EE), sage for “approved/safe” states (#7A9B7E), and amber for risk/compliance callouts (#C2762E). Typography pairs a serif display face (Source Serif 4) for headings with a monospace utility face (IBM Plex Mono) for data points, labels, and the chart strip — reinforcing the feeling of reviewing an actual medical chart rather than a marketing page.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6. Suggested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placeholder clinician names/photos with real credentialed staff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actual state licensing list for accurate “licensed in 22 states” type claims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intake form to a HIPAA-ready backend (per original site's own roadmap note)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 test free-check-first funnel against current direct-to-$149 funnel once live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2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2026-06-14T04:27:46.830Z</dcterms:created>
  <dcterms:modified xsi:type="dcterms:W3CDTF">2026-06-14T04:27:46.830Z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