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urier New" w:cs="Courier New" w:eastAsia="Courier New" w:hAnsi="Courier New"/>
          <w:b/>
          <w:bCs/>
          <w:color w:val="6B6B6B"/>
          <w:sz w:val="16"/>
          <w:szCs w:val="16"/>
        </w:rPr>
        <w:t xml:space="preserve">WORKING DOC · FOR ASHIK / BD · PRIVATE &amp; CONFIDENTIAL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40"/>
          <w:szCs w:val="40"/>
        </w:rPr>
        <w:t xml:space="preserve">Casanova Monetization: Rate Card &amp; Outreach List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8B1A1A"/>
          <w:sz w:val="22"/>
          <w:szCs w:val="22"/>
        </w:rPr>
        <w:t xml:space="preserve">A separate, faster revenue line — deliberately kept out of the CIN Core data-licensing story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1. Why This Stays Separate From CIN Core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“Casanova monetizes attention and referrals” — a marketplace/media business, fast to revenue, no regulatory dependency.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“CIN Core licenses de-identified clinical data” — an infrastructure business, gated by IRB approval and MOUs.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2. Rate Card — Indicative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3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Structure</w:t>
            </w:r>
          </w:p>
        </w:tc>
        <w:tc>
          <w:tcPr>
            <w:tcW w:type="dxa" w:w="36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Indicative Rate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Directory / Featured Listing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Flat monthly, tiered by placement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Standard $300–600/mo · Featured $800–1,500/mo · Top-of-category $2,000–3,500/mo</w:t>
            </w:r>
          </w:p>
        </w:tc>
      </w:tr>
      <w:tr>
        <w:tc>
          <w:tcPr>
            <w:tcW w:type="dxa" w:w="2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Verified Partner Certification</w:t>
            </w:r>
          </w:p>
        </w:tc>
        <w:tc>
          <w:tcPr>
            <w:tcW w:type="dxa" w:w="3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Recurring annual fee, ties to quality-control narrative</w:t>
            </w:r>
          </w:p>
        </w:tc>
        <w:tc>
          <w:tcPr>
            <w:tcW w:type="dxa" w:w="3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$2,500–5,000/yr, includes badge, audit checklist, renewal review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Sponsored Content / Case Study Feature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One-off production + placement fee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$1,500–4,000 per feature, includes photography/video coordination via Experience Asia</w:t>
            </w:r>
          </w:p>
        </w:tc>
      </w:tr>
      <w:tr>
        <w:tc>
          <w:tcPr>
            <w:tcW w:type="dxa" w:w="2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Lead-Gen Fee per Qualified Referral</w:t>
            </w:r>
          </w:p>
        </w:tc>
        <w:tc>
          <w:tcPr>
            <w:tcW w:type="dxa" w:w="3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Per-referral, paid on confirmed consult or enrollment</w:t>
            </w:r>
          </w:p>
        </w:tc>
        <w:tc>
          <w:tcPr>
            <w:tcW w:type="dxa" w:w="3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$150–500 per qualified lead; $1,000–3,000 per enrolled patient for institutional partners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Product Sponsorship in Patient Communications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Placement inside intake/onboarding materials, not clinical content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$1,000–2,500/mo per brand slot; capped at 1–2 sponsors per communication to avoid clutter</w:t>
            </w:r>
          </w:p>
        </w:tc>
      </w:tr>
      <w:tr>
        <w:tc>
          <w:tcPr>
            <w:tcW w:type="dxa" w:w="2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CRO / Trial Sponsor Recruitment Placement</w:t>
            </w:r>
          </w:p>
        </w:tc>
        <w:tc>
          <w:tcPr>
            <w:tcW w:type="dxa" w:w="3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Sponsored cohort-recruitment placement, separate from data-licensing recruitment</w:t>
            </w:r>
          </w:p>
        </w:tc>
        <w:tc>
          <w:tcPr>
            <w:tcW w:type="dxa" w:w="3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Negotiated per study; typically $200–800 per screened candidate</w:t>
            </w:r>
          </w:p>
        </w:tc>
      </w:tr>
    </w:tbl>
    <w:p>
      <w:pPr>
        <w:spacing w:after="140" w:line="300"/>
      </w:pP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1"/>
          <w:szCs w:val="21"/>
        </w:rPr>
        <w:t xml:space="preserve">Sequencing note: directory/featured-listing fees and sponsored content can turn on almost immediately. Lead-gen and certification fees need a minimum viable partner directory in place first. Product sponsorship needs care — see compliance note below.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3. One Compliance Note Worth Flagging Now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4. Outreach List — Named Prospects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Partner Clinics &amp; Hospitals — Thailand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Prospect</w:t>
            </w:r>
          </w:p>
        </w:tc>
        <w:tc>
          <w:tcPr>
            <w:tcW w:type="dxa" w:w="5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Why they fit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Bumrungrad VitalLife Wellness Center (Bangkok)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Established longevity/wellness arm of a top-tier JCI hospital brand — strongest credibility anchor available in Bangkok</w:t>
            </w:r>
          </w:p>
        </w:tc>
      </w:tr>
      <w:tr>
        <w:tc>
          <w:tcPr>
            <w:tcW w:type="dxa" w:w="4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Healthi Life (Bangkok, Ekkamai)</w:t>
            </w:r>
          </w:p>
        </w:tc>
        <w:tc>
          <w:tcPr>
            <w:tcW w:type="dxa" w:w="5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Physician-led longevity house; stem cell, NAD+, peptide, exosome menu closely matches Casanova's protocol set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Miracle Regenerative Center (Bangkok, Sukhumvit 42)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Thai Ministry of Public Health licensed; MSC therapy, NAD+, IV nutrient programs</w:t>
            </w:r>
          </w:p>
        </w:tc>
      </w:tr>
      <w:tr>
        <w:tc>
          <w:tcPr>
            <w:tcW w:type="dxa" w:w="4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Medeze Medical Clinic (Bangkok + Ho Chi Minh City)</w:t>
            </w:r>
          </w:p>
        </w:tc>
        <w:tc>
          <w:tcPr>
            <w:tcW w:type="dxa" w:w="5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Operates in both target markets under one brand — a single relationship could cover two countries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Vega Clinic (Bangkok)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Regenerative medicine and longevity specialist roster; active in medical-tourism package channels already</w:t>
            </w:r>
          </w:p>
        </w:tc>
      </w:tr>
      <w:tr>
        <w:tc>
          <w:tcPr>
            <w:tcW w:type="dxa" w:w="4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Revival Clinic Bangkok</w:t>
            </w:r>
          </w:p>
        </w:tc>
        <w:tc>
          <w:tcPr>
            <w:tcW w:type="dxa" w:w="5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Strong existing patient-story content and international patient base — good sponsored-content fit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StemCells21 / SC21 Bio-Pharma Laboratories (Bangkok)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THAI FDA-licensed manufacturing facility gives an unusually strong regulatory story for partner marketing</w:t>
            </w:r>
          </w:p>
        </w:tc>
      </w:tr>
    </w:tbl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Partner Clinics &amp; Hospitals — Vietnam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Prospect</w:t>
            </w:r>
          </w:p>
        </w:tc>
        <w:tc>
          <w:tcPr>
            <w:tcW w:type="dxa" w:w="5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Why they fit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FV Hospital, Ho Chi Minh City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JCI-accredited international hospital with an active plastic surgery/regenerative department and multilingual patient services</w:t>
            </w:r>
          </w:p>
        </w:tc>
      </w:tr>
      <w:tr>
        <w:tc>
          <w:tcPr>
            <w:tcW w:type="dxa" w:w="4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Vinmec International Hospital Network (Hanoi &amp; HCMC)</w:t>
            </w:r>
          </w:p>
        </w:tc>
        <w:tc>
          <w:tcPr>
            <w:tcW w:type="dxa" w:w="5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Backed by a dedicated Research Institute of Stem Cells and Gene Technology — strongest scientific credibility in-country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Medeze Medical Clinic (Ho Chi Minh City)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Same group as the Bangkok location; natural first target for a two-country pilot</w:t>
            </w:r>
          </w:p>
        </w:tc>
      </w:tr>
    </w:tbl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Longevity Product Brands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Prospect</w:t>
            </w:r>
          </w:p>
        </w:tc>
        <w:tc>
          <w:tcPr>
            <w:tcW w:type="dxa" w:w="5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Why they fit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NADclinic (global network, 40+ countries)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Already runs a formal partner program for clinics, hospitality, and wellness destinations — closest thing to a plug-and-play sponsor relationship</w:t>
            </w:r>
          </w:p>
        </w:tc>
      </w:tr>
      <w:tr>
        <w:tc>
          <w:tcPr>
            <w:tcW w:type="dxa" w:w="4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Evolve Science</w:t>
            </w:r>
          </w:p>
        </w:tc>
        <w:tc>
          <w:tcPr>
            <w:tcW w:type="dxa" w:w="5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US peptide/NAD+/GLP-1 platform positioning on sourcing transparency and lab-verified COAs — a credibility-forward brand that would value association with a physician-overseen program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Next Health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Longevity and IV-therapy clinic brand actively expanding its footprint and peptide protocol menu; plausible cross-border partner or sponsor</w:t>
            </w:r>
          </w:p>
        </w:tc>
      </w:tr>
    </w:tbl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Expat &amp; International Health Insurers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Prospect</w:t>
            </w:r>
          </w:p>
        </w:tc>
        <w:tc>
          <w:tcPr>
            <w:tcW w:type="dxa" w:w="60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Why they fit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Cigna Global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Largest global brand recognition among Thailand expats; already partners with wellness-adjacent services (e.g., fertility care add-ons)</w:t>
            </w:r>
          </w:p>
        </w:tc>
      </w:tr>
      <w:tr>
        <w:tc>
          <w:tcPr>
            <w:tcW w:type="dxa" w:w="34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Pacific Cross</w:t>
            </w:r>
          </w:p>
        </w:tc>
        <w:tc>
          <w:tcPr>
            <w:tcW w:type="dxa" w:w="60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Thailand-focused insurer with strong local hospital relationships; best-value positioning matches a broad expat audience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IMG Global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Flexible international coverage, popular with nomads and long-stay expats — audience overlap with Casanova's long-stay funnel</w:t>
            </w:r>
          </w:p>
        </w:tc>
      </w:tr>
      <w:tr>
        <w:tc>
          <w:tcPr>
            <w:tcW w:type="dxa" w:w="34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Allianz Care</w:t>
            </w:r>
          </w:p>
        </w:tc>
        <w:tc>
          <w:tcPr>
            <w:tcW w:type="dxa" w:w="60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Premium global insurer active in the Thailand expat market; higher-net-worth member base aligns with Restore/Renew tiers</w:t>
            </w:r>
          </w:p>
        </w:tc>
      </w:tr>
    </w:tbl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Accreditation, CRO, and Adjacent Channels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JCI (Joint Commission International) — sponsorship of an “accredited-network-adjacent” badge program is worth a direct conversation, though JCI accreditation itself applies to hospitals, not navigators; frame as a co-marketing or referral-standards conversation, not certification.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TAT (Tourism Authority of Thailand) medical tourism programs — natural distribution partner for the /partners and /refer channels; worth approaching through the existing Experience Asia (Stephen McEvoy) relationship given his TAT registration.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CROs and trial sponsors — hold this line until Casanova has real enrolled patient volume; premature outreach here undercuts the eventual CIN Core data-licensing pitch to the same buyer type.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Long-stay/retirement real estate and expat lifestyle brands — lowest lift addition, given the existing overlap with the long-stay funnel; revisit once /partners and /refer are live.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5. Turn-On Sequence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Week 1–2: Build the /partners directory with a minimum viable listing (5–8 Bangkok clinics) and open directory/featured-listing conversations.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Week 3–4: Approach NADclinic and Evolve Science for sponsored content and product-placement pilots — fastest close given their existing partner-program infrastructure.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Month 2: Open insurer conversations (Pacific Cross first — most Thailand-specific, most likely to move fast) for a co-marketing or referral arrangement rather than a paid placement, given regulatory sensitivity around insurance marketing.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Month 2–3: Layer in Verified Partner certification fee once 3–5 directory partners are live and a quality-review process exists to back the badge.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Ongoing: Hold CRO/trial-sponsor and JCI conversations until patient volume and the CIN Core narrative are far enough along that the two stories reinforce rather than compete.</w:t>
      </w:r>
    </w:p>
    <w:p>
      <w:pPr>
        <w:pBdr>
          <w:bottom w:val="single" w:color="CCCCCC" w:sz="4" w:space="1"/>
        </w:pBdr>
        <w:spacing w:after="200" w:before="100"/>
      </w:pPr>
    </w:p>
    <w:p>
      <w:pPr>
        <w:spacing w:before="200"/>
      </w:pPr>
      <w:r>
        <w:rPr>
          <w:rFonts w:ascii="Georgia" w:cs="Georgia" w:eastAsia="Georgia" w:hAnsi="Georgia"/>
          <w:i/>
          <w:iCs/>
          <w:color w:val="6B6B6B"/>
          <w:sz w:val="16"/>
          <w:szCs w:val="16"/>
        </w:rPr>
        <w:t xml:space="preserve">This document is private and confidential. Not for distribution.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2026-07-04T10:04:58.349Z</dcterms:created>
  <dcterms:modified xsi:type="dcterms:W3CDTF">2026-07-04T10:04:58.364Z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