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B3A"/>
          <w:sz w:val="40"/>
          <w:szCs w:val="40"/>
        </w:rPr>
        <w:t xml:space="preserve">Casanova Protocol Program</w:t>
      </w:r>
    </w:p>
    <w:p>
      <w:pPr>
        <w:spacing w:after="40"/>
      </w:pPr>
      <w:r>
        <w:rPr>
          <w:color w:val="5C5C56"/>
          <w:sz w:val="24"/>
          <w:szCs w:val="24"/>
        </w:rPr>
        <w:t xml:space="preserve">Technical integration spec — Casanova Medicals × AXON architecture × Crius supply</w:t>
      </w:r>
    </w:p>
    <w:p>
      <w:pPr>
        <w:spacing w:after="240"/>
      </w:pPr>
      <w:r>
        <w:rPr>
          <w:i/>
          <w:iCs/>
          <w:color w:val="5C5C56"/>
          <w:sz w:val="20"/>
          <w:szCs w:val="20"/>
        </w:rPr>
        <w:t xml:space="preserve">Confidential — Internal build document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00 — What this document is</w:t>
      </w:r>
    </w:p>
    <w:p>
      <w:pPr>
        <w:spacing w:after="120"/>
      </w:pPr>
      <w:r>
        <w:t xml:space="preserve">AXON was specced as a standalone product (The Continuum Protocol, Batch #001, $199/mo Founding Access). This document repositions that entire build — audit engine, scoring logic, dynamic result pages, AI concierge, Stripe enrollment, admin dashboard — as the technical backbone of a new program inside Casanova Medicals: the Casanova Protocol Program (CPP).</w:t>
      </w:r>
    </w:p>
    <w:p>
      <w:pPr>
        <w:spacing w:after="120"/>
      </w:pPr>
      <w:r>
        <w:t xml:space="preserve">CPP is not a separate brand, a separate site, or a separate funnel. It is Casanova's existing free-eligibility-check flow, extended one step further: once a clinician approves a patient, the same AM/PM protocol from Crius (Protocol A + Protocol B) becomes an ongoing physical-product subscription, fulfilled and billed through the AXON-style enrollment system. Casanova provides the clinical legitimacy; the AXON build provides the operational machinery.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01 — Where CPP sits in Casanova's funnel</w:t>
      </w:r>
    </w:p>
    <w:p>
      <w:pPr>
        <w:spacing w:after="120"/>
      </w:pPr>
      <w:r>
        <w:t xml:space="preserve">Casanova's current funnel (per the redesigned site) is: Free eligibility check → Clinician review → Decision → Care path (Metabolic / Recovery / Longevity) → Ongoing care. CPP slots in as the fulfillment and subscription layer underneath the Metabolic and Recovery/Longevity paths — it is what actually ships to the patient's door every month once a clinician has signed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Casanova step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today (per redesign)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CPP adds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Free eligibility check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3-min intake form, no cost, no commitment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Same form — CPP reuses this as the audit/scoring entry point (see §02)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Clinician review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Licensed clinician reviews intake within 48hrs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Clinician decision determines whether CPP enrollment is offered, and at which tier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Decision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Approved / not approved, written explanation either way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Approved → CPP enrollment page; Not approved → standard Casanova waitlist/education path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Care path (Metabolic / Recovery / Longevity)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$149 review + $249/mo if ongoing care recommended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CPP becomes the physical-product component of the $249/mo — Protocol A for Metabolic, Protocol B for Recovery/Longevity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Ongoing care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Monthly check-in, dose/tolerance tracking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CPP shipment + 7-day onboarding sequence runs alongside the clinical check-in cadence</w:t>
            </w:r>
          </w:p>
        </w:tc>
      </w:tr>
    </w:tbl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02 — Reframing the audit: Tally → Casanova intake</w:t>
      </w:r>
    </w:p>
    <w:p>
      <w:pPr>
        <w:spacing w:after="120"/>
      </w:pPr>
      <w:r>
        <w:t xml:space="preserve">AXON's 5-question Tally audit (energy, sleep, cognition, GLP-1 history, workload → scored Low/Moderate/High Instability) becomes Casanova's existing free eligibility intake — same Tally → webhook → Supabase pipeline, but the questions and scoring are reframed from performance language to clinical screening language, and the output routes into the clinician review queue rather than directly to a purchase CTA.</w:t>
      </w:r>
    </w:p>
    <w:p>
      <w:pPr>
        <w:pStyle w:val="Heading2"/>
        <w:spacing w:after="100" w:before="240"/>
      </w:pPr>
      <w:r>
        <w:rPr>
          <w:color w:val="1B2B3A"/>
        </w:rPr>
        <w:t xml:space="preserve">Revised intake — questions and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Casanova question (replaces AXON wording)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Scoring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1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How would you describe your energy across a typical day?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Steady (0) · Variable, peaks and crashes (2) · Chronically low (3)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2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How is your sleep quality?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Restorative (0) · Fragmented (2) · Poor, rarely rested (3)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3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Have you used, or recently stopped, a GLP-1 medication?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No (0) · Yes, within 6 months (3) · Yes, over 6 months ago (2)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4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Do you have any current medications, allergies, or diagnosed conditions we should know about?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Open text — flags for clinician, not scored numerically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5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What is your primary goal?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Metabolic / Recovery / Longevity / Not sure — routes to care path, not scored</w:t>
            </w:r>
          </w:p>
        </w:tc>
      </w:tr>
    </w:tbl>
    <w:p>
      <w:pPr>
        <w:spacing w:after="120"/>
      </w:pPr>
      <w:r>
        <w:t xml:space="preserve">Scoring logic is preserved structurally but the labels and routing change: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0–4 → Low Priority Profile — still routed to free clinician review, but flagged as lower-urgency in the queue (not a hard “waitlist, not invited” rejection as in AXON — Casanova's model is “every request gets a clinician answer”)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5–8 → Standard Priority Profile — routed to standard 48hr review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9–15 → Priority Profile — routed to expedited review (same clinicians, faster queue position)</w:t>
      </w:r>
    </w:p>
    <w:p>
      <w:pPr>
        <w:spacing w:after="120"/>
      </w:pPr>
      <w:r>
        <w:t xml:space="preserve">This preserves AXON's segmentation value (queue prioritisation, internal triage) without making a medical determination via quiz score — the determination is always made by the clinician. The score is operational routing, not a diagnosis or eligibility decision, and this distinction should be explicit in the system prompt and any patient-facing copy.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03 — Reframing the result pages: “instability profile” → “review status”</w:t>
      </w:r>
    </w:p>
    <w:p>
      <w:pPr>
        <w:spacing w:after="120"/>
      </w:pPr>
      <w:r>
        <w:t xml:space="preserve">AXON's three dynamic result pages (High / Moderate / Low Instability, each with a CTA to reserve or join waitlist) become Casanova's existing post-intake confirmation screens — but instead of presenting a product verdict immediately, they present a review status, consistent with the “free check, clinician decides” promise on the redesigned 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AXON original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Casanova equivalent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Copy direction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High Instability — “Your baseline is significantly disrupted”, CTA: Reserve Your Spot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Priority Review — submitted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“Your intake has been flagged for priority clinician review. You'll typically hear back within 24 hours.” No product framing yet — product is offered only after clinician approval.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Moderate Instability — “Measurable performance degradation”, CTA: Reserve Your Spot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Standard Review — submitted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“Your intake is in the queue for clinician review (typically within 48 hours).”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Low Instability — “Stable baseline”, CTA: Join Waitlist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Review — submitted (general)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“Your intake has been received. A clinician will confirm whether a Casanova protocol is appropriate for you and explain why, either way.”</w:t>
            </w:r>
          </w:p>
        </w:tc>
      </w:tr>
    </w:tbl>
    <w:p>
      <w:pPr>
        <w:spacing w:after="120"/>
      </w:pPr>
      <w:r>
        <w:t xml:space="preserve">The CPP enrollment offer (Protocol A/B subscription) appears only on the post-review decision page — i.e., after a clinician has actually reviewed the intake — not on the immediate post-quiz result page. This is the single most important structural change from AXON: AXON sold immediately off the quiz; Casanova sells only after clinician sign-off. Architecturally this just means the CPP enrollment component (§05) is gated behind a clinician-set status flag in the database, not behind the quiz score directly.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04 — The product: Protocol A &amp; B inside CPP</w:t>
      </w:r>
    </w:p>
    <w:p>
      <w:pPr>
        <w:spacing w:after="120"/>
      </w:pPr>
      <w:r>
        <w:t xml:space="preserve">CPP's physical product is exactly AXON's Continuum Protocol — same AM sachet / PM mouthmelt tablet, same Crius sourcing, same $9.45 COGS — but mapped onto Casanova's existing care paths rather than sold as a single undifferentiated SKU.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Casanova care path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CPP product assignment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Metabolic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Protocol A (AM Metabolic Buffer sachet) — Berberine Aristata 500mg, Liposomal Magnesium 100mg, Curcumin C3 Complex 100mg, Piperine 2.5mg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Aligns with existing Metabolic path positioning (GLP-1 / weight / glucose support)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Recovery &amp; Longevity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Protocol B (PM Neuroendocrine Reset tablet) — Magnesium Glycinate 400mg, L-Theanine 200mg, KSM-66 Ashwagandha 300mg, Chamomile Extract (std. 5% apigenin) 50mg, Glycine 500mg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Use AXON's corrected labelling — “Chamomile Extract (standardised to 5% apigenin) 50mg”, not “Apigenin 50mg”, per Crius's food-grade confirmation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Full Protocol (AM+PM)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Protocol A + B combined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Positioned as the “complete Casanova Protocol” — the natural upsell for patients on multiple care paths or Care Navigation tier</w:t>
            </w:r>
          </w:p>
        </w:tc>
      </w:tr>
    </w:tbl>
    <w:p>
      <w:pPr>
        <w:spacing w:after="120"/>
      </w:pPr>
      <w:r>
        <w:t xml:space="preserve">Compliance note carried over from the Crius review: stability testing and third-party COA are not included in Crius's base quote and must be commissioned separately. Given Casanova's brand is built on “licensed, verified, reviewed” language, COA and a verified 24-month shelf life are non-negotiable before CPP ships under the Casanova name — this is the one place where AXON's spec (which left COA as “available on request”) needs to be tightened for Casanova's standard.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05 — Enrollment &amp; billing: Stripe SetupIntent, gated by clinician approval</w:t>
      </w:r>
    </w:p>
    <w:p>
      <w:pPr>
        <w:spacing w:after="120"/>
      </w:pPr>
      <w:r>
        <w:t xml:space="preserve">AXON's core technical innovation — save the card at intake (SetupIntent, zero charge), charge only at batch lock — maps onto Casanova's needs almost perfectly, with one change: the charge trigger is clinician approval, not a batch-lock event.</w:t>
      </w:r>
    </w:p>
    <w:p>
      <w:pPr>
        <w:pStyle w:val="Heading2"/>
        <w:spacing w:after="100" w:before="240"/>
      </w:pPr>
      <w:r>
        <w:rPr>
          <w:color w:val="1B2B3A"/>
        </w:rPr>
        <w:t xml:space="preserve">Flow sequence (adapted)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676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1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Patient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Completes free eligibility intake (Tally form, §02) — includes card capture via Stripe Elements (SetupIntent, $0 charged)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2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API route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Creates Stripe Customer + SetupIntent, writes lead record to Supabase with status: pending_review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3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Clinician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Reviews intake (existing Casanova clinician workflow, 48hr SLA) — outcome recorded via internal dashboard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4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API route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On approval: updates Supabase status to approved, assigns care path (Metabolic / Recovery / Longevity / Full), triggers PaymentIntent for the relevant CPP product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5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Stripe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Charges $249/mo (Casanova's existing ongoing-care price) using the saved payment method — no second checkout step for the patient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6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Loops.so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Sends approval + “Your protocol ships in [X] days” email, begins 7-day onboarding sequence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7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On non-approval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No charge ever occurs. Patient receives the written explanation Casanova already promises, plus an optional education-only content sequence (no CPP enrollment)</w:t>
            </w:r>
          </w:p>
        </w:tc>
      </w:tr>
    </w:tbl>
    <w:p>
      <w:pPr>
        <w:spacing w:after="120"/>
      </w:pPr>
      <w:r>
        <w:t xml:space="preserve">This removes the “pay before clinician contact” friction identified in the original Casanova critique, while preserving AXON's elegant zero-friction-at-approval mechanic: the patient never re-enters payment details after intake.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06 — AI concierge: scope and system prompt</w:t>
      </w:r>
    </w:p>
    <w:p>
      <w:pPr>
        <w:spacing w:after="120"/>
      </w:pPr>
      <w:r>
        <w:t xml:space="preserve">AXON's Claude-powered concierge (enrollment-scoped, no medical claims, under-4-sentence responses) is reusable for CPP almost as-is, with its scope narrowed further given the clinical context: the concierge handles logistics, product, and process questions only, and explicitly routes any health-specific question to the clinician review process rather than answering it.</w:t>
      </w:r>
    </w:p>
    <w:p>
      <w:pPr>
        <w:pStyle w:val="Heading2"/>
        <w:spacing w:after="100" w:before="240"/>
      </w:pPr>
      <w:r>
        <w:rPr>
          <w:color w:val="1B2B3A"/>
        </w:rPr>
        <w:t xml:space="preserve">Adapted system prompt (draft)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You are the Casanova Protocol Program assistant.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CPP is the ongoing-care product layer inside Casanova Medicals.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Product: The Casanova Protocol — AM sachet + PM mouthmelt tablet.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AM (Metabolic): Berberine Aristata 500mg, Liposomal Magnesium 100mg,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Curcumin C3 Complex 100mg, Piperine 2.5mg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PM (Recovery/Longevity): Magnesium Glycinate 400mg, L-Theanine 200mg,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KSM-66 Ashwagandha 300mg, Chamomile Extract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(standardised to 5% apigenin) 50mg, Glycine 500mg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Pricing: $249/month, billed only after clinician approval.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Manufacturer: Crius. COA available on request.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Your role: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Explain the program, products, pricing, and timeline.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Explain that enrollment depends on clinician review —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  never imply approval is guaranteed.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Answer logistics: shipping, billing, cancellation.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Rules: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Never answer clinical or medical questions — redirect to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  ‘your clinician will cover this during review.’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Never make medical claims or imply diagnosis.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Never create urgency or scarcity framing.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Keep responses under 4 sentences unless the question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  requires more.</w:t>
      </w:r>
    </w:p>
    <w:p>
      <w:pPr>
        <w:shd w:fill="F0EDE5" w:val="clear"/>
        <w:spacing w:after="12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</w:t>
      </w:r>
    </w:p>
    <w:p>
      <w:pPr>
        <w:spacing w:after="120"/>
      </w:pPr>
      <w:r>
        <w:t xml:space="preserve">Key divergence from AXON: AXON's concierge was permitted to “guide qualified users to reserve their spot” and “push to the Reserve CTA” on pricing questions. CPP's concierge does not push toward enrollment — enrollment only becomes available after clinician approval, so the concierge's job is informational, not conversion-driving. This matches Casanova's existing tone (“we'll tell you honestly if you're not a fit”).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07 — Data model: extending Casanova's existing schema</w:t>
      </w:r>
    </w:p>
    <w:p>
      <w:pPr>
        <w:spacing w:after="120"/>
      </w:pPr>
      <w:r>
        <w:t xml:space="preserve">AXON's three-table Supabase schema (leads, reservations, batch_state) adapts to CPP with batch_state removed entirely — CPP has no cohort cap or batch-lock mechanic, since enrollment is continuous and gated by individual clinician decisions, not a collective threshold.</w:t>
      </w:r>
    </w:p>
    <w:p>
      <w:pPr>
        <w:pStyle w:val="Heading2"/>
        <w:spacing w:after="100" w:before="240"/>
      </w:pPr>
      <w:r>
        <w:rPr>
          <w:color w:val="1B2B3A"/>
        </w:rPr>
        <w:t xml:space="preserve">Table: intakes (replaces AXON's leads)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id              uuid primary key default gen_random_uuid()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email           text not null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score           integer not null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priority        text not null  -- 'priority' | 'standard' | 'low'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goal            text           -- 'metabolic' | 'recovery' | 'longevity' | 'unsure'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flags           text           -- free-text clinician-relevant notes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stripe_customer_id    text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payment_method_id     text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clinician_status      text default 'pending_review'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              -- 'pending_review' | 'approved' | 'not_approved'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assigned_care_path    text   -- set on approval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created_at      timestamptz default now()</w:t>
      </w:r>
    </w:p>
    <w:p>
      <w:pPr>
        <w:shd w:fill="F0EDE5" w:val="clear"/>
        <w:spacing w:after="12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reviewed_at     timestamptz</w:t>
      </w:r>
    </w:p>
    <w:p>
      <w:pPr>
        <w:pStyle w:val="Heading2"/>
        <w:spacing w:after="100" w:before="240"/>
      </w:pPr>
      <w:r>
        <w:rPr>
          <w:color w:val="1B2B3A"/>
        </w:rPr>
        <w:t xml:space="preserve">Table: cpp_subscriptions (replaces AXON's reservations)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id                  uuid primary key default gen_random_uuid()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intake_id           uuid references intakes(id)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email               text not null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protocol            text not null  -- 'A' | 'B' | 'A+B'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status              text default 'active'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                    -- 'active' | 'payment_failed' | 'cancelled'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payment_intent_id   text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started_at          timestamptz default now()</w:t>
      </w:r>
    </w:p>
    <w:p>
      <w:pPr>
        <w:shd w:fill="F0EDE5" w:val="clear"/>
        <w:spacing w:after="12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cancelled_at        timestamptz</w:t>
      </w:r>
    </w:p>
    <w:p>
      <w:pPr>
        <w:spacing w:after="120"/>
      </w:pPr>
      <w:r>
        <w:t xml:space="preserve">No batch_state table is needed. If a future cohort/cap mechanic is wanted (e.g. a limited “founding patient” pricing tier), it can be reintroduced later as an additive table without changing this core structure.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07A — Longitudinal outcomes collection (Day-1 requirement)</w:t>
      </w:r>
    </w:p>
    <w:p>
      <w:pPr>
        <w:spacing w:after="120"/>
      </w:pPr>
      <w:r>
        <w:t xml:space="preserve">CPP v1 remains a clinician-gated enrollment and fulfillment system. It is not an EHR, diagnostics platform, or biomarker-record system.</w:t>
      </w:r>
    </w:p>
    <w:p>
      <w:pPr>
        <w:spacing w:after="120"/>
      </w:pPr>
      <w:r>
        <w:t xml:space="preserve">However, because outcomes data cannot be recreated retrospectively, CPP will begin collecting a minimal longitudinal dataset from day one using the existing monthly clinician check-in workflow.</w:t>
      </w:r>
    </w:p>
    <w:p>
      <w:pPr>
        <w:spacing w:after="120"/>
      </w:pPr>
      <w:r>
        <w:t xml:space="preserve">No additional patient journey, product flow, or approval logic is introduced. The check-in already exists within Casanova's ongoing-care model; this change simply adds structured outcome fields to that interaction.</w:t>
      </w:r>
    </w:p>
    <w:p>
      <w:pPr>
        <w:pStyle w:val="Heading2"/>
        <w:spacing w:after="100" w:before="240"/>
      </w:pPr>
      <w:r>
        <w:rPr>
          <w:color w:val="1B2B3A"/>
        </w:rPr>
        <w:t xml:space="preserve">Table: monthly_checkins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id                uuid primary key default gen_random_uuid()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subscription_id   uuid references cpp_subscriptions(id)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month_number      integer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adherence_pct     integer        -- self-reported, 0-100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energy_score      integer        -- 1-5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sleep_score       integer        -- 1-5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goal_progress     integer        -- 1-5 relative to stated intake goal</w:t>
      </w:r>
    </w:p>
    <w:p>
      <w:pPr>
        <w:shd w:fill="F0EDE5" w:val="clear"/>
        <w:spacing w:after="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notes             text</w:t>
      </w:r>
    </w:p>
    <w:p>
      <w:pPr>
        <w:shd w:fill="F0EDE5" w:val="clear"/>
        <w:spacing w:after="120"/>
      </w:pPr>
      <w:r>
        <w:rPr>
          <w:rFonts w:ascii="Courier New" w:cs="Courier New" w:eastAsia="Courier New" w:hAnsi="Courier New"/>
          <w:color w:val="2A2A28"/>
          <w:sz w:val="18"/>
          <w:szCs w:val="18"/>
        </w:rPr>
        <w:t xml:space="preserve">recorded_at       timestamptz default now()</w:t>
      </w:r>
    </w:p>
    <w:p>
      <w:pPr>
        <w:pStyle w:val="Heading2"/>
        <w:spacing w:after="100" w:before="240"/>
      </w:pPr>
      <w:r>
        <w:rPr>
          <w:color w:val="1B2B3A"/>
        </w:rPr>
        <w:t xml:space="preserve">Purpose</w:t>
      </w:r>
    </w:p>
    <w:p>
      <w:pPr>
        <w:spacing w:after="120"/>
      </w:pPr>
      <w:r>
        <w:t xml:space="preserve">The objective is not clinical diagnosis or biomarker tracking. The objective is to establish a longitudinal dataset linking: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Assigned protocol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Adherence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Self-reported outcomes over time</w:t>
      </w:r>
    </w:p>
    <w:p>
      <w:pPr>
        <w:spacing w:after="120"/>
      </w:pPr>
      <w:r>
        <w:t xml:space="preserve">This allows CPP to begin accumulating evidence regarding which protocol assignments appear most effective for different patient profiles, without changing the compliance posture of the program.</w:t>
      </w:r>
    </w:p>
    <w:p>
      <w:pPr>
        <w:pStyle w:val="Heading2"/>
        <w:spacing w:after="100" w:before="240"/>
      </w:pPr>
      <w:r>
        <w:rPr>
          <w:color w:val="1B2B3A"/>
        </w:rPr>
        <w:t xml:space="preserve">Data relationships</w:t>
      </w:r>
    </w:p>
    <w:p>
      <w:pPr>
        <w:spacing w:after="120"/>
      </w:pPr>
      <w:r>
        <w:t xml:space="preserve">The initial outcomes dataset is generated through joins across intakes, cpp_subscriptions, and monthly_checkins. This produces the foundational structure:</w:t>
      </w:r>
    </w:p>
    <w:p>
      <w:pPr>
        <w:spacing w:after="120"/>
      </w:pPr>
      <w:r>
        <w:rPr>
          <w:b/>
          <w:bCs/>
        </w:rPr>
        <w:t xml:space="preserve">Patient Profile → Protocol → Month → Adherence → Outcome Change</w:t>
      </w:r>
    </w:p>
    <w:p>
      <w:pPr>
        <w:spacing w:after="120"/>
      </w:pPr>
      <w:r>
        <w:t xml:space="preserve">No separate analytics platform is required.</w:t>
      </w:r>
    </w:p>
    <w:p>
      <w:pPr>
        <w:pStyle w:val="Heading2"/>
        <w:spacing w:after="100" w:before="240"/>
      </w:pPr>
      <w:r>
        <w:rPr>
          <w:color w:val="1B2B3A"/>
        </w:rPr>
        <w:t xml:space="preserve">Design constraints — CPP v1 does NOT include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Biomarker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Laboratory result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Credentialed health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Outcome-based clinical claims</w:t>
      </w:r>
    </w:p>
    <w:p>
      <w:pPr>
        <w:spacing w:after="120"/>
      </w:pPr>
      <w:r>
        <w:t xml:space="preserve">Those capabilities remain future considerations and are intentionally excluded from v1 scope.</w:t>
      </w:r>
    </w:p>
    <w:p>
      <w:pPr>
        <w:pStyle w:val="Heading2"/>
        <w:spacing w:after="100" w:before="240"/>
      </w:pPr>
      <w:r>
        <w:rPr>
          <w:color w:val="1B2B3A"/>
        </w:rPr>
        <w:t xml:space="preserve">Rationale</w:t>
      </w:r>
    </w:p>
    <w:p>
      <w:pPr>
        <w:spacing w:after="120"/>
      </w:pPr>
      <w:r>
        <w:t xml:space="preserve">Revenue can be generated later. Historical outcome data cannot. The cost of collecting four structured outcome fields during an interaction that already exists is negligible, while the long-term value of longitudinal protocol-performance data may become one of CPP's most defensible assets.</w:t>
      </w:r>
    </w:p>
    <w:p>
      <w:pPr>
        <w:shd w:fill="B5651D" w:val="clear"/>
        <w:spacing w:after="80" w:before="160"/>
        <w:jc w:val="center"/>
      </w:pPr>
      <w:r>
        <w:rPr>
          <w:b/>
          <w:bCs/>
          <w:color w:val="FFFFFF"/>
          <w:sz w:val="22"/>
          <w:szCs w:val="22"/>
        </w:rPr>
        <w:t xml:space="preserve">STATUS: MANDATORY FOR V1.0</w:t>
      </w:r>
    </w:p>
    <w:p>
      <w:pPr>
        <w:spacing w:after="120"/>
      </w:pPr>
      <w:r>
        <w:rPr>
          <w:i/>
          <w:iCs/>
        </w:rPr>
        <w:t xml:space="preserve">Not because outcomes analytics are needed immediately — but because every month of missing data is permanently unrecoverable. This section is part of CPP's official v1 architecture, not a post-launch enhancement.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09 — Email sequences (Loops.so)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80"/>
        <w:gridCol w:w="1880"/>
        <w:gridCol w:w="270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Intake submitted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Your eligibility check is in review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Immediate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Set expectations on review timeline (24–48hrs)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Clinician: approved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You're approved — here's what's next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Immediate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Confirm care path, confirm CPP enrollment + first charge, shipping timeline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Clinician: not approved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Your review is complete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Immediate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Written explanation (per Casanova's existing promise), optional education content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Shipment dispatched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Day 1 of 7 — Your Protocol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On shipment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7-day onboarding sequence (reused from AXON)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Payment failed (D1–D3)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Action required / Final reminder / Subscription paused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D1, D2, D3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Reused from AXON, reframed: a paused CPP subscription does not affect the underlying clinical relationship</w:t>
            </w:r>
          </w:p>
        </w:tc>
      </w:tr>
    </w:tbl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10 — Analytics (PostHog events)</w:t>
      </w:r>
    </w:p>
    <w:p>
      <w:pPr>
        <w:spacing w:after="120"/>
      </w:pPr>
      <w:r>
        <w:t xml:space="preserve">AXON's 13-event funnel instrumentation is reused with renamed steps reflecting the clinician gate: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intake_started, intake_question_answered, intake_completed (score, priority)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review_status_viewed (priority)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clinician_decision_recorded (approved | not_approved, care_path) — new event, fired from the clinician dashboard, not the patient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cpp_offer_viewed (only fires post-approval)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concierge_opened, concierge_message_sent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enrollment_charge_succeeded, enrollment_charge_failed (replaces AXON's enrollment_completed — there is no separate enrollment step, charge fires automatically on approval)</w:t>
      </w:r>
    </w:p>
    <w:p>
      <w:pPr>
        <w:pStyle w:val="Heading2"/>
        <w:spacing w:after="100" w:before="240"/>
      </w:pPr>
      <w:r>
        <w:rPr>
          <w:color w:val="1B2B3A"/>
        </w:rPr>
        <w:t xml:space="preserve">Validation gates (adapted from AXON §14)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If failing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Intake completion rate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&gt; 60%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Messaging problem at entry — revisit intake framing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Clinician approval rate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Track, don't target — this reflects population fit, not funnel performance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If unexpectedly low, revisit acquisition targeting upstream (who is being sent to Casanova)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Approval → charge success rate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&gt; 85%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Card capture issue at intake — check Stripe Elements integration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Day 7 retention (no cancel)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&gt; 90%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Onboarding gap — improve Day 1 email and shipment timeline communication</w:t>
            </w:r>
          </w:p>
        </w:tc>
      </w:tr>
    </w:tbl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11 — Design system: clinical, not AXON's luxury-performance aesthetic</w:t>
      </w:r>
    </w:p>
    <w:p>
      <w:pPr>
        <w:spacing w:after="120"/>
      </w:pPr>
      <w:r>
        <w:t xml:space="preserve">AXON's design system (#0A0A0F near-black, gold #C9A84C accent, Georgia serif + Courier New, “Porsche not TikTok”) does not carry over. CPP inherits the Casanova redesign's palette and type system in full — navy (#1B2B3A), warm paper (#F7F4EE), sage (#7A9B7E) for approved/safe states, amber (#C2762E) for compliance callouts, Source Serif 4 + IBM Plex Mono. The only AXON design pattern worth preserving conceptually is the “live counter” / chart-strip device — reused in the Casanova redesign as the clinical chart strip (free check / 48hr review / licensed oversight / no guaranteed prescriptions), which serves the same trust-building function as AXON's batch counter without the artificial-scarcity framing.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12 — Build sequence (adapted from AXON §15)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616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1a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Supabase schema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Tables created: intakes, cpp_subscriptions (no batch_state)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1b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Intake form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Existing Casanova intake extended with the 5-question scoring (§02), webhook firing to /api/intake-webhook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1c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Next.js project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Repo initialised, Supabase connected, PostHog installed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2a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Clinician dashboard extension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Existing review queue gains: priority sort by score, approve/not-approve action that writes clinician_status + assigned_care_path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2b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Stripe SetupIntent flow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Card captured at intake ($0 charge); PaymentIntent fires automatically on clinician approval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2c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Review status pages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Priority / Standard / general review-submitted pages (§03) — no product framing pre-approval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3a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CPP offer page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Shown only post-approval — protocol assignment, $249/mo, shipping timeline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3b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AI concierge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Widget on intake and review-status pages, scoped per §06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4a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Email sequences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Loops.so sequences per §08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4b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Analytics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PostHog events per §09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4c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End-to-end test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Full journey: intake → review status → clinician decision → (approved: charge + ship) or (not approved: explanation email)</w:t>
            </w:r>
          </w:p>
        </w:tc>
      </w:tr>
    </w:tbl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13 — Out of scope for CPP v1</w:t>
      </w:r>
    </w:p>
    <w:p>
      <w:pPr>
        <w:spacing w:after="120"/>
      </w:pPr>
      <w:r>
        <w:t xml:space="preserve">Carried over from AXON's §16, with one addition specific to the clinical context: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Multi-SKU catalogue beyond Protocol A / B / A+B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caps, cohort mechanics, or founding-member scarcity framing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B2B / white-label — separate from the Crius white-label conversation in NKC's commercial track, kept out of CPP entirely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app, referral/affiliate system, loyalty/points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International shipping / multi-currency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concierge capability that answers clinical questions directly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enrollment path that bypasses clinician approval</w:t>
      </w:r>
    </w:p>
    <w:p>
      <w:pPr>
        <w:pStyle w:val="Heading1"/>
        <w:pBdr>
          <w:bottom w:val="single" w:color="1B2B3A" w:sz="6" w:space="4"/>
        </w:pBdr>
        <w:spacing w:after="160" w:before="320"/>
      </w:pPr>
      <w:r>
        <w:rPr>
          <w:color w:val="1B2B3A"/>
        </w:rPr>
        <w:t xml:space="preserve">14 — Summary: what changes from AXON, what doesn't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Kept from AXON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Changed for Casanova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Audit/intake engine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Tally → webhook → Supabase pipeline, 5-question structure, scoring logic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Questions reframed clinically; score routes review priority, not product access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Result pages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3-variant dynamic page pattern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“Instability profile + CTA” → “Review status”; no product offer until approval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Stripe flow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SetupIntent now, charge later — zero re-entry of payment details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Charge trigger changed from batch-lock to clinician approval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AI concierge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Claude API, streaming, scoped system prompt, tone rules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Scope narrowed: logistics/product only, never clinical, never conversion-pushing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Data model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leads / reservations table structure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Renamed intakes / cpp_subscriptions; batch_state removed entirely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—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Fully replaced with Casanova's clinical navy/paper/sage system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Product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Protocol A + B from Crius, $9.45 COGS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Same product, mapped onto Metabolic / Recovery / Longevity care paths; COA/stability testing made mandatory, not optional</w:t>
            </w:r>
          </w:p>
        </w:tc>
      </w:tr>
      <w:tr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Email + analytics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Sequence and event structure</w:t>
            </w:r>
          </w:p>
        </w:tc>
        <w:tc>
          <w:tcPr>
            <w:tcW w:type="dxa" w:w="0"/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Renamed/reframed around clinician decision rather than batch lock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2B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2026-06-14T09:36:24.233Z</dcterms:created>
  <dcterms:modified xsi:type="dcterms:W3CDTF">2026-06-14T09:36:24.243Z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