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2B3A"/>
          <w:sz w:val="48"/>
          <w:szCs w:val="48"/>
        </w:rPr>
        <w:t xml:space="preserve">CASANOVA MEDICALS</w:t>
      </w:r>
    </w:p>
    <w:p>
      <w:pPr>
        <w:spacing w:after="60"/>
      </w:pPr>
      <w:r>
        <w:rPr>
          <w:b/>
          <w:bCs/>
          <w:color w:val="5C5C56"/>
          <w:sz w:val="30"/>
          <w:szCs w:val="30"/>
        </w:rPr>
        <w:t xml:space="preserve">Site Update Brief for Ashik</w:t>
      </w:r>
    </w:p>
    <w:p>
      <w:pPr>
        <w:spacing w:after="400"/>
      </w:pPr>
      <w:r>
        <w:rPr>
          <w:i/>
          <w:iCs/>
          <w:color w:val="5C5C56"/>
          <w:sz w:val="20"/>
          <w:szCs w:val="20"/>
        </w:rPr>
        <w:t xml:space="preserve">Seven specific changes. All copy included. Ready to implement.</w:t>
      </w:r>
    </w:p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1 — Root Domain</w:t>
      </w:r>
    </w:p>
    <w:p>
      <w:pPr>
        <w:spacing w:after="130"/>
      </w:pPr>
      <w:r>
        <w:rPr>
          <w:sz w:val="22"/>
          <w:szCs w:val="22"/>
        </w:rPr>
        <w:t xml:space="preserve">casanovamed.com should serve the homepage directly without requiring /index.html in the URL. Simple server config change — set the root to serve index.html by default.</w:t>
      </w:r>
    </w:p>
    <w:p>
      <w:pPr>
        <w:shd w:fill="1B2B3A" w:val="clear"/>
        <w:spacing w:after="160" w:before="160"/>
        <w:ind w:left="180" w:right="180"/>
      </w:pPr>
      <w:r>
        <w:rPr>
          <w:b/>
          <w:bCs/>
          <w:color w:val="FFFFFF"/>
          <w:sz w:val="22"/>
          <w:szCs w:val="22"/>
        </w:rPr>
        <w:t xml:space="preserve">casanovamed.com → loads homepage directly. No /index.html in the URL.</w:t>
      </w:r>
    </w:p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2 — Age Range: 55+ to 40+ Throughout</w:t>
      </w:r>
    </w:p>
    <w:p>
      <w:pPr>
        <w:spacing w:after="130"/>
      </w:pPr>
      <w:r>
        <w:rPr>
          <w:sz w:val="22"/>
          <w:szCs w:val="22"/>
        </w:rPr>
        <w:t xml:space="preserve">Change every instance of '55+' to '40+' across the entire site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Homepage hero and subheadline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Program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title and meta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Partners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structured data or schema markup</w:t>
      </w:r>
    </w:p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3 — Add EBOO to Restore and Renew Tiers</w:t>
      </w:r>
    </w:p>
    <w:p>
      <w:pPr>
        <w:pStyle w:val="Heading2"/>
        <w:spacing w:after="100" w:before="260"/>
      </w:pPr>
      <w:r>
        <w:rPr>
          <w:color w:val="1B2B3A"/>
        </w:rPr>
        <w:t xml:space="preserve">The Restore — add this bullet</w:t>
      </w:r>
    </w:p>
    <w:p>
      <w:pPr>
        <w:shd w:fill="5E7E60" w:val="clear"/>
        <w:spacing w:after="160" w:before="160"/>
        <w:ind w:left="180" w:right="180"/>
      </w:pPr>
      <w:r>
        <w:rPr>
          <w:b/>
          <w:bCs/>
          <w:color w:val="FFFFFF"/>
          <w:sz w:val="22"/>
          <w:szCs w:val="22"/>
        </w:rPr>
        <w:t xml:space="preserve">EBOO (Extracorporeal Blood Oxygenation and Ozonation) — complimentary, included in this program. Ozone-based blood treatment that oxygenates blood, reduces inflammation, and supports immune function.</w:t>
      </w:r>
    </w:p>
    <w:p>
      <w:pPr>
        <w:spacing w:after="130"/>
      </w:pPr>
      <w:r>
        <w:rPr>
          <w:sz w:val="22"/>
          <w:szCs w:val="22"/>
        </w:rPr>
        <w:t xml:space="preserve">Add alongside NAD+ IV therapy in the Restore tier bullet list.</w:t>
      </w:r>
    </w:p>
    <w:p>
      <w:pPr>
        <w:pStyle w:val="Heading2"/>
        <w:spacing w:after="100" w:before="260"/>
      </w:pPr>
      <w:r>
        <w:rPr>
          <w:color w:val="1B2B3A"/>
        </w:rPr>
        <w:t xml:space="preserve">The Renew — add this bullet</w:t>
      </w:r>
    </w:p>
    <w:p>
      <w:pPr>
        <w:shd w:fill="5E7E60" w:val="clear"/>
        <w:spacing w:after="160" w:before="160"/>
        <w:ind w:left="180" w:right="180"/>
      </w:pPr>
      <w:r>
        <w:rPr>
          <w:b/>
          <w:bCs/>
          <w:color w:val="FFFFFF"/>
          <w:sz w:val="22"/>
          <w:szCs w:val="22"/>
        </w:rPr>
        <w:t xml:space="preserve">EBOO (Extracorporeal Blood Oxygenation and Ozonation) — included. Listed alongside plasmapheresis and xenon gas.</w:t>
      </w:r>
    </w:p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4 — Intake Form Dropdown</w:t>
      </w:r>
    </w:p>
    <w:p>
      <w:pPr>
        <w:spacing w:after="130"/>
      </w:pPr>
      <w:r>
        <w:rPr>
          <w:sz w:val="22"/>
          <w:szCs w:val="22"/>
        </w:rPr>
        <w:t xml:space="preserve">Move 'Not sure yet — want a consultation' to the FIRST position in the goal/program dropdown. This lowers the barrier for people who are exploring and not yet ready to choose a specific program.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order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order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Metabolic health / weight support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Not sure yet — want a consultation ← FIRST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Recovery / performance support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Metabolic health / weight support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Longevity / healthy aging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Recovery / performance support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Not sure yet — want a consultation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Longevity / healthy aging</w:t>
            </w:r>
          </w:p>
        </w:tc>
      </w:tr>
    </w:tbl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5 — Partners Page: Add Above-the-Fold Context</w:t>
      </w:r>
    </w:p>
    <w:p>
      <w:pPr>
        <w:spacing w:after="130"/>
      </w:pPr>
      <w:r>
        <w:rPr>
          <w:sz w:val="22"/>
          <w:szCs w:val="22"/>
        </w:rPr>
        <w:t xml:space="preserve">Add this block at the very top of the partners page, above the current headline and model explanation. This is the emotional and market context that makes a practice director lean forward before they read anything else.</w:t>
      </w:r>
    </w:p>
    <w:p>
      <w:pPr>
        <w:shd w:fill="A8332B" w:val="clear"/>
        <w:spacing w:after="160" w:before="160"/>
        <w:ind w:left="180" w:right="180"/>
      </w:pPr>
      <w:r>
        <w:rPr>
          <w:b/>
          <w:bCs/>
          <w:color w:val="FFFFFF"/>
          <w:sz w:val="22"/>
          <w:szCs w:val="22"/>
        </w:rPr>
        <w:t xml:space="preserve">ACA premiums are up 114% in 2026. Your patients are paying more and getting less. They are asking you about stem cells, EBOO, NAD+ therapy, and plasmapheresis. You cannot provide these domestically at any price. Casanova gives your practice a clinical infrastructure to answer that question — under your brand, with full physician oversight and complete in-country coordination.</w:t>
      </w:r>
    </w:p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6 — Partners Page: Add Therapy Menu</w:t>
      </w:r>
    </w:p>
    <w:p>
      <w:pPr>
        <w:spacing w:after="130"/>
      </w:pPr>
      <w:r>
        <w:rPr>
          <w:sz w:val="22"/>
          <w:szCs w:val="22"/>
        </w:rPr>
        <w:t xml:space="preserve">Add this table to the partners page after the white label model explanation. This is what makes a sophisticated clinician immediately understand the value — seeing the specific therapies and the cost differential.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80"/>
        <w:gridCol w:w="2080"/>
        <w:gridCol w:w="1200"/>
      </w:tblGrid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Therapy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 cost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Bangkok cost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shd w:fill="1B2B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 tier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EBOO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Ozone blood treatment. Oxygenation, inflammation, immune support.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$3,000-5,000/session where available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~$800-1,000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Restore, Renew (complimentary)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NAD+ IV (10-session course)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Mitochondrial energy. DNA repair. Cognitive and physical performance.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$4,000-12,000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$1,500-3,000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Restore, 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Stem Cell (cultured/expanded)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Aggressive regenerative response. Placenta and cord-derived.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Not FDA-approved outside trials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$8,000-18,000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Plasmapheresis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Removes inflammatory markers, heavy metals, senescent cells.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Not available for longevity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$2,000-5,000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Exosomes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Cell repair signaling. Skin, inflammation, tissue.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FDA-restricted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$1,500-4,000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Restore, 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Xenon Gas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Neuroregeneration. Nervous system reset.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Research only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$500-1,500/session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NK-Cell Expansion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Immune upgrade. Supercharged surveillance.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Cancer trials only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$5,000-12,000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Peptide Protocols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Healing, recovery, cognition, tissue repair.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Limited via compounding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$300-1,500/mo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All tiers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Full Longevity Panel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Epigenetic age, telomere, hormone, microbiome, DEXA.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$2,000-5,000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$200-600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Restore, Renew</w:t>
            </w:r>
          </w:p>
        </w:tc>
      </w:tr>
      <w:tr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Daily Thai Massage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Genuine therapeutic benefit. Daily.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$120-200/session, not covered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$15-25/session</w:t>
            </w:r>
          </w:p>
        </w:tc>
        <w:tc>
          <w:tcPr>
            <w:tcBorders>
              <w:top w:val="single" w:color="D8D2C4" w:sz="1"/>
              <w:left w:val="single" w:color="D8D2C4" w:sz="1"/>
              <w:bottom w:val="single" w:color="D8D2C4" w:sz="1"/>
              <w:right w:val="single" w:color="D8D2C4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A2A28"/>
                <w:sz w:val="20"/>
                <w:szCs w:val="20"/>
              </w:rPr>
              <w:t xml:space="preserve">All tiers</w:t>
            </w:r>
          </w:p>
        </w:tc>
      </w:tr>
    </w:tbl>
    <w:p>
      <w:pPr>
        <w:pStyle w:val="Heading1"/>
        <w:pBdr>
          <w:bottom w:val="single" w:color="1B2B3A" w:sz="8" w:space="4"/>
        </w:pBdr>
        <w:spacing w:after="180" w:before="360"/>
      </w:pPr>
      <w:r>
        <w:rPr>
          <w:b/>
          <w:bCs/>
          <w:color w:val="1B2B3A"/>
        </w:rPr>
        <w:t xml:space="preserve">Fix 7 — Add Casanova Cares Section to Homepage</w:t>
      </w:r>
    </w:p>
    <w:p>
      <w:pPr>
        <w:spacing w:after="130"/>
      </w:pPr>
      <w:r>
        <w:rPr>
          <w:sz w:val="22"/>
          <w:szCs w:val="22"/>
        </w:rPr>
        <w:t xml:space="preserve">Add this as a short section near the bottom of the homepage, before the footer. Simple, honest, human.</w:t>
      </w:r>
    </w:p>
    <w:p>
      <w:pPr>
        <w:pStyle w:val="Heading2"/>
        <w:spacing w:after="100" w:before="260"/>
      </w:pPr>
      <w:r>
        <w:rPr>
          <w:color w:val="1B2B3A"/>
        </w:rPr>
        <w:t xml:space="preserve">Section headline</w:t>
      </w:r>
    </w:p>
    <w:p>
      <w:pPr>
        <w:shd w:fill="1B2B3A" w:val="clear"/>
        <w:spacing w:after="160" w:before="160"/>
        <w:ind w:left="180" w:right="180"/>
      </w:pPr>
      <w:r>
        <w:rPr>
          <w:b/>
          <w:bCs/>
          <w:color w:val="FFFFFF"/>
          <w:sz w:val="22"/>
          <w:szCs w:val="22"/>
        </w:rPr>
        <w:t xml:space="preserve">Casanova Cares</w:t>
      </w:r>
    </w:p>
    <w:p>
      <w:pPr>
        <w:pStyle w:val="Heading2"/>
        <w:spacing w:after="100" w:before="260"/>
      </w:pPr>
      <w:r>
        <w:rPr>
          <w:color w:val="1B2B3A"/>
        </w:rPr>
        <w:t xml:space="preserve">Section copy</w:t>
      </w:r>
    </w:p>
    <w:p>
      <w:pPr>
        <w:spacing w:after="130"/>
      </w:pPr>
      <w:r>
        <w:rPr>
          <w:sz w:val="22"/>
          <w:szCs w:val="22"/>
        </w:rPr>
        <w:t xml:space="preserve">A percentage of every program funds navigation access for patients who need it and cannot afford it.</w:t>
      </w:r>
    </w:p>
    <w:p>
      <w:pPr>
        <w:spacing w:after="130"/>
      </w:pPr>
      <w:r>
        <w:rPr>
          <w:sz w:val="22"/>
          <w:szCs w:val="22"/>
        </w:rPr>
        <w:t xml:space="preserve">The gap Casanova exists to close — between what is available in Bangkok and what Americans can access at home — should not only be available to those who can pay full price. Casanova Cares is our commitment to making sure it isn’t.</w:t>
      </w:r>
    </w:p>
    <w:p>
      <w:pPr>
        <w:spacing w:after="130"/>
      </w:pPr>
      <w:r>
        <w:rPr>
          <w:sz w:val="22"/>
          <w:szCs w:val="22"/>
        </w:rPr>
        <w:t xml:space="preserve">If you or someone you know needs support accessing care and financial constraints are a barrier, contact us directly at care@casanovamed.com.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2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2026-07-02T10:52:45.186Z</dcterms:created>
  <dcterms:modified xsi:type="dcterms:W3CDTF">2026-07-02T10:52:45.207Z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