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Georgia" w:hAnsi="Georgia"/>
          <w:b/>
          <w:i w:val="0"/>
          <w:color w:val="555555"/>
          <w:sz w:val="18"/>
        </w:rPr>
        <w:t>WORKING DOC · INTERNAL — BD &amp; PARTNERSHIPS</w:t>
      </w:r>
    </w:p>
    <w:p>
      <w:pPr>
        <w:spacing w:after="40"/>
      </w:pPr>
      <w:r>
        <w:rPr>
          <w:rFonts w:ascii="Georgia" w:hAnsi="Georgia"/>
          <w:b/>
          <w:color w:val="1A1A1A"/>
          <w:sz w:val="42"/>
        </w:rPr>
        <w:t>Casanova Medicals — Sponsored Visibility &amp; Partner Advertising</w:t>
      </w:r>
    </w:p>
    <w:p>
      <w:pPr>
        <w:spacing w:before="0" w:after="280"/>
      </w:pPr>
      <w:r>
        <w:rPr>
          <w:rFonts w:ascii="Georgia" w:hAnsi="Georgia"/>
          <w:b w:val="0"/>
          <w:i/>
          <w:color w:val="555555"/>
          <w:sz w:val="22"/>
        </w:rPr>
        <w:t>A near-term, non-IRB-dependent revenue line built on top of the existing patient navigation funnel</w:t>
      </w:r>
    </w:p>
    <w:p>
      <w:pPr>
        <w:spacing w:before="0" w:after="120"/>
      </w:pPr>
      <w:r>
        <w:rPr>
          <w:rFonts w:ascii="Georgia" w:hAnsi="Georgia"/>
          <w:b w:val="0"/>
          <w:i/>
          <w:color w:val="555555"/>
          <w:sz w:val="19"/>
        </w:rPr>
        <w:t>This sits under Casanova’s consumer marketplace model, not CIN Core’s data-licensing model. Casanova can monetize attention and referral placement today, without waiting on IRB approval or patient enrollment. Keep this pitch and the CIN Core investor pitch separate — one is an ad/marketplace business, the other is a neutral data-infrastructure business, and blending them undermines both.</w:t>
      </w:r>
    </w:p>
    <w:p>
      <w:pPr>
        <w:keepNext/>
        <w:spacing w:before="360" w:after="80"/>
        <w:pBdr>
          <w:bottom w:val="single" w:sz="6" w:space="4" w:color="7A1F1F"/>
        </w:pBdr>
      </w:pPr>
      <w:r>
        <w:rPr>
          <w:rFonts w:ascii="Georgia" w:hAnsi="Georgia"/>
          <w:b/>
          <w:color w:val="7A1F1F"/>
          <w:sz w:val="30"/>
        </w:rPr>
        <w:t>Who Pays, and Why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2448"/>
            <w:shd w:val="clear" w:color="auto" w:fill="1A1A1A"/>
          </w:tcPr>
          <w:p>
            <w:r/>
            <w:r>
              <w:rPr>
                <w:rFonts w:ascii="Georgia" w:hAnsi="Georgia"/>
                <w:b/>
                <w:color w:val="FFFFFF"/>
                <w:sz w:val="19"/>
              </w:rPr>
              <w:t>Buyer Category</w:t>
            </w:r>
          </w:p>
        </w:tc>
        <w:tc>
          <w:tcPr>
            <w:tcW w:type="dxa" w:w="3600"/>
            <w:shd w:val="clear" w:color="auto" w:fill="1A1A1A"/>
          </w:tcPr>
          <w:p>
            <w:r/>
            <w:r>
              <w:rPr>
                <w:rFonts w:ascii="Georgia" w:hAnsi="Georgia"/>
                <w:b/>
                <w:color w:val="FFFFFF"/>
                <w:sz w:val="19"/>
              </w:rPr>
              <w:t>Why They Pay</w:t>
            </w:r>
          </w:p>
        </w:tc>
        <w:tc>
          <w:tcPr>
            <w:tcW w:type="dxa" w:w="3312"/>
            <w:shd w:val="clear" w:color="auto" w:fill="1A1A1A"/>
          </w:tcPr>
          <w:p>
            <w:r/>
            <w:r>
              <w:rPr>
                <w:rFonts w:ascii="Georgia" w:hAnsi="Georgia"/>
                <w:b/>
                <w:color w:val="FFFFFF"/>
                <w:sz w:val="19"/>
              </w:rPr>
              <w:t>Example Prospects</w:t>
            </w:r>
          </w:p>
        </w:tc>
      </w:tr>
      <w:tr>
        <w:tc>
          <w:tcPr>
            <w:tcW w:type="dxa" w:w="2448"/>
          </w:tcPr>
          <w:p>
            <w:r/>
            <w:r>
              <w:rPr>
                <w:rFonts w:ascii="Georgia" w:hAnsi="Georgia"/>
                <w:color w:val="1A1A1A"/>
                <w:sz w:val="19"/>
              </w:rPr>
              <w:t>Partner clinics — regenerative/longevity, Bangkok</w:t>
            </w:r>
          </w:p>
        </w:tc>
        <w:tc>
          <w:tcPr>
            <w:tcW w:type="dxa" w:w="3600"/>
          </w:tcPr>
          <w:p>
            <w:r/>
            <w:r>
              <w:rPr>
                <w:rFonts w:ascii="Georgia" w:hAnsi="Georgia"/>
                <w:color w:val="1A1A1A"/>
                <w:sz w:val="19"/>
              </w:rPr>
              <w:t>Featured placement and referral volume from an affluent 55+ American audience already qualified and traveling for treatment</w:t>
            </w:r>
          </w:p>
        </w:tc>
        <w:tc>
          <w:tcPr>
            <w:tcW w:type="dxa" w:w="3312"/>
          </w:tcPr>
          <w:p>
            <w:r/>
            <w:r>
              <w:rPr>
                <w:rFonts w:ascii="Georgia" w:hAnsi="Georgia"/>
                <w:color w:val="1A1A1A"/>
                <w:sz w:val="19"/>
              </w:rPr>
              <w:t>Healthi Life (Ekkamai), EDNA Wellness, StemCells21, The Regeneration Center, Revival Clinic, Dr. StemCellsThailand</w:t>
            </w:r>
          </w:p>
        </w:tc>
      </w:tr>
      <w:tr>
        <w:tc>
          <w:tcPr>
            <w:tcW w:type="dxa" w:w="2448"/>
          </w:tcPr>
          <w:p>
            <w:r/>
            <w:r>
              <w:rPr>
                <w:rFonts w:ascii="Georgia" w:hAnsi="Georgia"/>
                <w:color w:val="1A1A1A"/>
                <w:sz w:val="19"/>
              </w:rPr>
              <w:t>Partner clinics — Vietnam &amp; Malaysia</w:t>
            </w:r>
          </w:p>
        </w:tc>
        <w:tc>
          <w:tcPr>
            <w:tcW w:type="dxa" w:w="3600"/>
          </w:tcPr>
          <w:p>
            <w:r/>
            <w:r>
              <w:rPr>
                <w:rFonts w:ascii="Georgia" w:hAnsi="Georgia"/>
                <w:color w:val="1A1A1A"/>
                <w:sz w:val="19"/>
              </w:rPr>
              <w:t>Same model as Bangkok, applied to the two adjacent expansion markets already named in the Casanova architecture</w:t>
            </w:r>
          </w:p>
        </w:tc>
        <w:tc>
          <w:tcPr>
            <w:tcW w:type="dxa" w:w="3312"/>
          </w:tcPr>
          <w:p>
            <w:r/>
            <w:r>
              <w:rPr>
                <w:rFonts w:ascii="Georgia" w:hAnsi="Georgia"/>
                <w:color w:val="1A1A1A"/>
                <w:sz w:val="19"/>
              </w:rPr>
              <w:t>To be scoped once Casanova’s Vietnam/Malaysia clinical partner list is finalized</w:t>
            </w:r>
          </w:p>
        </w:tc>
      </w:tr>
      <w:tr>
        <w:tc>
          <w:tcPr>
            <w:tcW w:type="dxa" w:w="2448"/>
          </w:tcPr>
          <w:p>
            <w:r/>
            <w:r>
              <w:rPr>
                <w:rFonts w:ascii="Georgia" w:hAnsi="Georgia"/>
                <w:color w:val="1A1A1A"/>
                <w:sz w:val="19"/>
              </w:rPr>
              <w:t>NAD+, peptide, exosome product brands</w:t>
            </w:r>
          </w:p>
        </w:tc>
        <w:tc>
          <w:tcPr>
            <w:tcW w:type="dxa" w:w="3600"/>
          </w:tcPr>
          <w:p>
            <w:r/>
            <w:r>
              <w:rPr>
                <w:rFonts w:ascii="Georgia" w:hAnsi="Georgia"/>
                <w:color w:val="1A1A1A"/>
                <w:sz w:val="19"/>
              </w:rPr>
              <w:t>Direct access to a consumer already inside a longevity-treatment journey — a much warmer audience than general wellness ad placement</w:t>
            </w:r>
          </w:p>
        </w:tc>
        <w:tc>
          <w:tcPr>
            <w:tcW w:type="dxa" w:w="3312"/>
          </w:tcPr>
          <w:p>
            <w:r/>
            <w:r>
              <w:rPr>
                <w:rFonts w:ascii="Georgia" w:hAnsi="Georgia"/>
                <w:color w:val="1A1A1A"/>
                <w:sz w:val="19"/>
              </w:rPr>
              <w:t>Wonderfeel, Tru Niagen, Life Extension, Elysium Health, Mitozen — as sponsored content or in-program product placement, not clinical endorsement</w:t>
            </w:r>
          </w:p>
        </w:tc>
      </w:tr>
      <w:tr>
        <w:tc>
          <w:tcPr>
            <w:tcW w:type="dxa" w:w="2448"/>
          </w:tcPr>
          <w:p>
            <w:r/>
            <w:r>
              <w:rPr>
                <w:rFonts w:ascii="Georgia" w:hAnsi="Georgia"/>
                <w:color w:val="1A1A1A"/>
                <w:sz w:val="19"/>
              </w:rPr>
              <w:t>Expat &amp; international health insurers</w:t>
            </w:r>
          </w:p>
        </w:tc>
        <w:tc>
          <w:tcPr>
            <w:tcW w:type="dxa" w:w="3600"/>
          </w:tcPr>
          <w:p>
            <w:r/>
            <w:r>
              <w:rPr>
                <w:rFonts w:ascii="Georgia" w:hAnsi="Georgia"/>
                <w:color w:val="1A1A1A"/>
                <w:sz w:val="19"/>
              </w:rPr>
              <w:t>Your 55+ American demographic is close to their target buyer for international/expat coverage</w:t>
            </w:r>
          </w:p>
        </w:tc>
        <w:tc>
          <w:tcPr>
            <w:tcW w:type="dxa" w:w="3312"/>
          </w:tcPr>
          <w:p>
            <w:r/>
            <w:r>
              <w:rPr>
                <w:rFonts w:ascii="Georgia" w:hAnsi="Georgia"/>
                <w:color w:val="1A1A1A"/>
                <w:sz w:val="19"/>
              </w:rPr>
              <w:t>Cigna Global, Pacific Cross, IMG (International Medical Group), Allianz Care</w:t>
            </w:r>
          </w:p>
        </w:tc>
      </w:tr>
      <w:tr>
        <w:tc>
          <w:tcPr>
            <w:tcW w:type="dxa" w:w="2448"/>
          </w:tcPr>
          <w:p>
            <w:r/>
            <w:r>
              <w:rPr>
                <w:rFonts w:ascii="Georgia" w:hAnsi="Georgia"/>
                <w:color w:val="1A1A1A"/>
                <w:sz w:val="19"/>
              </w:rPr>
              <w:t>Executive health / concierge medicine programs</w:t>
            </w:r>
          </w:p>
        </w:tc>
        <w:tc>
          <w:tcPr>
            <w:tcW w:type="dxa" w:w="3600"/>
          </w:tcPr>
          <w:p>
            <w:r/>
            <w:r>
              <w:rPr>
                <w:rFonts w:ascii="Georgia" w:hAnsi="Georgia"/>
                <w:color w:val="1A1A1A"/>
                <w:sz w:val="19"/>
              </w:rPr>
              <w:t>Overlaps with your long-stay and longevity funnels; natural cross-sell rather than competitor</w:t>
            </w:r>
          </w:p>
        </w:tc>
        <w:tc>
          <w:tcPr>
            <w:tcW w:type="dxa" w:w="3312"/>
          </w:tcPr>
          <w:p>
            <w:r/>
            <w:r>
              <w:rPr>
                <w:rFonts w:ascii="Georgia" w:hAnsi="Georgia"/>
                <w:color w:val="1A1A1A"/>
                <w:sz w:val="19"/>
              </w:rPr>
              <w:t>Regional executive health programs at partner hospitals (e.g., Bumrungrad, Samitivej networks) — sponsor a "second opinion" or diagnostics placement</w:t>
            </w:r>
          </w:p>
        </w:tc>
      </w:tr>
      <w:tr>
        <w:tc>
          <w:tcPr>
            <w:tcW w:type="dxa" w:w="2448"/>
          </w:tcPr>
          <w:p>
            <w:r/>
            <w:r>
              <w:rPr>
                <w:rFonts w:ascii="Georgia" w:hAnsi="Georgia"/>
                <w:color w:val="1A1A1A"/>
                <w:sz w:val="19"/>
              </w:rPr>
              <w:t>Medical tourism accreditation bodies</w:t>
            </w:r>
          </w:p>
        </w:tc>
        <w:tc>
          <w:tcPr>
            <w:tcW w:type="dxa" w:w="3600"/>
          </w:tcPr>
          <w:p>
            <w:r/>
            <w:r>
              <w:rPr>
                <w:rFonts w:ascii="Georgia" w:hAnsi="Georgia"/>
                <w:color w:val="1A1A1A"/>
                <w:sz w:val="19"/>
              </w:rPr>
              <w:t>Sponsorship of a "verified partner" badge ties their accreditation brand to your quality-control narrative</w:t>
            </w:r>
          </w:p>
        </w:tc>
        <w:tc>
          <w:tcPr>
            <w:tcW w:type="dxa" w:w="3312"/>
          </w:tcPr>
          <w:p>
            <w:r/>
            <w:r>
              <w:rPr>
                <w:rFonts w:ascii="Georgia" w:hAnsi="Georgia"/>
                <w:color w:val="1A1A1A"/>
                <w:sz w:val="19"/>
              </w:rPr>
              <w:t>JCI-accredited hospital programs, Thailand Ministry of Public Health medical tourism initiatives</w:t>
            </w:r>
          </w:p>
        </w:tc>
      </w:tr>
      <w:tr>
        <w:tc>
          <w:tcPr>
            <w:tcW w:type="dxa" w:w="2448"/>
          </w:tcPr>
          <w:p>
            <w:r/>
            <w:r>
              <w:rPr>
                <w:rFonts w:ascii="Georgia" w:hAnsi="Georgia"/>
                <w:color w:val="1A1A1A"/>
                <w:sz w:val="19"/>
              </w:rPr>
              <w:t>Long-stay &amp; retirement real estate / expat lifestyle brands</w:t>
            </w:r>
          </w:p>
        </w:tc>
        <w:tc>
          <w:tcPr>
            <w:tcW w:type="dxa" w:w="3600"/>
          </w:tcPr>
          <w:p>
            <w:r/>
            <w:r>
              <w:rPr>
                <w:rFonts w:ascii="Georgia" w:hAnsi="Georgia"/>
                <w:color w:val="1A1A1A"/>
                <w:sz w:val="19"/>
              </w:rPr>
              <w:t>Same retiree demographic as your existing long-stay funnel; near-zero incremental BD cost to add</w:t>
            </w:r>
          </w:p>
        </w:tc>
        <w:tc>
          <w:tcPr>
            <w:tcW w:type="dxa" w:w="3312"/>
          </w:tcPr>
          <w:p>
            <w:r/>
            <w:r>
              <w:rPr>
                <w:rFonts w:ascii="Georgia" w:hAnsi="Georgia"/>
                <w:color w:val="1A1A1A"/>
                <w:sz w:val="19"/>
              </w:rPr>
              <w:t>Regional long-stay developments and retirement-visa service providers already in the NTR/Experience Asia network</w:t>
            </w:r>
          </w:p>
        </w:tc>
      </w:tr>
      <w:tr>
        <w:tc>
          <w:tcPr>
            <w:tcW w:type="dxa" w:w="2448"/>
          </w:tcPr>
          <w:p>
            <w:r/>
            <w:r>
              <w:rPr>
                <w:rFonts w:ascii="Georgia" w:hAnsi="Georgia"/>
                <w:color w:val="1A1A1A"/>
                <w:sz w:val="19"/>
              </w:rPr>
              <w:t>CROs &amp; pharma trial sponsors</w:t>
            </w:r>
          </w:p>
        </w:tc>
        <w:tc>
          <w:tcPr>
            <w:tcW w:type="dxa" w:w="3600"/>
          </w:tcPr>
          <w:p>
            <w:r/>
            <w:r>
              <w:rPr>
                <w:rFonts w:ascii="Georgia" w:hAnsi="Georgia"/>
                <w:color w:val="1A1A1A"/>
                <w:sz w:val="19"/>
              </w:rPr>
              <w:t>Sponsored recruitment placement once real patient volume exists — separate line from CIN Core’s data-licensing recruitment revenue</w:t>
            </w:r>
          </w:p>
        </w:tc>
        <w:tc>
          <w:tcPr>
            <w:tcW w:type="dxa" w:w="3312"/>
          </w:tcPr>
          <w:p>
            <w:r/>
            <w:r>
              <w:rPr>
                <w:rFonts w:ascii="Georgia" w:hAnsi="Georgia"/>
                <w:color w:val="1A1A1A"/>
                <w:sz w:val="19"/>
              </w:rPr>
              <w:t>Evaluate once Casanova has 90-day outcomes data; premature before enrollment</w:t>
            </w:r>
          </w:p>
        </w:tc>
      </w:tr>
    </w:tbl>
    <w:p>
      <w:pPr>
        <w:spacing w:after="80"/>
      </w:pPr>
    </w:p>
    <w:p>
      <w:pPr>
        <w:keepNext/>
        <w:spacing w:before="360" w:after="80"/>
        <w:pBdr>
          <w:bottom w:val="single" w:sz="6" w:space="4" w:color="7A1F1F"/>
        </w:pBdr>
      </w:pPr>
      <w:r>
        <w:rPr>
          <w:rFonts w:ascii="Georgia" w:hAnsi="Georgia"/>
          <w:b/>
          <w:color w:val="7A1F1F"/>
          <w:sz w:val="30"/>
        </w:rPr>
        <w:t>Draft Rate Card</w:t>
      </w:r>
    </w:p>
    <w:p>
      <w:pPr>
        <w:spacing w:before="0" w:after="120"/>
      </w:pPr>
      <w:r>
        <w:rPr>
          <w:rFonts w:ascii="Georgia" w:hAnsi="Georgia"/>
          <w:b w:val="0"/>
          <w:i w:val="0"/>
          <w:color w:val="1A1A1A"/>
          <w:sz w:val="21"/>
        </w:rPr>
        <w:t>Illustrative starting points — validate against your actual funnel traffic and email list size before quoting. Position everything above "Verified Partner" tier as requiring your clinical quality review, so pricing doesn’t look like pure pay-to-play.</w:t>
      </w:r>
    </w:p>
    <w:tbl>
      <w:tblPr>
        <w:tblStyle w:val="TableGrid"/>
        <w:tblW w:type="auto" w:w="0"/>
        <w:jc w:val="center"/>
        <w:tblLayout w:type="fixed"/>
        <w:tblLook w:firstColumn="1" w:firstRow="1" w:lastColumn="0" w:lastRow="0" w:noHBand="0" w:noVBand="1" w:val="04A0"/>
      </w:tblPr>
      <w:tblGrid>
        <w:gridCol w:w="3216"/>
        <w:gridCol w:w="3216"/>
        <w:gridCol w:w="3216"/>
      </w:tblGrid>
      <w:tr>
        <w:tc>
          <w:tcPr>
            <w:tcW w:type="dxa" w:w="3024"/>
            <w:shd w:val="clear" w:color="auto" w:fill="1A1A1A"/>
          </w:tcPr>
          <w:p>
            <w:r/>
            <w:r>
              <w:rPr>
                <w:rFonts w:ascii="Georgia" w:hAnsi="Georgia"/>
                <w:b/>
                <w:color w:val="FFFFFF"/>
                <w:sz w:val="19"/>
              </w:rPr>
              <w:t>Placement</w:t>
            </w:r>
          </w:p>
        </w:tc>
        <w:tc>
          <w:tcPr>
            <w:tcW w:type="dxa" w:w="3888"/>
            <w:shd w:val="clear" w:color="auto" w:fill="1A1A1A"/>
          </w:tcPr>
          <w:p>
            <w:r/>
            <w:r>
              <w:rPr>
                <w:rFonts w:ascii="Georgia" w:hAnsi="Georgia"/>
                <w:b/>
                <w:color w:val="FFFFFF"/>
                <w:sz w:val="19"/>
              </w:rPr>
              <w:t>Format</w:t>
            </w:r>
          </w:p>
        </w:tc>
        <w:tc>
          <w:tcPr>
            <w:tcW w:type="dxa" w:w="2448"/>
            <w:shd w:val="clear" w:color="auto" w:fill="1A1A1A"/>
          </w:tcPr>
          <w:p>
            <w:r/>
            <w:r>
              <w:rPr>
                <w:rFonts w:ascii="Georgia" w:hAnsi="Georgia"/>
                <w:b/>
                <w:color w:val="FFFFFF"/>
                <w:sz w:val="19"/>
              </w:rPr>
              <w:t>Illustrative Price</w:t>
            </w:r>
          </w:p>
        </w:tc>
      </w:tr>
      <w:tr>
        <w:tc>
          <w:tcPr>
            <w:tcW w:type="dxa" w:w="3024"/>
          </w:tcPr>
          <w:p>
            <w:r/>
            <w:r>
              <w:rPr>
                <w:rFonts w:ascii="Georgia" w:hAnsi="Georgia"/>
                <w:color w:val="1A1A1A"/>
                <w:sz w:val="19"/>
              </w:rPr>
              <w:t>Directory featured listing</w:t>
            </w:r>
          </w:p>
        </w:tc>
        <w:tc>
          <w:tcPr>
            <w:tcW w:type="dxa" w:w="3888"/>
          </w:tcPr>
          <w:p>
            <w:r/>
            <w:r>
              <w:rPr>
                <w:rFonts w:ascii="Georgia" w:hAnsi="Georgia"/>
                <w:color w:val="1A1A1A"/>
                <w:sz w:val="19"/>
              </w:rPr>
              <w:t>Top-of-category placement in clinic/provider directory</w:t>
            </w:r>
          </w:p>
        </w:tc>
        <w:tc>
          <w:tcPr>
            <w:tcW w:type="dxa" w:w="2448"/>
          </w:tcPr>
          <w:p>
            <w:r/>
            <w:r>
              <w:rPr>
                <w:rFonts w:ascii="Georgia" w:hAnsi="Georgia"/>
                <w:color w:val="1A1A1A"/>
                <w:sz w:val="19"/>
              </w:rPr>
              <w:t>$500–$1,500 / month</w:t>
            </w:r>
          </w:p>
        </w:tc>
      </w:tr>
      <w:tr>
        <w:tc>
          <w:tcPr>
            <w:tcW w:type="dxa" w:w="3024"/>
          </w:tcPr>
          <w:p>
            <w:r/>
            <w:r>
              <w:rPr>
                <w:rFonts w:ascii="Georgia" w:hAnsi="Georgia"/>
                <w:color w:val="1A1A1A"/>
                <w:sz w:val="19"/>
              </w:rPr>
              <w:t>Verified Partner badge</w:t>
            </w:r>
          </w:p>
        </w:tc>
        <w:tc>
          <w:tcPr>
            <w:tcW w:type="dxa" w:w="3888"/>
          </w:tcPr>
          <w:p>
            <w:r/>
            <w:r>
              <w:rPr>
                <w:rFonts w:ascii="Georgia" w:hAnsi="Georgia"/>
                <w:color w:val="1A1A1A"/>
                <w:sz w:val="19"/>
              </w:rPr>
              <w:t>Recurring certification tied to clinical quality review</w:t>
            </w:r>
          </w:p>
        </w:tc>
        <w:tc>
          <w:tcPr>
            <w:tcW w:type="dxa" w:w="2448"/>
          </w:tcPr>
          <w:p>
            <w:r/>
            <w:r>
              <w:rPr>
                <w:rFonts w:ascii="Georgia" w:hAnsi="Georgia"/>
                <w:color w:val="1A1A1A"/>
                <w:sz w:val="19"/>
              </w:rPr>
              <w:t>$2,000–$5,000 / year</w:t>
            </w:r>
          </w:p>
        </w:tc>
      </w:tr>
      <w:tr>
        <w:tc>
          <w:tcPr>
            <w:tcW w:type="dxa" w:w="3024"/>
          </w:tcPr>
          <w:p>
            <w:r/>
            <w:r>
              <w:rPr>
                <w:rFonts w:ascii="Georgia" w:hAnsi="Georgia"/>
                <w:color w:val="1A1A1A"/>
                <w:sz w:val="19"/>
              </w:rPr>
              <w:t>Sponsored case study / content feature</w:t>
            </w:r>
          </w:p>
        </w:tc>
        <w:tc>
          <w:tcPr>
            <w:tcW w:type="dxa" w:w="3888"/>
          </w:tcPr>
          <w:p>
            <w:r/>
            <w:r>
              <w:rPr>
                <w:rFonts w:ascii="Georgia" w:hAnsi="Georgia"/>
                <w:color w:val="1A1A1A"/>
                <w:sz w:val="19"/>
              </w:rPr>
              <w:t>One-off editorial placement across site, email, social</w:t>
            </w:r>
          </w:p>
        </w:tc>
        <w:tc>
          <w:tcPr>
            <w:tcW w:type="dxa" w:w="2448"/>
          </w:tcPr>
          <w:p>
            <w:r/>
            <w:r>
              <w:rPr>
                <w:rFonts w:ascii="Georgia" w:hAnsi="Georgia"/>
                <w:color w:val="1A1A1A"/>
                <w:sz w:val="19"/>
              </w:rPr>
              <w:t>$1,000–$3,000 per feature</w:t>
            </w:r>
          </w:p>
        </w:tc>
      </w:tr>
      <w:tr>
        <w:tc>
          <w:tcPr>
            <w:tcW w:type="dxa" w:w="3024"/>
          </w:tcPr>
          <w:p>
            <w:r/>
            <w:r>
              <w:rPr>
                <w:rFonts w:ascii="Georgia" w:hAnsi="Georgia"/>
                <w:color w:val="1A1A1A"/>
                <w:sz w:val="19"/>
              </w:rPr>
              <w:t>Program sponsorship (product placement)</w:t>
            </w:r>
          </w:p>
        </w:tc>
        <w:tc>
          <w:tcPr>
            <w:tcW w:type="dxa" w:w="3888"/>
          </w:tcPr>
          <w:p>
            <w:r/>
            <w:r>
              <w:rPr>
                <w:rFonts w:ascii="Georgia" w:hAnsi="Georgia"/>
                <w:color w:val="1A1A1A"/>
                <w:sz w:val="19"/>
              </w:rPr>
              <w:t>Brand named as the supplier in a Casanova protocol tier — requires clinical sign-off</w:t>
            </w:r>
          </w:p>
        </w:tc>
        <w:tc>
          <w:tcPr>
            <w:tcW w:type="dxa" w:w="2448"/>
          </w:tcPr>
          <w:p>
            <w:r/>
            <w:r>
              <w:rPr>
                <w:rFonts w:ascii="Georgia" w:hAnsi="Georgia"/>
                <w:color w:val="1A1A1A"/>
                <w:sz w:val="19"/>
              </w:rPr>
              <w:t>$3,000–$10,000 / quarter, scales with patient volume</w:t>
            </w:r>
          </w:p>
        </w:tc>
      </w:tr>
      <w:tr>
        <w:tc>
          <w:tcPr>
            <w:tcW w:type="dxa" w:w="3024"/>
          </w:tcPr>
          <w:p>
            <w:r/>
            <w:r>
              <w:rPr>
                <w:rFonts w:ascii="Georgia" w:hAnsi="Georgia"/>
                <w:color w:val="1A1A1A"/>
                <w:sz w:val="19"/>
              </w:rPr>
              <w:t>Qualified referral fee</w:t>
            </w:r>
          </w:p>
        </w:tc>
        <w:tc>
          <w:tcPr>
            <w:tcW w:type="dxa" w:w="3888"/>
          </w:tcPr>
          <w:p>
            <w:r/>
            <w:r>
              <w:rPr>
                <w:rFonts w:ascii="Georgia" w:hAnsi="Georgia"/>
                <w:color w:val="1A1A1A"/>
                <w:sz w:val="19"/>
              </w:rPr>
              <w:t>Per patient referred and accepted by partner clinic</w:t>
            </w:r>
          </w:p>
        </w:tc>
        <w:tc>
          <w:tcPr>
            <w:tcW w:type="dxa" w:w="2448"/>
          </w:tcPr>
          <w:p>
            <w:r/>
            <w:r>
              <w:rPr>
                <w:rFonts w:ascii="Georgia" w:hAnsi="Georgia"/>
                <w:color w:val="1A1A1A"/>
                <w:sz w:val="19"/>
              </w:rPr>
              <w:t>$150–$500 per accepted referral</w:t>
            </w:r>
          </w:p>
        </w:tc>
      </w:tr>
      <w:tr>
        <w:tc>
          <w:tcPr>
            <w:tcW w:type="dxa" w:w="3024"/>
          </w:tcPr>
          <w:p>
            <w:r/>
            <w:r>
              <w:rPr>
                <w:rFonts w:ascii="Georgia" w:hAnsi="Georgia"/>
                <w:color w:val="1A1A1A"/>
                <w:sz w:val="19"/>
              </w:rPr>
              <w:t>Insurer / lifestyle brand newsletter placement</w:t>
            </w:r>
          </w:p>
        </w:tc>
        <w:tc>
          <w:tcPr>
            <w:tcW w:type="dxa" w:w="3888"/>
          </w:tcPr>
          <w:p>
            <w:r/>
            <w:r>
              <w:rPr>
                <w:rFonts w:ascii="Georgia" w:hAnsi="Georgia"/>
                <w:color w:val="1A1A1A"/>
                <w:sz w:val="19"/>
              </w:rPr>
              <w:t>Sponsored slot in patient/prospect email sequence</w:t>
            </w:r>
          </w:p>
        </w:tc>
        <w:tc>
          <w:tcPr>
            <w:tcW w:type="dxa" w:w="2448"/>
          </w:tcPr>
          <w:p>
            <w:r/>
            <w:r>
              <w:rPr>
                <w:rFonts w:ascii="Georgia" w:hAnsi="Georgia"/>
                <w:color w:val="1A1A1A"/>
                <w:sz w:val="19"/>
              </w:rPr>
              <w:t>$750–$2,000 per send</w:t>
            </w:r>
          </w:p>
        </w:tc>
      </w:tr>
    </w:tbl>
    <w:p>
      <w:pPr>
        <w:spacing w:after="80"/>
      </w:pPr>
    </w:p>
    <w:p>
      <w:pPr>
        <w:keepNext/>
        <w:spacing w:before="360" w:after="80"/>
        <w:pBdr>
          <w:bottom w:val="single" w:sz="6" w:space="4" w:color="7A1F1F"/>
        </w:pBdr>
      </w:pPr>
      <w:r>
        <w:rPr>
          <w:rFonts w:ascii="Georgia" w:hAnsi="Georgia"/>
          <w:b/>
          <w:color w:val="7A1F1F"/>
          <w:sz w:val="30"/>
        </w:rPr>
        <w:t>How This Fits the Build Sequence</w:t>
      </w:r>
    </w:p>
    <w:p>
      <w:pPr>
        <w:pStyle w:val="ListBullet"/>
        <w:spacing w:after="80"/>
      </w:pPr>
      <w:r>
        <w:rPr>
          <w:rFonts w:ascii="Georgia" w:hAnsi="Georgia"/>
          <w:color w:val="1A1A1A"/>
          <w:sz w:val="21"/>
        </w:rPr>
        <w:t>Turn this on before IRB approval and before CIN Core licensing — it needs a live directory/funnel, not patient data.</w:t>
      </w:r>
    </w:p>
    <w:p>
      <w:pPr>
        <w:pStyle w:val="ListBullet"/>
        <w:spacing w:after="80"/>
      </w:pPr>
      <w:r>
        <w:rPr>
          <w:rFonts w:ascii="Georgia" w:hAnsi="Georgia"/>
          <w:color w:val="1A1A1A"/>
          <w:sz w:val="21"/>
        </w:rPr>
        <w:t>Start with directory placement and referral fees for the Bangkok clinics already named above — lowest lift, fastest cash.</w:t>
      </w:r>
    </w:p>
    <w:p>
      <w:pPr>
        <w:pStyle w:val="ListBullet"/>
        <w:spacing w:after="80"/>
      </w:pPr>
      <w:r>
        <w:rPr>
          <w:rFonts w:ascii="Georgia" w:hAnsi="Georgia"/>
          <w:color w:val="1A1A1A"/>
          <w:sz w:val="21"/>
        </w:rPr>
        <w:t>Hold product sponsorship (NAD+/peptide brands) until there is a clinical review process in place, so it doesn’t read as an endorsement.</w:t>
      </w:r>
    </w:p>
    <w:p>
      <w:pPr>
        <w:pStyle w:val="ListBullet"/>
        <w:spacing w:after="80"/>
      </w:pPr>
      <w:r>
        <w:rPr>
          <w:rFonts w:ascii="Georgia" w:hAnsi="Georgia"/>
          <w:color w:val="1A1A1A"/>
          <w:sz w:val="21"/>
        </w:rPr>
        <w:t>Treat CRO/trial-sponsor placement as a later-stage line, gated on having real enrollment and outcomes data — don’t sell it before it exists.</w:t>
      </w:r>
    </w:p>
    <w:p>
      <w:pPr>
        <w:pStyle w:val="ListBullet"/>
        <w:spacing w:after="80"/>
      </w:pPr>
      <w:r>
        <w:rPr>
          <w:rFonts w:ascii="Georgia" w:hAnsi="Georgia"/>
          <w:color w:val="1A1A1A"/>
          <w:sz w:val="21"/>
        </w:rPr>
        <w:t>Keep this revenue line out of the CIN Core investor materials; reference it only as evidence Casanova is already revenue-generating.</w:t>
      </w:r>
    </w:p>
    <w:p>
      <w:pPr>
        <w:spacing w:before="0" w:after="120"/>
      </w:pPr>
      <w:r>
        <w:rPr>
          <w:rFonts w:ascii="Georgia" w:hAnsi="Georgia"/>
          <w:b w:val="0"/>
          <w:i w:val="0"/>
          <w:color w:val="1A1A1A"/>
          <w:sz w:val="21"/>
        </w:rPr>
      </w:r>
    </w:p>
    <w:p>
      <w:pPr>
        <w:spacing w:before="360"/>
      </w:pPr>
      <w:r>
        <w:rPr>
          <w:i/>
          <w:color w:val="555555"/>
          <w:sz w:val="17"/>
        </w:rPr>
        <w:t>Internal working document. Not for external distribution.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