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2B3A"/>
          <w:sz w:val="40"/>
          <w:szCs w:val="40"/>
        </w:rPr>
        <w:t xml:space="preserve">Casanova Medicals — Viability Assessment</w:t>
      </w:r>
    </w:p>
    <w:p>
      <w:pPr>
        <w:spacing w:after="40"/>
      </w:pPr>
      <w:r>
        <w:rPr>
          <w:color w:val="5C5C56"/>
          <w:sz w:val="24"/>
          <w:szCs w:val="24"/>
        </w:rPr>
        <w:t xml:space="preserve">Current model as-is, the supplement alternative, and what needs to be true for either to scale</w:t>
      </w:r>
    </w:p>
    <w:p>
      <w:pPr>
        <w:spacing w:after="240"/>
      </w:pPr>
      <w:r>
        <w:rPr>
          <w:i/>
          <w:iCs/>
          <w:color w:val="5C5C56"/>
          <w:sz w:val="20"/>
          <w:szCs w:val="20"/>
        </w:rPr>
        <w:t xml:space="preserve">Confidential — Internal strategy document</w:t>
      </w:r>
    </w:p>
    <w:p>
      <w:pPr>
        <w:pStyle w:val="Heading1"/>
        <w:pBdr>
          <w:bottom w:val="single" w:color="1B2B3A" w:sz="6" w:space="4"/>
        </w:pBdr>
        <w:spacing w:after="160" w:before="320"/>
      </w:pPr>
      <w:r>
        <w:rPr>
          <w:color w:val="1B2B3A"/>
        </w:rPr>
        <w:t xml:space="preserve">01 — What Casanova currently is</w:t>
      </w:r>
    </w:p>
    <w:p>
      <w:pPr>
        <w:spacing w:after="120"/>
      </w:pPr>
      <w:r>
        <w:t xml:space="preserve">As live at casanovamed.com, Casanova is positioned as a clinician-gated peptide and GLP-1 telehealth concierge. It does not manufacture or hold any product. The current offer structure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0"/>
            <w:tcBorders>
              <w:top w:val="single" w:color="D8D2C4" w:sz="1"/>
              <w:left w:val="single" w:color="D8D2C4" w:sz="1"/>
              <w:bottom w:val="single" w:color="D8D2C4" w:sz="1"/>
              <w:right w:val="single" w:color="D8D2C4" w:sz="1"/>
            </w:tcBorders>
            <w:shd w:fill="1B2B3A" w:val="clear"/>
            <w:tcMar>
              <w:top w:type="dxa" w:w="70"/>
              <w:left w:type="dxa" w:w="100"/>
              <w:bottom w:type="dxa" w:w="70"/>
              <w:right w:type="dxa" w:w="100"/>
            </w:tcMar>
          </w:tcPr>
          <w:p>
            <w:r>
              <w:rPr>
                <w:b/>
                <w:bCs/>
                <w:color w:val="FFFFFF"/>
                <w:sz w:val="19"/>
                <w:szCs w:val="19"/>
              </w:rPr>
              <w:t xml:space="preserve">Product</w:t>
            </w:r>
          </w:p>
        </w:tc>
        <w:tc>
          <w:tcPr>
            <w:tcW w:type="dxa" w:w="0"/>
            <w:tcBorders>
              <w:top w:val="single" w:color="D8D2C4" w:sz="1"/>
              <w:left w:val="single" w:color="D8D2C4" w:sz="1"/>
              <w:bottom w:val="single" w:color="D8D2C4" w:sz="1"/>
              <w:right w:val="single" w:color="D8D2C4" w:sz="1"/>
            </w:tcBorders>
            <w:shd w:fill="1B2B3A" w:val="clear"/>
            <w:tcMar>
              <w:top w:type="dxa" w:w="70"/>
              <w:left w:type="dxa" w:w="100"/>
              <w:bottom w:type="dxa" w:w="70"/>
              <w:right w:type="dxa" w:w="100"/>
            </w:tcMar>
          </w:tcPr>
          <w:p>
            <w:r>
              <w:rPr>
                <w:b/>
                <w:bCs/>
                <w:color w:val="FFFFFF"/>
                <w:sz w:val="19"/>
                <w:szCs w:val="19"/>
              </w:rPr>
              <w:t xml:space="preserve">Price</w:t>
            </w:r>
          </w:p>
        </w:tc>
        <w:tc>
          <w:tcPr>
            <w:tcW w:type="dxa" w:w="0"/>
            <w:tcBorders>
              <w:top w:val="single" w:color="D8D2C4" w:sz="1"/>
              <w:left w:val="single" w:color="D8D2C4" w:sz="1"/>
              <w:bottom w:val="single" w:color="D8D2C4" w:sz="1"/>
              <w:right w:val="single" w:color="D8D2C4" w:sz="1"/>
            </w:tcBorders>
            <w:shd w:fill="1B2B3A" w:val="clear"/>
            <w:tcMar>
              <w:top w:type="dxa" w:w="70"/>
              <w:left w:type="dxa" w:w="100"/>
              <w:bottom w:type="dxa" w:w="70"/>
              <w:right w:type="dxa" w:w="100"/>
            </w:tcMar>
          </w:tcPr>
          <w:p>
            <w:r>
              <w:rPr>
                <w:b/>
                <w:bCs/>
                <w:color w:val="FFFFFF"/>
                <w:sz w:val="19"/>
                <w:szCs w:val="19"/>
              </w:rPr>
              <w:t xml:space="preserve">What it actually is</w:t>
            </w:r>
          </w:p>
        </w:tc>
      </w:tr>
      <w:tr>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Peptide Eligibility Review</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$149 one-time</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Intake review, clinician determines fit for Metabolic / Recovery / Longevity, written next-step summary</w:t>
            </w:r>
          </w:p>
        </w:tc>
      </w:tr>
      <w:tr>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Metabolic Care Membership</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$249/mo</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Ongoing coordination for patients approved for GLP-1-related care — check-ins, dose-change coordination</w:t>
            </w:r>
          </w:p>
        </w:tc>
      </w:tr>
      <w:tr>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Recovery / Longevity Protocol Review</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$179 one-time</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Clinician-guided review for recovery or longevity-oriented peptide interest</w:t>
            </w:r>
          </w:p>
        </w:tc>
      </w:tr>
      <w:tr>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Lab and Records Review</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$99 add-on</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Optional review of labs/vitals/medication list to support the eligibility decision</w:t>
            </w:r>
          </w:p>
        </w:tc>
      </w:tr>
      <w:tr>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Care Navigation</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$399/mo</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High-touch coordination — scheduling, pharmacy communication, reminders</w:t>
            </w:r>
          </w:p>
        </w:tc>
      </w:tr>
    </w:tbl>
    <w:p>
      <w:pPr>
        <w:spacing w:after="120"/>
      </w:pPr>
      <w:r>
        <w:t xml:space="preserve">The site is explicit that pricing covers “care coordination, review, and support services only” and that “medication, pharmacy, shipping, labs, and third-party clinical costs may be billed separately.” This is the central fact about the current model: every fee on the site is a coordination/advisory fee. No fee is tied to a product Casanova fulfills itself.</w:t>
      </w:r>
    </w:p>
    <w:p>
      <w:pPr>
        <w:pStyle w:val="Heading1"/>
        <w:pBdr>
          <w:bottom w:val="single" w:color="1B2B3A" w:sz="6" w:space="4"/>
        </w:pBdr>
        <w:spacing w:after="160" w:before="320"/>
      </w:pPr>
      <w:r>
        <w:rPr>
          <w:color w:val="1B2B3A"/>
        </w:rPr>
        <w:t xml:space="preserve">02 — What this model needs to be viable</w:t>
      </w:r>
    </w:p>
    <w:p>
      <w:pPr>
        <w:spacing w:after="120"/>
      </w:pPr>
      <w:r>
        <w:t xml:space="preserve">Stripped to its core, Casanova-as-is is a broker sitting between a patient and the actual prescribing/fulfillment infrastructure (clinicians who can prescribe, and a pharmacy that can dispense). The eligibility review and coordination fees are real services, but they only have somewhere to go — and therefore only retain paying customers — if that infrastructure exists on the other side of an approval.</w:t>
      </w:r>
    </w:p>
    <w:p>
      <w:pPr>
        <w:pStyle w:val="Heading2"/>
        <w:spacing w:after="100" w:before="240"/>
      </w:pPr>
      <w:r>
        <w:rPr>
          <w:color w:val="1B2B3A"/>
        </w:rPr>
        <w:t xml:space="preserve">The infrastructure gap</w:t>
      </w:r>
    </w:p>
    <w:p>
      <w:pPr>
        <w:pStyle w:val="ListParagraph"/>
        <w:numPr>
          <w:ilvl w:val="0"/>
          <w:numId w:val="2"/>
        </w:numPr>
        <w:spacing w:after="60"/>
      </w:pPr>
      <w:r>
        <w:t xml:space="preserve">A network of clinicians licensed to prescribe in the states/jurisdictions Casanova serves, for the specific categories reviewed (GLP-1, peptides, compounded products)</w:t>
      </w:r>
    </w:p>
    <w:p>
      <w:pPr>
        <w:pStyle w:val="ListParagraph"/>
        <w:numPr>
          <w:ilvl w:val="0"/>
          <w:numId w:val="2"/>
        </w:numPr>
        <w:spacing w:after="60"/>
      </w:pPr>
      <w:r>
        <w:t xml:space="preserve">A pharmacy relationship — compounding or retail — that can actually fulfill an approved prescription</w:t>
      </w:r>
    </w:p>
    <w:p>
      <w:pPr>
        <w:pStyle w:val="ListParagraph"/>
        <w:numPr>
          <w:ilvl w:val="0"/>
          <w:numId w:val="2"/>
        </w:numPr>
        <w:spacing w:after="60"/>
      </w:pPr>
      <w:r>
        <w:t xml:space="preserve">Compliance infrastructure proportional to prescription-grade care: state-by-state licensing, controlled-substance handling where relevant, pharmacy partnership agreements</w:t>
      </w:r>
    </w:p>
    <w:p>
      <w:pPr>
        <w:spacing w:after="120"/>
      </w:pPr>
      <w:r>
        <w:t xml:space="preserve">None of this is visible on the current site. Until it exists, “approved” has nowhere concrete to go — the patient pays $149, is told they're a candidate, and then needs to separately source the actual medication through channels Casanova doesn't provide. That breaks the value chain at the exact point a paying customer expects delivery.</w:t>
      </w:r>
    </w:p>
    <w:p>
      <w:pPr>
        <w:pStyle w:val="Heading1"/>
        <w:pBdr>
          <w:bottom w:val="single" w:color="1B2B3A" w:sz="6" w:space="4"/>
        </w:pBdr>
        <w:spacing w:after="160" w:before="320"/>
      </w:pPr>
      <w:r>
        <w:rPr>
          <w:color w:val="1B2B3A"/>
        </w:rPr>
        <w:t xml:space="preserve">03 — Why this is a harder path than it looks</w:t>
      </w:r>
    </w:p>
    <w:p>
      <w:pPr>
        <w:spacing w:after="120"/>
      </w:pPr>
      <w:r>
        <w:t xml:space="preserve">Three factors make the peptide/GLP-1 telehealth category specifically difficult for Casanova as a first product:</w:t>
      </w:r>
    </w:p>
    <w:p>
      <w:pPr>
        <w:pStyle w:val="Heading2"/>
        <w:spacing w:after="100" w:before="240"/>
      </w:pPr>
      <w:r>
        <w:rPr>
          <w:color w:val="1B2B3A"/>
        </w:rPr>
        <w:t xml:space="preserve">Crowded, well-funded category</w:t>
      </w:r>
    </w:p>
    <w:p>
      <w:pPr>
        <w:spacing w:after="120"/>
      </w:pPr>
      <w:r>
        <w:t xml:space="preserve">Ro, Found, Henry Meds, Noom Med and others already operate bundled models — one monthly price that includes medication, pharmacy fulfillment, and clinician access. A patient comparing options sees Casanova's unbundled fee (“$249/mo coordination, medication billed separately”) as more expensive and less certain, even if the underlying clinical process is more careful.</w:t>
      </w:r>
    </w:p>
    <w:p>
      <w:pPr>
        <w:pStyle w:val="Heading2"/>
        <w:spacing w:after="100" w:before="240"/>
      </w:pPr>
      <w:r>
        <w:rPr>
          <w:color w:val="1B2B3A"/>
        </w:rPr>
        <w:t xml:space="preserve">Long infrastructure runway</w:t>
      </w:r>
    </w:p>
    <w:p>
      <w:pPr>
        <w:spacing w:after="120"/>
      </w:pPr>
      <w:r>
        <w:t xml:space="preserve">Building the prescriber network and pharmacy relationship that would make the current offer deliverable is a multi-month undertaking involving state-by-state licensing and partnership negotiation — not something that can be solved with a website change or a development sprint.</w:t>
      </w:r>
    </w:p>
    <w:p>
      <w:pPr>
        <w:pStyle w:val="Heading2"/>
        <w:spacing w:after="100" w:before="240"/>
      </w:pPr>
      <w:r>
        <w:rPr>
          <w:color w:val="1B2B3A"/>
        </w:rPr>
        <w:t xml:space="preserve">Thin standalone economics</w:t>
      </w:r>
    </w:p>
    <w:p>
      <w:pPr>
        <w:spacing w:after="120"/>
      </w:pPr>
      <w:r>
        <w:t xml:space="preserve">If the coordination fees are genuinely the entire revenue (no fulfillment-side margin), $149 one-time and $249–399/mo for an eligibility opinion and scheduling support is a difficult price to defend against bundled competitors, and difficult to scale without the volume that bundled medication margin typically subsidises.</w:t>
      </w:r>
    </w:p>
    <w:p>
      <w:pPr>
        <w:pStyle w:val="Heading1"/>
        <w:pBdr>
          <w:bottom w:val="single" w:color="1B2B3A" w:sz="6" w:space="4"/>
        </w:pBdr>
        <w:spacing w:after="160" w:before="320"/>
      </w:pPr>
      <w:r>
        <w:rPr>
          <w:color w:val="1B2B3A"/>
        </w:rPr>
        <w:t xml:space="preserve">04 — The alternative: the supplement-based program (CPP)</w:t>
      </w:r>
    </w:p>
    <w:p>
      <w:pPr>
        <w:spacing w:after="120"/>
      </w:pPr>
      <w:r>
        <w:t xml:space="preserve">A parallel program already specced (the Casanova Protocol Program / CPP) replaces the prescription-dependent product with an OTC supplement subscription, while keeping the clinician-gate trust mechanism that differentiates Casanova from a generic supplement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0"/>
            <w:tcBorders>
              <w:top w:val="single" w:color="D8D2C4" w:sz="1"/>
              <w:left w:val="single" w:color="D8D2C4" w:sz="1"/>
              <w:bottom w:val="single" w:color="D8D2C4" w:sz="1"/>
              <w:right w:val="single" w:color="D8D2C4" w:sz="1"/>
            </w:tcBorders>
            <w:shd w:fill="1B2B3A" w:val="clear"/>
            <w:tcMar>
              <w:top w:type="dxa" w:w="70"/>
              <w:left w:type="dxa" w:w="100"/>
              <w:bottom w:type="dxa" w:w="70"/>
              <w:right w:type="dxa" w:w="100"/>
            </w:tcMar>
          </w:tcPr>
          <w:p>
            <w:r>
              <w:rPr>
                <w:b/>
                <w:bCs/>
                <w:color w:val="FFFFFF"/>
                <w:sz w:val="19"/>
                <w:szCs w:val="19"/>
              </w:rPr>
              <w:t xml:space="preserve"/>
            </w:r>
          </w:p>
        </w:tc>
        <w:tc>
          <w:tcPr>
            <w:tcW w:type="dxa" w:w="0"/>
            <w:tcBorders>
              <w:top w:val="single" w:color="D8D2C4" w:sz="1"/>
              <w:left w:val="single" w:color="D8D2C4" w:sz="1"/>
              <w:bottom w:val="single" w:color="D8D2C4" w:sz="1"/>
              <w:right w:val="single" w:color="D8D2C4" w:sz="1"/>
            </w:tcBorders>
            <w:shd w:fill="1B2B3A" w:val="clear"/>
            <w:tcMar>
              <w:top w:type="dxa" w:w="70"/>
              <w:left w:type="dxa" w:w="100"/>
              <w:bottom w:type="dxa" w:w="70"/>
              <w:right w:type="dxa" w:w="100"/>
            </w:tcMar>
          </w:tcPr>
          <w:p>
            <w:r>
              <w:rPr>
                <w:b/>
                <w:bCs/>
                <w:color w:val="FFFFFF"/>
                <w:sz w:val="19"/>
                <w:szCs w:val="19"/>
              </w:rPr>
              <w:t xml:space="preserve">Casanova as-is (peptide/GLP-1)</w:t>
            </w:r>
          </w:p>
        </w:tc>
        <w:tc>
          <w:tcPr>
            <w:tcW w:type="dxa" w:w="0"/>
            <w:tcBorders>
              <w:top w:val="single" w:color="D8D2C4" w:sz="1"/>
              <w:left w:val="single" w:color="D8D2C4" w:sz="1"/>
              <w:bottom w:val="single" w:color="D8D2C4" w:sz="1"/>
              <w:right w:val="single" w:color="D8D2C4" w:sz="1"/>
            </w:tcBorders>
            <w:shd w:fill="1B2B3A" w:val="clear"/>
            <w:tcMar>
              <w:top w:type="dxa" w:w="70"/>
              <w:left w:type="dxa" w:w="100"/>
              <w:bottom w:type="dxa" w:w="70"/>
              <w:right w:type="dxa" w:w="100"/>
            </w:tcMar>
          </w:tcPr>
          <w:p>
            <w:r>
              <w:rPr>
                <w:b/>
                <w:bCs/>
                <w:color w:val="FFFFFF"/>
                <w:sz w:val="19"/>
                <w:szCs w:val="19"/>
              </w:rPr>
              <w:t xml:space="preserve">CPP (supplement protocol)</w:t>
            </w:r>
          </w:p>
        </w:tc>
      </w:tr>
      <w:tr>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Product</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Prescription medication — Casanova doesn't fulfill</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Protocol A / B — OTC supplement, sourced from Crius, Casanova fulfills directly</w:t>
            </w:r>
          </w:p>
        </w:tc>
      </w:tr>
      <w:tr>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Regulatory floor</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Prescriber licensing, pharmacy partnership, controlled-substance handling</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Advisory clinician review only — no prescribing required</w:t>
            </w:r>
          </w:p>
        </w:tc>
      </w:tr>
      <w:tr>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Revenue</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Coordination fees only, unless fulfillment-side relationship exists</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$249/mo direct, COGS ≈ $9.45/mo — large margin from day one</w:t>
            </w:r>
          </w:p>
        </w:tc>
      </w:tr>
      <w:tr>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Time to first revenue</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Dependent on prescriber/pharmacy infrastructure — months</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Architecture already specced (CPP build) — weeks</w:t>
            </w:r>
          </w:p>
        </w:tc>
      </w:tr>
      <w:tr>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Differentiation vs. competitors</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Same category as Ro/Found/Henry Meds, unbundled pricing is a disadvantage</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Clinician-reviewed + outcomes-tracked supplement subscription — no direct equivalent in supplement category</w:t>
            </w:r>
          </w:p>
        </w:tc>
      </w:tr>
      <w:tr>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Data asset</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None inherent to the model</w:t>
            </w:r>
          </w:p>
        </w:tc>
        <w:tc>
          <w:tcPr>
            <w:tcW w:type="dxa" w:w="0"/>
            <w:tcBorders>
              <w:top w:val="single" w:color="D8D2C4" w:sz="1"/>
              <w:left w:val="single" w:color="D8D2C4" w:sz="1"/>
              <w:bottom w:val="single" w:color="D8D2C4" w:sz="1"/>
              <w:right w:val="single" w:color="D8D2C4" w:sz="1"/>
            </w:tcBorders>
            <w:tcMar>
              <w:top w:type="dxa" w:w="70"/>
              <w:left w:type="dxa" w:w="100"/>
              <w:bottom w:type="dxa" w:w="70"/>
              <w:right w:type="dxa" w:w="100"/>
            </w:tcMar>
          </w:tcPr>
          <w:p>
            <w:r>
              <w:rPr>
                <w:b w:val="false"/>
                <w:bCs w:val="false"/>
                <w:color w:val="2A2A28"/>
                <w:sz w:val="19"/>
                <w:szCs w:val="19"/>
              </w:rPr>
              <w:t xml:space="preserve">§07A longitudinal outcomes dataset (adherence, energy, sleep, goal progress) from day one</w:t>
            </w:r>
          </w:p>
        </w:tc>
      </w:tr>
    </w:tbl>
    <w:p>
      <w:pPr>
        <w:spacing w:after="120"/>
      </w:pPr>
      <w:r>
        <w:t xml:space="preserve">CPP is not a lesser version of Casanova — it is a version with no missing infrastructure. The clinician review, intake, Stripe enrollment flow, AI concierge, and outcomes tracking are all already designed (see Casanova Protocol Program Integration Spec). The only thing CPP removes is the dependency on a prescriber/pharmacy network that doesn't yet exist.</w:t>
      </w:r>
    </w:p>
    <w:p>
      <w:pPr>
        <w:pStyle w:val="Heading1"/>
        <w:pBdr>
          <w:bottom w:val="single" w:color="1B2B3A" w:sz="6" w:space="4"/>
        </w:pBdr>
        <w:spacing w:after="160" w:before="320"/>
      </w:pPr>
      <w:r>
        <w:rPr>
          <w:color w:val="1B2B3A"/>
        </w:rPr>
        <w:t xml:space="preserve">05 — How Casanova-as-is needs to evolve to be viable</w:t>
      </w:r>
    </w:p>
    <w:p>
      <w:pPr>
        <w:spacing w:after="120"/>
      </w:pPr>
      <w:r>
        <w:t xml:space="preserve">If the peptide/GLP-1 positioning is retained, three things need to become true before the current pricing and offer structure represents real, deliverable value:</w:t>
      </w:r>
    </w:p>
    <w:p>
      <w:pPr>
        <w:pStyle w:val="ListParagraph"/>
        <w:numPr>
          <w:ilvl w:val="0"/>
          <w:numId w:val="3"/>
        </w:numPr>
        <w:spacing w:after="80"/>
      </w:pPr>
      <w:r>
        <w:t xml:space="preserve">Secure a prescriber network. Licensed clinicians who can issue prescriptions for GLP-1 and peptide therapies in the jurisdictions Casanova intends to serve — not just clinicians who review eligibility, but clinicians who can complete the loop to an actual prescription.</w:t>
      </w:r>
    </w:p>
    <w:p>
      <w:pPr>
        <w:pStyle w:val="ListParagraph"/>
        <w:numPr>
          <w:ilvl w:val="0"/>
          <w:numId w:val="3"/>
        </w:numPr>
        <w:spacing w:after="80"/>
      </w:pPr>
      <w:r>
        <w:t xml:space="preserve">Secure a pharmacy relationship. A compounding or retail pharmacy able to fulfill approved prescriptions, ideally with terms that let Casanova capture margin on fulfillment — this is what would make the coordination fees defensible against bundled competitors, by either bundling medication into the price or demonstrating the coordination fee buys access to fulfillment that wouldn't otherwise exist.</w:t>
      </w:r>
    </w:p>
    <w:p>
      <w:pPr>
        <w:pStyle w:val="ListParagraph"/>
        <w:numPr>
          <w:ilvl w:val="0"/>
          <w:numId w:val="3"/>
        </w:numPr>
        <w:spacing w:after="80"/>
      </w:pPr>
      <w:r>
        <w:t xml:space="preserve">Re-test pricing against a bundled comparison. Once fulfillment exists, re-evaluate whether $149 + $249–399/mo unbundled is the right structure, or whether a bundled monthly price (medication + coordination, similar to competitors) converts better — the current unbundled structure may be appropriate for a B2B/white-label angle but is a harder sell direct-to-consumer.</w:t>
      </w:r>
    </w:p>
    <w:p>
      <w:pPr>
        <w:shd w:fill="B5651D" w:val="clear"/>
        <w:spacing w:after="160" w:before="160"/>
        <w:ind w:left="0"/>
        <w:jc w:val="left"/>
      </w:pPr>
      <w:r>
        <w:rPr>
          <w:b/>
          <w:bCs/>
          <w:color w:val="FFFFFF"/>
          <w:sz w:val="21"/>
          <w:szCs w:val="21"/>
        </w:rPr>
        <w:t xml:space="preserve">Until steps 1 and 2 are in place, the current site is selling access to something it cannot yet deliver.</w:t>
      </w:r>
    </w:p>
    <w:p>
      <w:pPr>
        <w:pStyle w:val="Heading1"/>
        <w:pBdr>
          <w:bottom w:val="single" w:color="1B2B3A" w:sz="6" w:space="4"/>
        </w:pBdr>
        <w:spacing w:after="160" w:before="320"/>
      </w:pPr>
      <w:r>
        <w:rPr>
          <w:color w:val="1B2B3A"/>
        </w:rPr>
        <w:t xml:space="preserve">06 — Recommendation</w:t>
      </w:r>
    </w:p>
    <w:p>
      <w:pPr>
        <w:spacing w:after="120"/>
      </w:pPr>
      <w:r>
        <w:t xml:space="preserve">Pursue CPP as the near-term path to revenue and traction, while treating the peptide/GLP-1 positioning as a longer-term evolution that depends on infrastructure not yet built.</w:t>
      </w:r>
    </w:p>
    <w:p>
      <w:pPr>
        <w:pStyle w:val="Heading2"/>
        <w:spacing w:after="100" w:before="240"/>
      </w:pPr>
      <w:r>
        <w:rPr>
          <w:color w:val="1B2B3A"/>
        </w:rPr>
        <w:t xml:space="preserve">Why this sequencing</w:t>
      </w:r>
    </w:p>
    <w:p>
      <w:pPr>
        <w:pStyle w:val="ListParagraph"/>
        <w:numPr>
          <w:ilvl w:val="0"/>
          <w:numId w:val="2"/>
        </w:numPr>
        <w:spacing w:after="60"/>
      </w:pPr>
      <w:r>
        <w:t xml:space="preserve">CPP requires no new partnerships, licensing, or regulatory groundwork beyond what's already specced — it can move to build immediately</w:t>
      </w:r>
    </w:p>
    <w:p>
      <w:pPr>
        <w:pStyle w:val="ListParagraph"/>
        <w:numPr>
          <w:ilvl w:val="0"/>
          <w:numId w:val="2"/>
        </w:numPr>
        <w:spacing w:after="60"/>
      </w:pPr>
      <w:r>
        <w:t xml:space="preserve">CPP generates real revenue and real outcomes data from day one (§07A), which is useful regardless of which direction Casanova takes next</w:t>
      </w:r>
    </w:p>
    <w:p>
      <w:pPr>
        <w:pStyle w:val="ListParagraph"/>
        <w:numPr>
          <w:ilvl w:val="0"/>
          <w:numId w:val="2"/>
        </w:numPr>
        <w:spacing w:after="60"/>
      </w:pPr>
      <w:r>
        <w:t xml:space="preserve">The clinician-gate trust mechanism, intake flow, AI concierge, and Stripe architecture all transfer directly to a future peptide/GLP-1 offer once prescriber and pharmacy infrastructure exists — nothing built for CPP is wasted if Casanova later adds prescription-based care</w:t>
      </w:r>
    </w:p>
    <w:p>
      <w:pPr>
        <w:pStyle w:val="ListParagraph"/>
        <w:numPr>
          <w:ilvl w:val="0"/>
          <w:numId w:val="2"/>
        </w:numPr>
        <w:spacing w:after="60"/>
      </w:pPr>
      <w:r>
        <w:t xml:space="preserve">Pursuing peptide/GLP-1 as the only product now means months of infrastructure-building before any revenue, with a crowded category and an unbundled price disadvantage waiting at the end of it</w:t>
      </w:r>
    </w:p>
    <w:p>
      <w:pPr>
        <w:pStyle w:val="Heading2"/>
        <w:spacing w:after="100" w:before="240"/>
      </w:pPr>
      <w:r>
        <w:rPr>
          <w:color w:val="1B2B3A"/>
        </w:rPr>
        <w:t xml:space="preserve">What this looks like in practice</w:t>
      </w:r>
    </w:p>
    <w:p>
      <w:pPr>
        <w:spacing w:after="120"/>
      </w:pPr>
      <w:r>
        <w:t xml:space="preserve">Casanova's public positioning narrows, for now, to the clinician-reviewed supplement program (CPP) — free eligibility intake, clinician review, approved patients receive Protocol A and/or B at $249/mo, with monthly outcomes tracking. The peptide/GLP-1 language, multi-tier pricing (Lab Review, Care Navigation, separate Recovery/Longevity consults), and pharmacy-path references are removed from the live site until the underlying infrastructure (§05, steps 1–2) is actually in place — at which point peptide/GLP-1 care can be reintroduced as a second, higher tier, built on top of a program that already has paying patients, clinician relationships, and outcomes data to point to.</w:t>
      </w:r>
    </w:p>
    <w:p>
      <w:pPr>
        <w:spacing w:after="120"/>
      </w:pPr>
      <w:r>
        <w:rPr>
          <w:i/>
          <w:iCs/>
        </w:rPr>
        <w:t xml:space="preserve">This is the sequencing already established for CPP's own build (§12–13 of the Integration Spec: ship the simple version, prove the model, then layer in the bigger capability) — applied one level up, to Casanova's overall positioning rather than just CPP's internal architecture.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B3A"/>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B2B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2026-06-14T09:44:30.255Z</dcterms:created>
  <dcterms:modified xsi:type="dcterms:W3CDTF">2026-06-14T09:44:30.275Z</dcterms:modified>
</cp:coreProperties>
</file>

<file path=docProps/custom.xml><?xml version="1.0" encoding="utf-8"?>
<Properties xmlns="http://schemas.openxmlformats.org/officeDocument/2006/custom-properties" xmlns:vt="http://schemas.openxmlformats.org/officeDocument/2006/docPropsVTypes"/>
</file>