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52"/>
          <w:szCs w:val="52"/>
        </w:rPr>
        <w:t xml:space="preserve">CASANOVA MEDICALS</w:t>
      </w:r>
    </w:p>
    <w:p>
      <w:pPr>
        <w:spacing w:after="60"/>
      </w:pPr>
      <w:r>
        <w:rPr>
          <w:b/>
          <w:bCs/>
          <w:color w:val="A8332B"/>
          <w:sz w:val="36"/>
          <w:szCs w:val="36"/>
        </w:rPr>
        <w:t xml:space="preserve">The International Access Platform</w:t>
      </w:r>
    </w:p>
    <w:p>
      <w:pPr>
        <w:spacing w:after="400"/>
      </w:pPr>
      <w:r>
        <w:rPr>
          <w:i/>
          <w:iCs/>
          <w:color w:val="5C5C56"/>
          <w:sz w:val="22"/>
          <w:szCs w:val="22"/>
        </w:rPr>
        <w:t xml:space="preserve">White Label Partnership Program — For practices ready to offer their patients what the US system cannot.</w:t>
      </w:r>
    </w:p>
    <w:p>
      <w:pPr>
        <w:pStyle w:val="Heading1"/>
        <w:pBdr>
          <w:bottom w:val="single" w:color="1B2B3A" w:sz="8" w:space="4"/>
        </w:pBdr>
        <w:spacing w:after="180" w:before="360"/>
      </w:pPr>
      <w:r>
        <w:rPr>
          <w:b/>
          <w:bCs/>
          <w:color w:val="1B2B3A"/>
        </w:rPr>
        <w:t xml:space="preserve">Your Patients Are Furious. So Are Ours.</w:t>
      </w:r>
    </w:p>
    <w:p>
      <w:pPr>
        <w:spacing w:after="130"/>
      </w:pPr>
      <w:r>
        <w:rPr>
          <w:sz w:val="22"/>
          <w:szCs w:val="22"/>
        </w:rPr>
        <w:t xml:space="preserve">47% of Americans say they cannot afford healthcare in 2026. The highest level ever recorded. Health insurance premiums up 22% this year. Individual deductibles hitting $8,000 before insurance pays for anything meaningful.</w:t>
      </w:r>
    </w:p>
    <w:p>
      <w:pPr>
        <w:spacing w:after="130"/>
      </w:pPr>
      <w:r>
        <w:rPr>
          <w:sz w:val="22"/>
          <w:szCs w:val="22"/>
        </w:rPr>
        <w:t xml:space="preserve">Your patients know this. They are living it. They are the informed ones — the ones who have read the research, who know what stem cells and NAD+ and plasmapheresis are, who have asked you about therapies you cannot provide domestically, who are rationing their prescriptions because the same medication costs $400 at CVS and $4 in Bangkok.</w:t>
      </w:r>
    </w:p>
    <w:p>
      <w:pPr>
        <w:spacing w:after="130"/>
      </w:pPr>
      <w:r>
        <w:rPr>
          <w:sz w:val="22"/>
          <w:szCs w:val="22"/>
        </w:rPr>
        <w:t xml:space="preserve">They are not looking for more information. They are looking for someone to open the door.</w:t>
      </w:r>
    </w:p>
    <w:p>
      <w:pPr>
        <w:spacing w:after="130"/>
      </w:pPr>
      <w:r>
        <w:rPr>
          <w:sz w:val="22"/>
          <w:szCs w:val="22"/>
        </w:rPr>
        <w:t xml:space="preserve">That is what this partnership does. You open the door. Casanova makes sure what is on the other side is world-class, clinically governed, and fully supported.</w:t>
      </w:r>
    </w:p>
    <w:p>
      <w:pPr>
        <w:shd w:fill="A8332B" w:val="clear"/>
        <w:spacing w:after="200" w:before="200"/>
        <w:ind w:left="180" w:right="180"/>
      </w:pPr>
      <w:r>
        <w:rPr>
          <w:b/>
          <w:bCs/>
          <w:color w:val="FFFFFF"/>
          <w:sz w:val="23"/>
          <w:szCs w:val="23"/>
        </w:rPr>
        <w:t xml:space="preserve">The system is broken and your patients already know it. The practice that gives them a real alternative becomes indispensable. The ones that don’t will watch their patients find it somewhere else.</w:t>
      </w:r>
    </w:p>
    <w:p>
      <w:r>
        <w:br w:type="page"/>
      </w:r>
    </w:p>
    <w:p>
      <w:pPr>
        <w:pStyle w:val="Heading1"/>
        <w:pBdr>
          <w:bottom w:val="single" w:color="1B2B3A" w:sz="8" w:space="4"/>
        </w:pBdr>
        <w:spacing w:after="180" w:before="360"/>
      </w:pPr>
      <w:r>
        <w:rPr>
          <w:b/>
          <w:bCs/>
          <w:color w:val="1B2B3A"/>
        </w:rPr>
        <w:t xml:space="preserve">What Your Patients Cannot Get Here</w:t>
      </w:r>
    </w:p>
    <w:p>
      <w:pPr>
        <w:spacing w:after="130"/>
      </w:pPr>
      <w:r>
        <w:rPr>
          <w:sz w:val="22"/>
          <w:szCs w:val="22"/>
        </w:rPr>
        <w:t xml:space="preserve">The US healthcare system has two problems that work together to frustrate your most informed patients. The regulatory environment blocks access to therapies that are clinically available and legally administered in Southeast Asia. And the pricing system charges ten to twenty times what the same care costs in Bangkok for what it does allow.</w:t>
      </w:r>
    </w:p>
    <w:p>
      <w:pPr>
        <w:spacing w:after="130"/>
      </w:pPr>
      <w:r>
        <w:rPr>
          <w:sz w:val="22"/>
          <w:szCs w:val="22"/>
        </w:rPr>
        <w:t xml:space="preserve">Your patients hit both walls simultaneously. They cannot access what they want. And what they can access, they cannot afford.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What they are asking about</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US reality</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Bangkok reality</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Difference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NAD+ IV therapy (10 sessions)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$4,000-12,000 at wellness clinics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$1,500-3,000</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Up to 8x cheaper</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Stem cell therapy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Not FDA-approved. Not available.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$8,000-18,000 at accredited hospitals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Unavailable here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Plasmapheresis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Not available for longevity use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$2,000-5,000 per course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Unavailable here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Exosome therapy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FDA-restricted</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$1,500-4,000</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Unavailable here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Full longevity blood panel</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$2,000-5,000</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$200-600</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Up to 25x cheaper</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Specialist consultation</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$300-500, 6-8 week wait</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$80-150, same week</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Faster, cheaper, more time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Daily therapeutic massage</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$120-200/session, not covered</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$15-25/session, daily</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Daily vs. never</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Common prescriptions (Z-pack, blood pressure, thyroid, cholesterol)</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$100-400+ per prescription</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Fraction of US cost, often OTC</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Dramatic cost difference</w:t>
            </w:r>
          </w:p>
        </w:tc>
      </w:tr>
    </w:tbl>
    <w:p>
      <w:pPr>
        <w:spacing w:after="130"/>
      </w:pPr>
      <w:r>
        <w:rPr>
          <w:sz w:val="22"/>
          <w:szCs w:val="22"/>
        </w:rPr>
        <w:t xml:space="preserve">Casanova consults patients on what is available in Southeast Asia, what it costs, and how to access it properly — through licensed pharmacies, accredited hospitals, and physician-supervised programs. Your practice does not prescribe internationally. Casanova does not prescribe. We inform, navigate, and oversee.</w:t>
      </w:r>
    </w:p>
    <w:p>
      <w:r>
        <w:br w:type="page"/>
      </w:r>
    </w:p>
    <w:p>
      <w:pPr>
        <w:pStyle w:val="Heading1"/>
        <w:pBdr>
          <w:bottom w:val="single" w:color="1B2B3A" w:sz="8" w:space="4"/>
        </w:pBdr>
        <w:spacing w:after="180" w:before="360"/>
      </w:pPr>
      <w:r>
        <w:rPr>
          <w:b/>
          <w:bCs/>
          <w:color w:val="1B2B3A"/>
        </w:rPr>
        <w:t xml:space="preserve">The White Label Model</w:t>
      </w:r>
    </w:p>
    <w:p>
      <w:pPr>
        <w:spacing w:after="130"/>
      </w:pPr>
      <w:r>
        <w:rPr>
          <w:sz w:val="22"/>
          <w:szCs w:val="22"/>
        </w:rPr>
        <w:t xml:space="preserve">Casanova operates as the invisible infrastructure behind your practice’s international access offering. Your patients experience it as your program. Your brand. Your extension of care. Casanova handles everything on the ground.</w:t>
      </w:r>
    </w:p>
    <w:p>
      <w:pPr>
        <w:pStyle w:val="Heading2"/>
        <w:spacing w:after="100" w:before="260"/>
      </w:pPr>
      <w:r>
        <w:rPr>
          <w:color w:val="1B2B3A"/>
        </w:rPr>
        <w:t xml:space="preserve">What your practice offers under your brand</w:t>
      </w:r>
    </w:p>
    <w:p>
      <w:pPr>
        <w:pStyle w:val="ListParagraph"/>
        <w:numPr>
          <w:ilvl w:val="0"/>
          <w:numId w:val="2"/>
        </w:numPr>
        <w:spacing w:after="80"/>
      </w:pPr>
      <w:r>
        <w:rPr>
          <w:sz w:val="22"/>
          <w:szCs w:val="22"/>
        </w:rPr>
        <w:t xml:space="preserve">An international clinical access program for patients seeking therapies and care beyond domestic scope</w:t>
      </w:r>
    </w:p>
    <w:p>
      <w:pPr>
        <w:pStyle w:val="ListParagraph"/>
        <w:numPr>
          <w:ilvl w:val="0"/>
          <w:numId w:val="2"/>
        </w:numPr>
        <w:spacing w:after="80"/>
      </w:pPr>
      <w:r>
        <w:rPr>
          <w:sz w:val="22"/>
          <w:szCs w:val="22"/>
        </w:rPr>
        <w:t xml:space="preserve">Physician-reviewed intake and clinical appropriateness assessment</w:t>
      </w:r>
    </w:p>
    <w:p>
      <w:pPr>
        <w:pStyle w:val="ListParagraph"/>
        <w:numPr>
          <w:ilvl w:val="0"/>
          <w:numId w:val="2"/>
        </w:numPr>
        <w:spacing w:after="80"/>
      </w:pPr>
      <w:r>
        <w:rPr>
          <w:sz w:val="22"/>
          <w:szCs w:val="22"/>
        </w:rPr>
        <w:t xml:space="preserve">Curated access to advanced therapies at accredited institutions in Bangkok, Chiang Mai, Vietnam, and Malaysia</w:t>
      </w:r>
    </w:p>
    <w:p>
      <w:pPr>
        <w:pStyle w:val="ListParagraph"/>
        <w:numPr>
          <w:ilvl w:val="0"/>
          <w:numId w:val="2"/>
        </w:numPr>
        <w:spacing w:after="80"/>
      </w:pPr>
      <w:r>
        <w:rPr>
          <w:sz w:val="22"/>
          <w:szCs w:val="22"/>
        </w:rPr>
        <w:t xml:space="preserve">Consultation on international medication access — what is available, what it costs, how to obtain it legally</w:t>
      </w:r>
    </w:p>
    <w:p>
      <w:pPr>
        <w:pStyle w:val="ListParagraph"/>
        <w:numPr>
          <w:ilvl w:val="0"/>
          <w:numId w:val="2"/>
        </w:numPr>
        <w:spacing w:after="80"/>
      </w:pPr>
      <w:r>
        <w:rPr>
          <w:sz w:val="22"/>
          <w:szCs w:val="22"/>
        </w:rPr>
        <w:t xml:space="preserve">Full in-country coordination: accommodation, specialist appointments, therapy scheduling, daily support</w:t>
      </w:r>
    </w:p>
    <w:p>
      <w:pPr>
        <w:pStyle w:val="ListParagraph"/>
        <w:numPr>
          <w:ilvl w:val="0"/>
          <w:numId w:val="2"/>
        </w:numPr>
        <w:spacing w:after="80"/>
      </w:pPr>
      <w:r>
        <w:rPr>
          <w:sz w:val="22"/>
          <w:szCs w:val="22"/>
        </w:rPr>
        <w:t xml:space="preserve">Emergency infrastructure: pre-registered at Bumrungrad International or Bangkok Hospital, 24-hour coordinator</w:t>
      </w:r>
    </w:p>
    <w:p>
      <w:pPr>
        <w:pStyle w:val="ListParagraph"/>
        <w:numPr>
          <w:ilvl w:val="0"/>
          <w:numId w:val="2"/>
        </w:numPr>
        <w:spacing w:after="80"/>
      </w:pPr>
      <w:r>
        <w:rPr>
          <w:sz w:val="22"/>
          <w:szCs w:val="22"/>
        </w:rPr>
        <w:t xml:space="preserve">Return care plan delivered to your practice after every patient program</w:t>
      </w:r>
    </w:p>
    <w:p>
      <w:pPr>
        <w:pStyle w:val="ListParagraph"/>
        <w:numPr>
          <w:ilvl w:val="0"/>
          <w:numId w:val="2"/>
        </w:numPr>
        <w:spacing w:after="80"/>
      </w:pPr>
      <w:r>
        <w:rPr>
          <w:sz w:val="22"/>
          <w:szCs w:val="22"/>
        </w:rPr>
        <w:t xml:space="preserve">Ongoing remote monitoring through Casanova’s CPP protocol for patients who want continued support</w:t>
      </w:r>
    </w:p>
    <w:p>
      <w:pPr>
        <w:pStyle w:val="Heading2"/>
        <w:spacing w:after="100" w:before="260"/>
      </w:pPr>
      <w:r>
        <w:rPr>
          <w:color w:val="1B2B3A"/>
        </w:rPr>
        <w:t xml:space="preserve">What Casanova handles invisibly</w:t>
      </w:r>
    </w:p>
    <w:p>
      <w:pPr>
        <w:pStyle w:val="ListParagraph"/>
        <w:numPr>
          <w:ilvl w:val="0"/>
          <w:numId w:val="2"/>
        </w:numPr>
        <w:spacing w:after="80"/>
      </w:pPr>
      <w:r>
        <w:rPr>
          <w:sz w:val="22"/>
          <w:szCs w:val="22"/>
        </w:rPr>
        <w:t xml:space="preserve">All physician review and clinical oversight</w:t>
      </w:r>
    </w:p>
    <w:p>
      <w:pPr>
        <w:pStyle w:val="ListParagraph"/>
        <w:numPr>
          <w:ilvl w:val="0"/>
          <w:numId w:val="2"/>
        </w:numPr>
        <w:spacing w:after="80"/>
      </w:pPr>
      <w:r>
        <w:rPr>
          <w:sz w:val="22"/>
          <w:szCs w:val="22"/>
        </w:rPr>
        <w:t xml:space="preserve">All in-country coordination through Experience Asia (30+ years in region, TAT registered)</w:t>
      </w:r>
    </w:p>
    <w:p>
      <w:pPr>
        <w:pStyle w:val="ListParagraph"/>
        <w:numPr>
          <w:ilvl w:val="0"/>
          <w:numId w:val="2"/>
        </w:numPr>
        <w:spacing w:after="80"/>
      </w:pPr>
      <w:r>
        <w:rPr>
          <w:sz w:val="22"/>
          <w:szCs w:val="22"/>
        </w:rPr>
        <w:t xml:space="preserve">All hospital and specialist relationships across Southeast Asia</w:t>
      </w:r>
    </w:p>
    <w:p>
      <w:pPr>
        <w:pStyle w:val="ListParagraph"/>
        <w:numPr>
          <w:ilvl w:val="0"/>
          <w:numId w:val="2"/>
        </w:numPr>
        <w:spacing w:after="80"/>
      </w:pPr>
      <w:r>
        <w:rPr>
          <w:sz w:val="22"/>
          <w:szCs w:val="22"/>
        </w:rPr>
        <w:t xml:space="preserve">All emergency protocols and extended stay arrangements</w:t>
      </w:r>
    </w:p>
    <w:p>
      <w:pPr>
        <w:pStyle w:val="ListParagraph"/>
        <w:numPr>
          <w:ilvl w:val="0"/>
          <w:numId w:val="2"/>
        </w:numPr>
        <w:spacing w:after="80"/>
      </w:pPr>
      <w:r>
        <w:rPr>
          <w:sz w:val="22"/>
          <w:szCs w:val="22"/>
        </w:rPr>
        <w:t xml:space="preserve">All patient communications during the program</w:t>
      </w:r>
    </w:p>
    <w:p>
      <w:pPr>
        <w:pStyle w:val="ListParagraph"/>
        <w:numPr>
          <w:ilvl w:val="0"/>
          <w:numId w:val="2"/>
        </w:numPr>
        <w:spacing w:after="80"/>
      </w:pPr>
      <w:r>
        <w:rPr>
          <w:sz w:val="22"/>
          <w:szCs w:val="22"/>
        </w:rPr>
        <w:t xml:space="preserve">All billing for the international program components</w:t>
      </w:r>
    </w:p>
    <w:p>
      <w:pPr>
        <w:pStyle w:val="Heading2"/>
        <w:spacing w:after="100" w:before="260"/>
      </w:pPr>
      <w:r>
        <w:rPr>
          <w:color w:val="1B2B3A"/>
        </w:rPr>
        <w:t xml:space="preserve">What you receive</w:t>
      </w:r>
    </w:p>
    <w:p>
      <w:pPr>
        <w:pStyle w:val="ListParagraph"/>
        <w:numPr>
          <w:ilvl w:val="0"/>
          <w:numId w:val="2"/>
        </w:numPr>
        <w:spacing w:after="80"/>
      </w:pPr>
      <w:r>
        <w:rPr>
          <w:sz w:val="22"/>
          <w:szCs w:val="22"/>
        </w:rPr>
        <w:t xml:space="preserve">Referral fee on every patient who completes a program — structured as a percentage of Casanova’s coordination fee</w:t>
      </w:r>
    </w:p>
    <w:p>
      <w:pPr>
        <w:pStyle w:val="ListParagraph"/>
        <w:numPr>
          <w:ilvl w:val="0"/>
          <w:numId w:val="2"/>
        </w:numPr>
        <w:spacing w:after="80"/>
      </w:pPr>
      <w:r>
        <w:rPr>
          <w:sz w:val="22"/>
          <w:szCs w:val="22"/>
        </w:rPr>
        <w:t xml:space="preserve">Co-branded patient materials under your practice name</w:t>
      </w:r>
    </w:p>
    <w:p>
      <w:pPr>
        <w:pStyle w:val="ListParagraph"/>
        <w:numPr>
          <w:ilvl w:val="0"/>
          <w:numId w:val="2"/>
        </w:numPr>
        <w:spacing w:after="80"/>
      </w:pPr>
      <w:r>
        <w:rPr>
          <w:sz w:val="22"/>
          <w:szCs w:val="22"/>
        </w:rPr>
        <w:t xml:space="preserve">Quarterly briefing on emerging therapies and programs in Southeast Asia — so you are always ahead of what your patients are reading</w:t>
      </w:r>
    </w:p>
    <w:p>
      <w:pPr>
        <w:pStyle w:val="ListParagraph"/>
        <w:numPr>
          <w:ilvl w:val="0"/>
          <w:numId w:val="2"/>
        </w:numPr>
        <w:spacing w:after="80"/>
      </w:pPr>
      <w:r>
        <w:rPr>
          <w:sz w:val="22"/>
          <w:szCs w:val="22"/>
        </w:rPr>
        <w:t xml:space="preserve">Access to anonymized, aggregated patient outcomes data from your referred patients — feeding your practice’s own clinical intelligence</w:t>
      </w:r>
    </w:p>
    <w:p>
      <w:pPr>
        <w:pStyle w:val="ListParagraph"/>
        <w:numPr>
          <w:ilvl w:val="0"/>
          <w:numId w:val="2"/>
        </w:numPr>
        <w:spacing w:after="80"/>
      </w:pPr>
      <w:r>
        <w:rPr>
          <w:sz w:val="22"/>
          <w:szCs w:val="22"/>
        </w:rPr>
        <w:t xml:space="preserve">Priority access for your patients when capacity is limited</w:t>
      </w:r>
    </w:p>
    <w:p>
      <w:pPr>
        <w:shd w:fill="1B2B3A" w:val="clear"/>
        <w:spacing w:after="200" w:before="200"/>
        <w:ind w:left="180" w:right="180"/>
      </w:pPr>
      <w:r>
        <w:rPr>
          <w:b/>
          <w:bCs/>
          <w:color w:val="FFFFFF"/>
          <w:sz w:val="23"/>
          <w:szCs w:val="23"/>
        </w:rPr>
        <w:t xml:space="preserve">Your name on it. Our infrastructure behind it. Your patients experience it as yours. That is the white label model.</w:t>
      </w:r>
    </w:p>
    <w:p>
      <w:r>
        <w:br w:type="page"/>
      </w:r>
    </w:p>
    <w:p>
      <w:pPr>
        <w:pStyle w:val="Heading1"/>
        <w:pBdr>
          <w:bottom w:val="single" w:color="1B2B3A" w:sz="8" w:space="4"/>
        </w:pBdr>
        <w:spacing w:after="180" w:before="360"/>
      </w:pPr>
      <w:r>
        <w:rPr>
          <w:b/>
          <w:bCs/>
          <w:color w:val="1B2B3A"/>
        </w:rPr>
        <w:t xml:space="preserve">The Data Opportunity</w:t>
      </w:r>
    </w:p>
    <w:p>
      <w:pPr>
        <w:spacing w:after="130"/>
      </w:pPr>
      <w:r>
        <w:rPr>
          <w:sz w:val="22"/>
          <w:szCs w:val="22"/>
        </w:rPr>
        <w:t xml:space="preserve">This is the piece most practices do not see until it is explained to them. Every patient your practice refers to Casanova’s program generates longitudinal outcomes data — protocol assigned, monthly adherence, clinical response over time. De-identified, IRB-governed, structured.</w:t>
      </w:r>
    </w:p>
    <w:p>
      <w:pPr>
        <w:spacing w:after="130"/>
      </w:pPr>
      <w:r>
        <w:rPr>
          <w:sz w:val="22"/>
          <w:szCs w:val="22"/>
        </w:rPr>
        <w:t xml:space="preserve">That data feeds two things simultaneously.</w:t>
      </w:r>
    </w:p>
    <w:p>
      <w:pPr>
        <w:spacing w:after="130"/>
      </w:pPr>
      <w:r>
        <w:rPr>
          <w:sz w:val="22"/>
          <w:szCs w:val="22"/>
        </w:rPr>
        <w:t xml:space="preserve">First, your own clinical intelligence. Aggregated outcomes from your referred patients, returned to your practice in a format you can actually use. Which therapies showed the strongest response for which patient profiles. What the six-month trajectory looks like for patients who completed a stem cell protocol versus NAD+ alone. This is the kind of real-world outcomes data your practice cannot generate domestically because the therapies are not available domestically.</w:t>
      </w:r>
    </w:p>
    <w:p>
      <w:pPr>
        <w:spacing w:after="130"/>
      </w:pPr>
      <w:r>
        <w:rPr>
          <w:sz w:val="22"/>
          <w:szCs w:val="22"/>
        </w:rPr>
        <w:t xml:space="preserve">Second, the Clinical Intelligence Network — a research data infrastructure platform building the first IRB-governed longitudinal dataset of Western patients receiving advanced regenerative therapies in Asian clinical settings. This dataset does not exist anywhere else. Your patients’ de-identified outcomes contribute to a research asset that will eventually be licensed to pharmaceutical and AI health companies trying to validate exactly these therapies.</w:t>
      </w:r>
    </w:p>
    <w:p>
      <w:pPr>
        <w:spacing w:after="130"/>
      </w:pPr>
      <w:r>
        <w:rPr>
          <w:sz w:val="22"/>
          <w:szCs w:val="22"/>
        </w:rPr>
        <w:t xml:space="preserve">Your practice does not need to do anything different to participate. The data collection is built into Casanova’s intake and follow-up infrastructure. You simply receive the aggregated intelligence.</w:t>
      </w:r>
    </w:p>
    <w:p>
      <w:pPr>
        <w:shd w:fill="5E7E60" w:val="clear"/>
        <w:spacing w:after="200" w:before="200"/>
        <w:ind w:left="180" w:right="180"/>
      </w:pPr>
      <w:r>
        <w:rPr>
          <w:b/>
          <w:bCs/>
          <w:color w:val="FFFFFF"/>
          <w:sz w:val="23"/>
          <w:szCs w:val="23"/>
        </w:rPr>
        <w:t xml:space="preserve">Most practices refer patients and lose the clinical intelligence. This model returns it to you.</w:t>
      </w:r>
    </w:p>
    <w:p>
      <w:r>
        <w:br w:type="page"/>
      </w:r>
    </w:p>
    <w:p>
      <w:pPr>
        <w:pStyle w:val="Heading1"/>
        <w:pBdr>
          <w:bottom w:val="single" w:color="1B2B3A" w:sz="8" w:space="4"/>
        </w:pBdr>
        <w:spacing w:after="180" w:before="360"/>
      </w:pPr>
      <w:r>
        <w:rPr>
          <w:b/>
          <w:bCs/>
          <w:color w:val="1B2B3A"/>
        </w:rPr>
        <w:t xml:space="preserve">The Practices This Works For</w:t>
      </w:r>
    </w:p>
    <w:p>
      <w:pPr>
        <w:spacing w:after="130"/>
      </w:pPr>
      <w:r>
        <w:rPr>
          <w:sz w:val="22"/>
          <w:szCs w:val="22"/>
        </w:rPr>
        <w:t xml:space="preserve">This white label program works for any practice whose patients are already asking questions the domestic system cannot answer. The category does not matter. The patient profile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Practice type</w:t>
            </w:r>
          </w:p>
        </w:tc>
        <w:tc>
          <w:tcPr>
            <w:tcBorders>
              <w:top w:val="single" w:color="D8D2C4" w:sz="1"/>
              <w:left w:val="single" w:color="D8D2C4" w:sz="1"/>
              <w:bottom w:val="single" w:color="D8D2C4" w:sz="1"/>
              <w:right w:val="single" w:color="D8D2C4" w:sz="1"/>
            </w:tcBorders>
            <w:shd w:fill="1B2B3A" w:val="clear"/>
            <w:tcMar>
              <w:top w:type="dxa" w:w="100"/>
              <w:left w:type="dxa" w:w="140"/>
              <w:bottom w:type="dxa" w:w="100"/>
              <w:right w:type="dxa" w:w="140"/>
            </w:tcMar>
          </w:tcPr>
          <w:p>
            <w:r>
              <w:rPr>
                <w:b/>
                <w:bCs/>
                <w:color w:val="FFFFFF"/>
                <w:sz w:val="20"/>
                <w:szCs w:val="20"/>
              </w:rPr>
              <w:t xml:space="preserve">Why this fits</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Concierge women’s health (FemMD model)</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Affluent, informed women 40+ who are already at the frontier of what’s available domestically. They are asking about stem cells. They are asking about NAD+. They are asking about therapies that exist and are proven and are simply not available here. Casanova gives the practice a real answer.</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Men’s longevity and hormone clinics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The longevity conversation is mainstream. Bryan Johnson has 5 million followers. Peter Attia has a bestselling book. The men in these practices know exactly what plasmapheresis and NK-cell expansion are. They want access. Casanova provides it.</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Functional medicine practices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Already operating at the edge of what integrative medicine can do domestically. Casanova extends the edge internationally — therapies that functional medicine has been talking about for years and has been unable to provide.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Direct primary care (DPC) practices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DPC patients pay out of pocket because they want something better than the standard system. They are exactly the profile that values international access as a genuine extension of that philosophy.</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Executive health and screening centers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The executive health patient is already spending significantly on their health. A Bangkok program at $10,000-20,000 is within their range and delivers more than any domestic program at that price.</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Chronic pain and physical therapy practices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Three years of back pain that the US system has not solved. The most frustrated patients in any practice. Bangkok offers daily therapeutic massage, specialist access, imaging, and treatment — all within a week. These patients convert fastest.</w:t>
            </w:r>
          </w:p>
        </w:tc>
      </w:tr>
      <w:tr>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Naturopathic and integrative medicine practices</w:t>
            </w:r>
          </w:p>
        </w:tc>
        <w:tc>
          <w:tcPr>
            <w:tcBorders>
              <w:top w:val="single" w:color="D8D2C4" w:sz="1"/>
              <w:left w:val="single" w:color="D8D2C4" w:sz="1"/>
              <w:bottom w:val="single" w:color="D8D2C4" w:sz="1"/>
              <w:right w:val="single" w:color="D8D2C4" w:sz="1"/>
            </w:tcBorders>
            <w:tcMar>
              <w:top w:type="dxa" w:w="100"/>
              <w:left w:type="dxa" w:w="140"/>
              <w:bottom w:type="dxa" w:w="100"/>
              <w:right w:type="dxa" w:w="140"/>
            </w:tcMar>
          </w:tcPr>
          <w:p>
            <w:r>
              <w:rPr>
                <w:b w:val="false"/>
                <w:bCs w:val="false"/>
                <w:color w:val="2A2A28"/>
                <w:sz w:val="20"/>
                <w:szCs w:val="20"/>
              </w:rPr>
              <w:t xml:space="preserve">Already philosophically aligned with what is available in Southeast Asia. The leap from domestic integrative care to internationally-navigated regenerative medicine is smaller for these practices and their patients than for any other category.</w:t>
            </w:r>
          </w:p>
        </w:tc>
      </w:tr>
    </w:tbl>
    <w:p>
      <w:r>
        <w:br w:type="page"/>
      </w:r>
    </w:p>
    <w:p>
      <w:pPr>
        <w:pStyle w:val="Heading1"/>
        <w:pBdr>
          <w:bottom w:val="single" w:color="1B2B3A" w:sz="8" w:space="4"/>
        </w:pBdr>
        <w:spacing w:after="180" w:before="360"/>
      </w:pPr>
      <w:r>
        <w:rPr>
          <w:b/>
          <w:bCs/>
          <w:color w:val="1B2B3A"/>
        </w:rPr>
        <w:t xml:space="preserve">What Southeast Asia Actually Offers</w:t>
      </w:r>
    </w:p>
    <w:p>
      <w:pPr>
        <w:spacing w:after="130"/>
      </w:pPr>
      <w:r>
        <w:rPr>
          <w:sz w:val="22"/>
          <w:szCs w:val="22"/>
        </w:rPr>
        <w:t xml:space="preserve">This is not medical tourism in the way most people imagine it. This is access to a genuinely different tier of medicine — legally available, clinically administered, physician-supervised — in some of the most sophisticated medical infrastructure in the world.</w:t>
      </w:r>
    </w:p>
    <w:p>
      <w:pPr>
        <w:spacing w:after="130"/>
      </w:pPr>
      <w:r>
        <w:rPr>
          <w:sz w:val="22"/>
          <w:szCs w:val="22"/>
        </w:rPr>
        <w:t xml:space="preserve">Bumrungrad International Hospital in Bangkok sees over 520,000 international patients annually. It is JCI-accredited, English-speaking, and by most clinical measures operates at the level of a top US academic medical center. Bangkok Hospital Group has 49 locations across Thailand. RAKxa Integrative Wellness combines medical-grade diagnostics with world-class therapeutic programs. Kamalaya has been voted the world’s best integrative wellness retreat.</w:t>
      </w:r>
    </w:p>
    <w:p>
      <w:pPr>
        <w:spacing w:after="130"/>
      </w:pPr>
      <w:r>
        <w:rPr>
          <w:sz w:val="22"/>
          <w:szCs w:val="22"/>
        </w:rPr>
        <w:t xml:space="preserve">The gap between what is available in Bangkok and what most Americans imagine is available in Bangkok is enormous. Your patients who have been there know this. Your patients who have not been there need someone they trust to tell them.</w:t>
      </w:r>
    </w:p>
    <w:p>
      <w:pPr>
        <w:spacing w:after="130"/>
      </w:pPr>
      <w:r>
        <w:rPr>
          <w:sz w:val="22"/>
          <w:szCs w:val="22"/>
        </w:rPr>
        <w:t xml:space="preserve">That is your practice’s role. And Casanova’s.</w:t>
      </w:r>
    </w:p>
    <w:p>
      <w:pPr>
        <w:pStyle w:val="Heading2"/>
        <w:spacing w:after="100" w:before="260"/>
      </w:pPr>
      <w:r>
        <w:rPr>
          <w:color w:val="1B2B3A"/>
        </w:rPr>
        <w:t xml:space="preserve">The wellness infrastructure that does not exist at any price in the US</w:t>
      </w:r>
    </w:p>
    <w:p>
      <w:pPr>
        <w:pStyle w:val="ListParagraph"/>
        <w:numPr>
          <w:ilvl w:val="0"/>
          <w:numId w:val="2"/>
        </w:numPr>
        <w:spacing w:after="80"/>
      </w:pPr>
      <w:r>
        <w:rPr>
          <w:sz w:val="22"/>
          <w:szCs w:val="22"/>
        </w:rPr>
        <w:t xml:space="preserve">Daily therapeutic Thai massage — $15-25 per session. Genuinely therapeutic, not spa. Daily for the duration of a program.</w:t>
      </w:r>
    </w:p>
    <w:p>
      <w:pPr>
        <w:pStyle w:val="ListParagraph"/>
        <w:numPr>
          <w:ilvl w:val="0"/>
          <w:numId w:val="2"/>
        </w:numPr>
        <w:spacing w:after="80"/>
      </w:pPr>
      <w:r>
        <w:rPr>
          <w:sz w:val="22"/>
          <w:szCs w:val="22"/>
        </w:rPr>
        <w:t xml:space="preserve">World-class wellness retreats — Kamalaya, RAKxa, Chiva-Som, Amanpuri. Programs combining medical diagnostics, IV therapy, movement, nutrition, and mental health. Available as a standalone or integrated into a Casanova program.</w:t>
      </w:r>
    </w:p>
    <w:p>
      <w:pPr>
        <w:pStyle w:val="ListParagraph"/>
        <w:numPr>
          <w:ilvl w:val="0"/>
          <w:numId w:val="2"/>
        </w:numPr>
        <w:spacing w:after="80"/>
      </w:pPr>
      <w:r>
        <w:rPr>
          <w:sz w:val="22"/>
          <w:szCs w:val="22"/>
        </w:rPr>
        <w:t xml:space="preserve">Anti-inflammatory cuisine — Thailand’s food culture is one of the most naturally therapeutic on earth. Fresh, varied, anti-inflammatory by default.</w:t>
      </w:r>
    </w:p>
    <w:p>
      <w:pPr>
        <w:pStyle w:val="ListParagraph"/>
        <w:numPr>
          <w:ilvl w:val="0"/>
          <w:numId w:val="2"/>
        </w:numPr>
        <w:spacing w:after="80"/>
      </w:pPr>
      <w:r>
        <w:rPr>
          <w:sz w:val="22"/>
          <w:szCs w:val="22"/>
        </w:rPr>
        <w:t xml:space="preserve">Climate and pace — year-round warmth, a pace that supports recovery rather than fighting it.</w:t>
      </w:r>
    </w:p>
    <w:p>
      <w:pPr>
        <w:pStyle w:val="ListParagraph"/>
        <w:numPr>
          <w:ilvl w:val="0"/>
          <w:numId w:val="2"/>
        </w:numPr>
        <w:spacing w:after="80"/>
      </w:pPr>
      <w:r>
        <w:rPr>
          <w:sz w:val="22"/>
          <w:szCs w:val="22"/>
        </w:rPr>
        <w:t xml:space="preserve">Cost of daily life — a patient extending their stay for a 30-day recovery pays less per day in Bangkok than a copay in the US.</w:t>
      </w:r>
    </w:p>
    <w:p>
      <w:r>
        <w:br w:type="page"/>
      </w:r>
    </w:p>
    <w:p>
      <w:pPr>
        <w:pStyle w:val="Heading1"/>
        <w:pBdr>
          <w:bottom w:val="single" w:color="1B2B3A" w:sz="8" w:space="4"/>
        </w:pBdr>
        <w:spacing w:after="180" w:before="360"/>
      </w:pPr>
      <w:r>
        <w:rPr>
          <w:b/>
          <w:bCs/>
          <w:color w:val="1B2B3A"/>
        </w:rPr>
        <w:t xml:space="preserve">The Current Moment</w:t>
      </w:r>
    </w:p>
    <w:p>
      <w:pPr>
        <w:spacing w:after="130"/>
      </w:pPr>
      <w:r>
        <w:rPr>
          <w:sz w:val="22"/>
          <w:szCs w:val="22"/>
        </w:rPr>
        <w:t xml:space="preserve">The conditions that make this partnership urgent have never been stronger.</w:t>
      </w:r>
    </w:p>
    <w:p>
      <w:pPr>
        <w:pStyle w:val="ListParagraph"/>
        <w:numPr>
          <w:ilvl w:val="0"/>
          <w:numId w:val="2"/>
        </w:numPr>
        <w:spacing w:after="80"/>
      </w:pPr>
      <w:r>
        <w:rPr>
          <w:sz w:val="22"/>
          <w:szCs w:val="22"/>
        </w:rPr>
        <w:t xml:space="preserve">Health insurance premiums up 22% in 2026. Deductibles at $8,000 before coverage kicks in. Your patients are paying more for less than at any point in recent history.</w:t>
      </w:r>
    </w:p>
    <w:p>
      <w:pPr>
        <w:pStyle w:val="ListParagraph"/>
        <w:numPr>
          <w:ilvl w:val="0"/>
          <w:numId w:val="2"/>
        </w:numPr>
        <w:spacing w:after="80"/>
      </w:pPr>
      <w:r>
        <w:rPr>
          <w:sz w:val="22"/>
          <w:szCs w:val="22"/>
        </w:rPr>
        <w:t xml:space="preserve">Over 1 million Americans left the ACA marketplace in 2026. People are exiting the system, not just complaining about it.</w:t>
      </w:r>
    </w:p>
    <w:p>
      <w:pPr>
        <w:pStyle w:val="ListParagraph"/>
        <w:numPr>
          <w:ilvl w:val="0"/>
          <w:numId w:val="2"/>
        </w:numPr>
        <w:spacing w:after="80"/>
      </w:pPr>
      <w:r>
        <w:rPr>
          <w:sz w:val="22"/>
          <w:szCs w:val="22"/>
        </w:rPr>
        <w:t xml:space="preserve">Two thirds of Americans want major reform or a complete overhaul of healthcare. The patience with the status quo is gone.</w:t>
      </w:r>
    </w:p>
    <w:p>
      <w:pPr>
        <w:pStyle w:val="ListParagraph"/>
        <w:numPr>
          <w:ilvl w:val="0"/>
          <w:numId w:val="2"/>
        </w:numPr>
        <w:spacing w:after="80"/>
      </w:pPr>
      <w:r>
        <w:rPr>
          <w:sz w:val="22"/>
          <w:szCs w:val="22"/>
        </w:rPr>
        <w:t xml:space="preserve">The longevity conversation has gone mainstream. The patient who knows what NAD+ and stem cells are is now measured in tens of millions. The demand for access is real and growing.</w:t>
      </w:r>
    </w:p>
    <w:p>
      <w:pPr>
        <w:pStyle w:val="ListParagraph"/>
        <w:numPr>
          <w:ilvl w:val="0"/>
          <w:numId w:val="2"/>
        </w:numPr>
        <w:spacing w:after="80"/>
      </w:pPr>
      <w:r>
        <w:rPr>
          <w:sz w:val="22"/>
          <w:szCs w:val="22"/>
        </w:rPr>
        <w:t xml:space="preserve">Medical infrastructure in Southeast Asia has matured. JCI accreditation, English-speaking staff, international patient centers. The quality gap between Bangkok and a top US private hospital has closed.</w:t>
      </w:r>
    </w:p>
    <w:p>
      <w:pPr>
        <w:pStyle w:val="ListParagraph"/>
        <w:numPr>
          <w:ilvl w:val="0"/>
          <w:numId w:val="2"/>
        </w:numPr>
        <w:spacing w:after="80"/>
      </w:pPr>
      <w:r>
        <w:rPr>
          <w:sz w:val="22"/>
          <w:szCs w:val="22"/>
        </w:rPr>
        <w:t xml:space="preserve">The conversation about alternatives is no longer fringe. It is the dominant conversation in every concierge waiting room in the country.</w:t>
      </w:r>
    </w:p>
    <w:p>
      <w:pPr>
        <w:spacing w:after="130"/>
      </w:pPr>
      <w:r>
        <w:rPr>
          <w:sz w:val="22"/>
          <w:szCs w:val="22"/>
        </w:rPr>
        <w:t xml:space="preserve">The practices that move now are the ones that own this category in their market. The ones that wait will be following the ones that moved.</w:t>
      </w:r>
    </w:p>
    <w:p>
      <w:r>
        <w:br w:type="page"/>
      </w:r>
    </w:p>
    <w:p>
      <w:pPr>
        <w:pStyle w:val="Heading1"/>
        <w:pBdr>
          <w:bottom w:val="single" w:color="1B2B3A" w:sz="8" w:space="4"/>
        </w:pBdr>
        <w:spacing w:after="180" w:before="360"/>
      </w:pPr>
      <w:r>
        <w:rPr>
          <w:b/>
          <w:bCs/>
          <w:color w:val="1B2B3A"/>
        </w:rPr>
        <w:t xml:space="preserve">Next Step</w:t>
      </w:r>
    </w:p>
    <w:p>
      <w:pPr>
        <w:spacing w:after="130"/>
      </w:pPr>
      <w:r>
        <w:rPr>
          <w:sz w:val="22"/>
          <w:szCs w:val="22"/>
        </w:rPr>
        <w:t xml:space="preserve">Casanova is currently building its founding partner practice network. Fifty practices across the United States, selected for fit and seriousness.</w:t>
      </w:r>
    </w:p>
    <w:p>
      <w:pPr>
        <w:spacing w:after="130"/>
      </w:pPr>
      <w:r>
        <w:rPr>
          <w:sz w:val="22"/>
          <w:szCs w:val="22"/>
        </w:rPr>
        <w:t xml:space="preserve">The founding partner practices receive:</w:t>
      </w:r>
    </w:p>
    <w:p>
      <w:pPr>
        <w:pStyle w:val="ListParagraph"/>
        <w:numPr>
          <w:ilvl w:val="0"/>
          <w:numId w:val="2"/>
        </w:numPr>
        <w:spacing w:after="80"/>
      </w:pPr>
      <w:r>
        <w:rPr>
          <w:sz w:val="22"/>
          <w:szCs w:val="22"/>
        </w:rPr>
        <w:t xml:space="preserve">Priority patient scheduling before the program opens to the general public</w:t>
      </w:r>
    </w:p>
    <w:p>
      <w:pPr>
        <w:pStyle w:val="ListParagraph"/>
        <w:numPr>
          <w:ilvl w:val="0"/>
          <w:numId w:val="2"/>
        </w:numPr>
        <w:spacing w:after="80"/>
      </w:pPr>
      <w:r>
        <w:rPr>
          <w:sz w:val="22"/>
          <w:szCs w:val="22"/>
        </w:rPr>
        <w:t xml:space="preserve">Enhanced referral economics during the founding period</w:t>
      </w:r>
    </w:p>
    <w:p>
      <w:pPr>
        <w:pStyle w:val="ListParagraph"/>
        <w:numPr>
          <w:ilvl w:val="0"/>
          <w:numId w:val="2"/>
        </w:numPr>
        <w:spacing w:after="80"/>
      </w:pPr>
      <w:r>
        <w:rPr>
          <w:sz w:val="22"/>
          <w:szCs w:val="22"/>
        </w:rPr>
        <w:t xml:space="preserve">Co-development input on the program structure and patient materials</w:t>
      </w:r>
    </w:p>
    <w:p>
      <w:pPr>
        <w:pStyle w:val="ListParagraph"/>
        <w:numPr>
          <w:ilvl w:val="0"/>
          <w:numId w:val="2"/>
        </w:numPr>
        <w:spacing w:after="80"/>
      </w:pPr>
      <w:r>
        <w:rPr>
          <w:sz w:val="22"/>
          <w:szCs w:val="22"/>
        </w:rPr>
        <w:t xml:space="preserve">Named recognition as a Casanova founding partner practice</w:t>
      </w:r>
    </w:p>
    <w:p>
      <w:pPr>
        <w:spacing w:after="130"/>
      </w:pPr>
      <w:r>
        <w:rPr>
          <w:sz w:val="22"/>
          <w:szCs w:val="22"/>
        </w:rPr>
        <w:t xml:space="preserve">The conversation starts with a 20-minute call. We will walk through the program structure, the referral economics, what the patient experience looks like, and whether the fit is right.</w:t>
      </w:r>
    </w:p>
    <w:p>
      <w:pPr>
        <w:shd w:fill="A8332B" w:val="clear"/>
        <w:spacing w:after="200" w:before="200"/>
        <w:ind w:left="180" w:right="180"/>
      </w:pPr>
      <w:r>
        <w:rPr>
          <w:b/>
          <w:bCs/>
          <w:color w:val="FFFFFF"/>
          <w:sz w:val="23"/>
          <w:szCs w:val="23"/>
        </w:rPr>
        <w:t xml:space="preserve">Your patients are already looking for this. The only question is whether they find it through you or around you.</w:t>
      </w:r>
    </w:p>
    <w:p>
      <w:pPr>
        <w:spacing w:after="200"/>
      </w:pPr>
    </w:p>
    <w:p>
      <w:pPr>
        <w:spacing w:after="130"/>
      </w:pPr>
      <w:r>
        <w:rPr>
          <w:b/>
          <w:bCs/>
          <w:sz w:val="22"/>
          <w:szCs w:val="22"/>
        </w:rPr>
        <w:t xml:space="preserve">Contact: sonny@casanovamed.com</w:t>
      </w:r>
    </w:p>
    <w:p>
      <w:pPr>
        <w:spacing w:after="130"/>
      </w:pPr>
      <w:r>
        <w:rPr>
          <w:b/>
          <w:bCs/>
          <w:sz w:val="22"/>
          <w:szCs w:val="22"/>
        </w:rPr>
        <w:t xml:space="preserve">casanovamed.com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2026-07-02T06:36:26.169Z</dcterms:created>
  <dcterms:modified xsi:type="dcterms:W3CDTF">2026-07-02T06:36:26.181Z</dcterms:modified>
</cp:coreProperties>
</file>

<file path=docProps/custom.xml><?xml version="1.0" encoding="utf-8"?>
<Properties xmlns="http://schemas.openxmlformats.org/officeDocument/2006/custom-properties" xmlns:vt="http://schemas.openxmlformats.org/officeDocument/2006/docPropsVTypes"/>
</file>