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B3A"/>
          <w:sz w:val="52"/>
          <w:szCs w:val="52"/>
        </w:rPr>
        <w:t xml:space="preserve">CASANOVA MEDICALS</w:t>
      </w:r>
    </w:p>
    <w:p>
      <w:pPr>
        <w:spacing w:after="80"/>
      </w:pPr>
      <w:r>
        <w:rPr>
          <w:color w:val="5C5C56"/>
          <w:sz w:val="26"/>
          <w:szCs w:val="26"/>
        </w:rPr>
        <w:t xml:space="preserve">Document 3 of 3 — Business &amp; Revenue Model</w:t>
      </w:r>
    </w:p>
    <w:p>
      <w:pPr>
        <w:spacing w:after="400"/>
      </w:pPr>
      <w:r>
        <w:rPr>
          <w:b/>
          <w:bCs/>
          <w:color w:val="A8332B"/>
          <w:sz w:val="28"/>
          <w:szCs w:val="28"/>
        </w:rPr>
        <w:t xml:space="preserve">Consult. Suggest. Route. Oversee. Love.</w:t>
      </w:r>
    </w:p>
    <w:p>
      <w:pPr>
        <w:pStyle w:val="Heading1"/>
        <w:pBdr>
          <w:bottom w:val="single" w:color="1B2B3A" w:sz="8" w:space="4"/>
        </w:pBdr>
        <w:spacing w:after="180" w:before="360"/>
      </w:pPr>
      <w:r>
        <w:rPr>
          <w:b/>
          <w:bCs/>
          <w:color w:val="1B2B3A"/>
        </w:rPr>
        <w:t xml:space="preserve">01 — Revenue Streams Overview</w:t>
      </w:r>
    </w:p>
    <w:p>
      <w:pPr>
        <w:spacing w:after="130"/>
      </w:pPr>
      <w:r>
        <w:rPr>
          <w:sz w:val="22"/>
          <w:szCs w:val="22"/>
        </w:rPr>
        <w:t xml:space="preserve">Casanova has five distinct revenue streams. They are complementary, not competing — each feeds the others. A client who starts on CPP eventually books a Reset. A client who completes a Restore considers relocation. A relocation client generates institutional referral fees and visa service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Revenue Stream</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Unit Economics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Notes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Tier 1 Reset — Coordination Fee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$4,500 per patient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Pure Casanova margin. Third-party costs pass through to client directly.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Tier 2 Restore — Coordination Fee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$9,500 per patient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 above. Casanova also earns on Experience Asia logistics margin embedded in coordination.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Tier 3 Renew — Coordination Fee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$18,500 per patient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 above. 12-month CPP included — cost absorbed into fee, margin maintained.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Subscription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$249/month per patient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COGS approximately $9.45/month (Protocol A+B from Crius). Gross margin ~96% before shipping/ops.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Affiliate Stack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$200-800 per patient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eSIM, travel insurance, Agoda accommodation, Wise, SafetyWing, iHerb. One-time and recurring.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Visa &amp; Relocation Services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$1,500-5,000 per case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Thailand LTR, retirement visa, Malaysia MM2H, Vietnam. Business formation referrals additional.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Institutional B2B Referral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5-15% of referred revenue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Bumrungrad, Bangkok Hospital, RAKxa, Kamalaya, wellness centers. Casanova earns referral fee on institutional billing.</w:t>
            </w:r>
          </w:p>
        </w:tc>
      </w:tr>
    </w:tbl>
    <w:p>
      <w:r>
        <w:br w:type="page"/>
      </w:r>
    </w:p>
    <w:p>
      <w:pPr>
        <w:pStyle w:val="Heading1"/>
        <w:pBdr>
          <w:bottom w:val="single" w:color="1B2B3A" w:sz="8" w:space="4"/>
        </w:pBdr>
        <w:spacing w:after="180" w:before="360"/>
      </w:pPr>
      <w:r>
        <w:rPr>
          <w:b/>
          <w:bCs/>
          <w:color w:val="1B2B3A"/>
        </w:rPr>
        <w:t xml:space="preserve">02 — Patient Revenue by Tier</w:t>
      </w:r>
    </w:p>
    <w:p>
      <w:pPr>
        <w:pStyle w:val="Heading2"/>
        <w:spacing w:after="100" w:before="260"/>
      </w:pPr>
      <w:r>
        <w:rPr>
          <w:color w:val="1B2B3A"/>
        </w:rPr>
        <w:t xml:space="preserve">What one patient generates across the Casanova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Stage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Revenue to Casanova</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Timing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entry (pre-trip)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$249-498</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Month 1-3 before trip decision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Tier 1 Reset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$4,500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First trip</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Affiliate stack (first trip)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$350-600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At booking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ongoing (post-trip)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$2,988</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 months at $249/mo</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Institutional referral fees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$400-1,200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On specialist billing at partner hospitals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Tier 2 Restore (return trip — 40% convert)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$3,800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Year 2 ($9,500 x 40%)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Visa service (20% consider)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Year 2-3 ($2,000 x 20%)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Referrals (every patient refers 1.5 people on average in this demographic)</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$3,375</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Ongoing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TOTAL — average patient lifetime value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5E7E60"/>
                <w:sz w:val="19"/>
                <w:szCs w:val="19"/>
              </w:rPr>
              <w:t xml:space="preserve">~$16,000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
            </w:r>
          </w:p>
        </w:tc>
      </w:tr>
    </w:tbl>
    <w:p>
      <w:r>
        <w:br w:type="page"/>
      </w:r>
    </w:p>
    <w:p>
      <w:pPr>
        <w:pStyle w:val="Heading1"/>
        <w:pBdr>
          <w:bottom w:val="single" w:color="1B2B3A" w:sz="8" w:space="4"/>
        </w:pBdr>
        <w:spacing w:after="180" w:before="360"/>
      </w:pPr>
      <w:r>
        <w:rPr>
          <w:b/>
          <w:bCs/>
          <w:color w:val="1B2B3A"/>
        </w:rPr>
        <w:t xml:space="preserve">03 — Revenue Projections at Three Volumes</w:t>
      </w:r>
    </w:p>
    <w:p>
      <w:pPr>
        <w:pStyle w:val="Heading2"/>
        <w:spacing w:after="100" w:before="260"/>
      </w:pPr>
      <w:r>
        <w:rPr>
          <w:color w:val="1B2B3A"/>
        </w:rPr>
        <w:t xml:space="preserve">Scenario A: 50 patients in year 1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Revenue line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Annual</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Notes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Coordination fees (mix: 60% Tier 1, 30% Tier 2, 10% Tier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$360,750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30 x $4,500 + 15 x $9,500 + 5 x $18,500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subscriptions (50 patients, avg 8 months)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$99,600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50 x $249 x 8</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Affiliate stack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$22,500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50 x $450 avg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Institutional referral fees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Est. $500 avg per patient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Visa / relocation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10 cases at $1,500 avg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TOTAL YEAR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5E7E60"/>
                <w:sz w:val="19"/>
                <w:szCs w:val="19"/>
              </w:rPr>
              <w:t xml:space="preserve">$522,850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
            </w:r>
          </w:p>
        </w:tc>
      </w:tr>
    </w:tbl>
    <w:p>
      <w:pPr>
        <w:pStyle w:val="Heading2"/>
        <w:spacing w:after="100" w:before="260"/>
      </w:pPr>
      <w:r>
        <w:rPr>
          <w:color w:val="1B2B3A"/>
        </w:rPr>
        <w:t xml:space="preserve">Scenario B: 150 patients in year 2 (moderate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Revenue line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Annual</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Notes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Coordination fees (same tier mix)</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$1,082,250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90 x $4,500 + 45 x $9,500 + 15 x $18,500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subscriptions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$298,800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150 patients x $249 x 8 months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Affiliate stack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$67,500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150 x $450 avg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Institutional referral fees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$75,000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$500 avg per patient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Visa / relocation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$52,500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35 cases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Return trip revenue (40% of Year 1 patients)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$95,000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20 patients x avg $4,750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TOTAL YEAR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5E7E60"/>
                <w:sz w:val="19"/>
                <w:szCs w:val="19"/>
              </w:rPr>
              <w:t xml:space="preserve">$1,671,050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
            </w:r>
          </w:p>
        </w:tc>
      </w:tr>
    </w:tbl>
    <w:p>
      <w:pPr>
        <w:pStyle w:val="Heading2"/>
        <w:spacing w:after="100" w:before="260"/>
      </w:pPr>
      <w:r>
        <w:rPr>
          <w:color w:val="1B2B3A"/>
        </w:rPr>
        <w:t xml:space="preserve">Scenario C: 400 patients in year 3 (scaled)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Revenue line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Annual</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Notes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Coordination fees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$2,886,000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240 x $4,500 + 120 x $9,500 + 40 x $18,500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subscriptions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$896,400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400 new + 200 returning x $249 x avg 7.5 months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Affiliate stack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$180,000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400 x $450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Institutional referral fees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$200,000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400 patients x $500</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Visa / relocation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$175,000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Maturing — 100 cases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Return trip revenue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$356,250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75 x $4,750 avg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B2B institutional partnerships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$150,000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Growing — see Section 05</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TOTAL YEAR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5E7E60"/>
                <w:sz w:val="19"/>
                <w:szCs w:val="19"/>
              </w:rPr>
              <w:t xml:space="preserve">$4,843,650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
            </w:r>
          </w:p>
        </w:tc>
      </w:tr>
    </w:tbl>
    <w:p>
      <w:r>
        <w:br w:type="page"/>
      </w:r>
    </w:p>
    <w:p>
      <w:pPr>
        <w:pStyle w:val="Heading1"/>
        <w:pBdr>
          <w:bottom w:val="single" w:color="1B2B3A" w:sz="8" w:space="4"/>
        </w:pBdr>
        <w:spacing w:after="180" w:before="360"/>
      </w:pPr>
      <w:r>
        <w:rPr>
          <w:b/>
          <w:bCs/>
          <w:color w:val="1B2B3A"/>
        </w:rPr>
        <w:t xml:space="preserve">04 — Cost Structure</w:t>
      </w:r>
    </w:p>
    <w:p>
      <w:pPr>
        <w:spacing w:after="130"/>
      </w:pPr>
      <w:r>
        <w:rPr>
          <w:sz w:val="22"/>
          <w:szCs w:val="22"/>
        </w:rPr>
        <w:t xml:space="preserve">Casanova's cost structure is deliberately lean. We do not own hospitals, clinics, or wellness centers. We do not employ physicians or therapists. We do not hold inventory beyond CPP Protocol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Cost Category</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Estimated Annual (50 patients)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Notes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In-country coordinator (Bangkok-based, part-time to start)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$18,000-24,000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Critical role — the human face of Casanova on the ground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Physician oversight (part-time, advisory)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$24,000-36,000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Reviews CPP intakes, oversees clinical quality of referrals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inventory (Protocol A+B, Crius)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$5,670-11,340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$9.45 COGS x 50-100 patients x avg 6 months. Plus COA/stability testing.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shipping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$3,000-6,000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$30-60 per patient per month estimated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Technology (Casanova site, CPP build, Loops, PostHog, Supabase, Stripe)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$8,000-15,000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One-time build amortized plus monthly SaaS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Experience Asia coordination margin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Pass-through to client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 marks up, net cost zero</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Marketing and acquisition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$30,000-50,000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Content, LinkedIn, podcast outreach to 55+ communities, community partnerships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Legal, compliance, insurance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$15,000-25,000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Patient advocacy legal structure, professional indemnity insurance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Operations, admin, accounting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$12,000-18,000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TOTAL OPERATING COSTS — YEAR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2A2A28"/>
                <w:sz w:val="19"/>
                <w:szCs w:val="19"/>
              </w:rPr>
              <w:t xml:space="preserve">~$120,000-185,000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NET YEAR 1 (Scenario A)</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bCs/>
                <w:color w:val="5E7E60"/>
                <w:sz w:val="19"/>
                <w:szCs w:val="19"/>
              </w:rPr>
              <w:t xml:space="preserve">~$337,000-402,000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Before founder draws</w:t>
            </w:r>
          </w:p>
        </w:tc>
      </w:tr>
    </w:tbl>
    <w:p>
      <w:r>
        <w:br w:type="page"/>
      </w:r>
    </w:p>
    <w:p>
      <w:pPr>
        <w:pStyle w:val="Heading1"/>
        <w:pBdr>
          <w:bottom w:val="single" w:color="1B2B3A" w:sz="8" w:space="4"/>
        </w:pBdr>
        <w:spacing w:after="180" w:before="360"/>
      </w:pPr>
      <w:r>
        <w:rPr>
          <w:b/>
          <w:bCs/>
          <w:color w:val="1B2B3A"/>
        </w:rPr>
        <w:t xml:space="preserve">05 — B2B Institutional Partnership Model</w:t>
      </w:r>
    </w:p>
    <w:p>
      <w:pPr>
        <w:spacing w:after="130"/>
      </w:pPr>
      <w:r>
        <w:rPr>
          <w:sz w:val="22"/>
          <w:szCs w:val="22"/>
        </w:rPr>
        <w:t xml:space="preserve">The B2B layer is a parallel revenue stream that grows as Casanova's patient volume grows. Hospitals, wellness centers, and clinics across Southeast Asia compete for international patient referrals. Casanova, as a trusted and pre-qualifying referral source (every patient has been consulted, medically briefed, and prepared before arrival) is a premium referral partner.</w:t>
      </w:r>
    </w:p>
    <w:p>
      <w:pPr>
        <w:pStyle w:val="Heading2"/>
        <w:spacing w:after="100" w:before="260"/>
      </w:pPr>
      <w:r>
        <w:rPr>
          <w:color w:val="1B2B3A"/>
        </w:rPr>
        <w:t xml:space="preserve">Target institutional partners</w:t>
      </w:r>
    </w:p>
    <w:p>
      <w:pPr>
        <w:pStyle w:val="ListParagraph"/>
        <w:numPr>
          <w:ilvl w:val="0"/>
          <w:numId w:val="2"/>
        </w:numPr>
        <w:spacing w:after="70"/>
      </w:pPr>
      <w:r>
        <w:rPr>
          <w:sz w:val="22"/>
          <w:szCs w:val="22"/>
        </w:rPr>
        <w:t xml:space="preserve">Bumrungrad International Hospital, Bangkok — Thailand's largest medical tourism destination, 520,000+ international patients annually. Has an established international patient center with referral partner programs.</w:t>
      </w:r>
    </w:p>
    <w:p>
      <w:pPr>
        <w:pStyle w:val="ListParagraph"/>
        <w:numPr>
          <w:ilvl w:val="0"/>
          <w:numId w:val="2"/>
        </w:numPr>
        <w:spacing w:after="70"/>
      </w:pPr>
      <w:r>
        <w:rPr>
          <w:sz w:val="22"/>
          <w:szCs w:val="22"/>
        </w:rPr>
        <w:t xml:space="preserve">Bangkok Hospital Group — JCI-accredited, 49 locations across Thailand. Strong in cardiac, orthopedic, and oncology.</w:t>
      </w:r>
    </w:p>
    <w:p>
      <w:pPr>
        <w:pStyle w:val="ListParagraph"/>
        <w:numPr>
          <w:ilvl w:val="0"/>
          <w:numId w:val="2"/>
        </w:numPr>
        <w:spacing w:after="70"/>
      </w:pPr>
      <w:r>
        <w:rPr>
          <w:sz w:val="22"/>
          <w:szCs w:val="22"/>
        </w:rPr>
        <w:t xml:space="preserve">RAKxa Integrative Wellness — Bangkok's premier medical wellness retreat. High-value patients, high referral fee potential.</w:t>
      </w:r>
    </w:p>
    <w:p>
      <w:pPr>
        <w:pStyle w:val="ListParagraph"/>
        <w:numPr>
          <w:ilvl w:val="0"/>
          <w:numId w:val="2"/>
        </w:numPr>
        <w:spacing w:after="70"/>
      </w:pPr>
      <w:r>
        <w:rPr>
          <w:sz w:val="22"/>
          <w:szCs w:val="22"/>
        </w:rPr>
        <w:t xml:space="preserve">Kamalaya Wellness Sanctuary, Koh Samui — international reputation, referral partnerships with travel and wellness companies.</w:t>
      </w:r>
    </w:p>
    <w:p>
      <w:pPr>
        <w:pStyle w:val="ListParagraph"/>
        <w:numPr>
          <w:ilvl w:val="0"/>
          <w:numId w:val="2"/>
        </w:numPr>
        <w:spacing w:after="70"/>
      </w:pPr>
      <w:r>
        <w:rPr>
          <w:sz w:val="22"/>
          <w:szCs w:val="22"/>
        </w:rPr>
        <w:t xml:space="preserve">Chiva-Som, Hua Hin — one of the world's most recognized wellness brands. Referral fees established.</w:t>
      </w:r>
    </w:p>
    <w:p>
      <w:pPr>
        <w:pStyle w:val="ListParagraph"/>
        <w:numPr>
          <w:ilvl w:val="0"/>
          <w:numId w:val="2"/>
        </w:numPr>
        <w:spacing w:after="70"/>
      </w:pPr>
      <w:r>
        <w:rPr>
          <w:sz w:val="22"/>
          <w:szCs w:val="22"/>
        </w:rPr>
        <w:t xml:space="preserve">Penang Adventist and Prince Court Medical Centre, Malaysia — strong medical tourism infrastructure, growing international patient base.</w:t>
      </w:r>
    </w:p>
    <w:p>
      <w:pPr>
        <w:pStyle w:val="ListParagraph"/>
        <w:numPr>
          <w:ilvl w:val="0"/>
          <w:numId w:val="2"/>
        </w:numPr>
        <w:spacing w:after="70"/>
      </w:pPr>
      <w:r>
        <w:rPr>
          <w:sz w:val="22"/>
          <w:szCs w:val="22"/>
        </w:rPr>
        <w:t xml:space="preserve">FV Hospital and Vinmec, Vietnam — top-tier international hospitals in Ho Chi Minh City and Hanoi, increasingly targeting US market.</w:t>
      </w:r>
    </w:p>
    <w:p>
      <w:pPr>
        <w:pStyle w:val="ListParagraph"/>
        <w:numPr>
          <w:ilvl w:val="0"/>
          <w:numId w:val="2"/>
        </w:numPr>
        <w:spacing w:after="70"/>
      </w:pPr>
      <w:r>
        <w:rPr>
          <w:sz w:val="22"/>
          <w:szCs w:val="22"/>
        </w:rPr>
        <w:t xml:space="preserve">The Farm at San Benito, Philippines — medical tourism destination, physician-supervised wellness.</w:t>
      </w:r>
    </w:p>
    <w:p>
      <w:pPr>
        <w:pStyle w:val="Heading2"/>
        <w:spacing w:after="100" w:before="260"/>
      </w:pPr>
      <w:r>
        <w:rPr>
          <w:color w:val="1B2B3A"/>
        </w:rPr>
        <w:t xml:space="preserve">Revenue structure</w:t>
      </w:r>
    </w:p>
    <w:p>
      <w:pPr>
        <w:spacing w:after="130"/>
      </w:pPr>
      <w:r>
        <w:rPr>
          <w:sz w:val="22"/>
          <w:szCs w:val="22"/>
        </w:rPr>
        <w:t xml:space="preserve">Casanova earns a referral fee (typically 5-15% of billed revenue, or a flat per-patient fee) for each patient referred to an institutional partner. Because Casanova pre-qualifies, prepares, and briefs every patient before referral, the conversion and satisfaction rates are significantly higher than cold referrals — making Casanova a preferred partner worth paying for.</w:t>
      </w:r>
    </w:p>
    <w:p>
      <w:pPr>
        <w:shd w:fill="5E7E60" w:val="clear"/>
        <w:spacing w:after="180" w:before="180"/>
        <w:ind w:left="180" w:right="180"/>
      </w:pPr>
      <w:r>
        <w:rPr>
          <w:b/>
          <w:bCs/>
          <w:color w:val="FFFFFF"/>
          <w:sz w:val="23"/>
          <w:szCs w:val="23"/>
        </w:rPr>
        <w:t xml:space="preserve">A Tier 3 Renew patient spending $20,000 at Bumrungrad generates $1,000-3,000 in institutional referral fees to Casanova, in addition to the $18,500 coordination fee paid directly.</w:t>
      </w:r>
    </w:p>
    <w:p>
      <w:pPr>
        <w:pStyle w:val="Heading2"/>
        <w:spacing w:after="100" w:before="260"/>
      </w:pPr>
      <w:r>
        <w:rPr>
          <w:color w:val="1B2B3A"/>
        </w:rPr>
        <w:t xml:space="preserve">Long-term: the institutional pitch deck</w:t>
      </w:r>
    </w:p>
    <w:p>
      <w:pPr>
        <w:spacing w:after="130"/>
      </w:pPr>
      <w:r>
        <w:rPr>
          <w:sz w:val="22"/>
          <w:szCs w:val="22"/>
        </w:rPr>
        <w:t xml:space="preserve">As Casanova reaches 200+ patients annually with documented outcomes data (from the CPP longitudinal dataset and post-trip feedback), the institutional partnership conversation changes. Casanova can present:</w:t>
      </w:r>
    </w:p>
    <w:p>
      <w:pPr>
        <w:pStyle w:val="ListParagraph"/>
        <w:numPr>
          <w:ilvl w:val="0"/>
          <w:numId w:val="2"/>
        </w:numPr>
        <w:spacing w:after="70"/>
      </w:pPr>
      <w:r>
        <w:rPr>
          <w:sz w:val="22"/>
          <w:szCs w:val="22"/>
        </w:rPr>
        <w:t xml:space="preserve">Documented patient profiles (anonymized) showing the exact demographic, health status, and spending pattern of the patients it routes</w:t>
      </w:r>
    </w:p>
    <w:p>
      <w:pPr>
        <w:pStyle w:val="ListParagraph"/>
        <w:numPr>
          <w:ilvl w:val="0"/>
          <w:numId w:val="2"/>
        </w:numPr>
        <w:spacing w:after="70"/>
      </w:pPr>
      <w:r>
        <w:rPr>
          <w:sz w:val="22"/>
          <w:szCs w:val="22"/>
        </w:rPr>
        <w:t xml:space="preserve">Outcome data showing patient satisfaction and clinical results from partner institutions</w:t>
      </w:r>
    </w:p>
    <w:p>
      <w:pPr>
        <w:pStyle w:val="ListParagraph"/>
        <w:numPr>
          <w:ilvl w:val="0"/>
          <w:numId w:val="2"/>
        </w:numPr>
        <w:spacing w:after="70"/>
      </w:pPr>
      <w:r>
        <w:rPr>
          <w:sz w:val="22"/>
          <w:szCs w:val="22"/>
        </w:rPr>
        <w:t xml:space="preserve">A pipeline of pre-qualified patients who have been consulted, prepared, and committed</w:t>
      </w:r>
    </w:p>
    <w:p>
      <w:pPr>
        <w:spacing w:after="130"/>
      </w:pPr>
      <w:r>
        <w:rPr>
          <w:sz w:val="22"/>
          <w:szCs w:val="22"/>
        </w:rPr>
        <w:t xml:space="preserve">This is a meaningful business development asset for the institutional partners — far more valuable than generic medical tourism leads. At scale, Casanova can negotiate preferred rates, priority scheduling, and co-marketing arrangements.</w:t>
      </w:r>
    </w:p>
    <w:p>
      <w:r>
        <w:br w:type="page"/>
      </w:r>
    </w:p>
    <w:p>
      <w:pPr>
        <w:pStyle w:val="Heading1"/>
        <w:pBdr>
          <w:bottom w:val="single" w:color="1B2B3A" w:sz="8" w:space="4"/>
        </w:pBdr>
        <w:spacing w:after="180" w:before="360"/>
      </w:pPr>
      <w:r>
        <w:rPr>
          <w:b/>
          <w:bCs/>
          <w:color w:val="1B2B3A"/>
        </w:rPr>
        <w:t xml:space="preserve">06 — Acquisition Strategy</w:t>
      </w:r>
    </w:p>
    <w:p>
      <w:pPr>
        <w:spacing w:after="130"/>
      </w:pPr>
      <w:r>
        <w:rPr>
          <w:sz w:val="22"/>
          <w:szCs w:val="22"/>
        </w:rPr>
        <w:t xml:space="preserve">Our clients are 55+, educated, often digitally active, and part of specific communities. They are not found through Facebook ads. They are found through trust.</w:t>
      </w:r>
    </w:p>
    <w:p>
      <w:pPr>
        <w:pStyle w:val="Heading2"/>
        <w:spacing w:after="100" w:before="260"/>
      </w:pPr>
      <w:r>
        <w:rPr>
          <w:color w:val="1B2B3A"/>
        </w:rPr>
        <w:t xml:space="preserve">Primary channels</w:t>
      </w:r>
    </w:p>
    <w:p>
      <w:pPr>
        <w:pStyle w:val="ListParagraph"/>
        <w:numPr>
          <w:ilvl w:val="0"/>
          <w:numId w:val="2"/>
        </w:numPr>
        <w:spacing w:after="70"/>
      </w:pPr>
      <w:r>
        <w:rPr>
          <w:sz w:val="22"/>
          <w:szCs w:val="22"/>
        </w:rPr>
        <w:t xml:space="preserve">Retired professional networks — AARP, university alumni networks (especially Big Ten, Ivy, and flagship state universities whose retirees fit the persona), retired faculty associations</w:t>
      </w:r>
    </w:p>
    <w:p>
      <w:pPr>
        <w:pStyle w:val="ListParagraph"/>
        <w:numPr>
          <w:ilvl w:val="0"/>
          <w:numId w:val="2"/>
        </w:numPr>
        <w:spacing w:after="70"/>
      </w:pPr>
      <w:r>
        <w:rPr>
          <w:sz w:val="22"/>
          <w:szCs w:val="22"/>
        </w:rPr>
        <w:t xml:space="preserve">Podcast and media — the 55+ health and longevity podcast ecosystem is enormous and engaged. Joe Rogan's audience alone has millions of 50+ listeners. Specific targets: Huberman Lab, Peter Attia, Jocko Willink, Retire Sooner, Radical Personal Finance</w:t>
      </w:r>
    </w:p>
    <w:p>
      <w:pPr>
        <w:pStyle w:val="ListParagraph"/>
        <w:numPr>
          <w:ilvl w:val="0"/>
          <w:numId w:val="2"/>
        </w:numPr>
        <w:spacing w:after="70"/>
      </w:pPr>
      <w:r>
        <w:rPr>
          <w:sz w:val="22"/>
          <w:szCs w:val="22"/>
        </w:rPr>
        <w:t xml:space="preserve">South Asian diaspora communities — Indian-American professional networks, AAPI health organizations, Desi community Facebook groups and WhatsApp networks. This community specifically has deep trust in Asian healthcare systems.</w:t>
      </w:r>
    </w:p>
    <w:p>
      <w:pPr>
        <w:pStyle w:val="ListParagraph"/>
        <w:numPr>
          <w:ilvl w:val="0"/>
          <w:numId w:val="2"/>
        </w:numPr>
        <w:spacing w:after="70"/>
      </w:pPr>
      <w:r>
        <w:rPr>
          <w:sz w:val="22"/>
          <w:szCs w:val="22"/>
        </w:rPr>
        <w:t xml:space="preserve">Jewish community networks — JCC networks, synagogue health programs, Jewish federation wellness initiatives. High education, high trust in peer recommendations.</w:t>
      </w:r>
    </w:p>
    <w:p>
      <w:pPr>
        <w:pStyle w:val="ListParagraph"/>
        <w:numPr>
          <w:ilvl w:val="0"/>
          <w:numId w:val="2"/>
        </w:numPr>
        <w:spacing w:after="70"/>
      </w:pPr>
      <w:r>
        <w:rPr>
          <w:sz w:val="22"/>
          <w:szCs w:val="22"/>
        </w:rPr>
        <w:t xml:space="preserve">Black travel and lifestyle community — The Afro-expat community in Southeast Asia is growing and vocal. Partnerships with Black travel bloggers, expat Facebook groups, and organizations like Travel Noire.</w:t>
      </w:r>
    </w:p>
    <w:p>
      <w:pPr>
        <w:pStyle w:val="ListParagraph"/>
        <w:numPr>
          <w:ilvl w:val="0"/>
          <w:numId w:val="2"/>
        </w:numPr>
        <w:spacing w:after="70"/>
      </w:pPr>
      <w:r>
        <w:rPr>
          <w:sz w:val="22"/>
          <w:szCs w:val="22"/>
        </w:rPr>
        <w:t xml:space="preserve">Medical tourism forums and communities — PatientsBeyondBorders.com, Expatriate communities on Reddit and Facebook</w:t>
      </w:r>
    </w:p>
    <w:p>
      <w:pPr>
        <w:pStyle w:val="ListParagraph"/>
        <w:numPr>
          <w:ilvl w:val="0"/>
          <w:numId w:val="2"/>
        </w:numPr>
        <w:spacing w:after="70"/>
      </w:pPr>
      <w:r>
        <w:rPr>
          <w:sz w:val="22"/>
          <w:szCs w:val="22"/>
        </w:rPr>
        <w:t xml:space="preserve">Referral — every satisfied client is a referral engine. In communities of educated retirees, word of mouth is the dominant acquisition channel. The retired professor whose back was finally fixed talks to every colleague.</w:t>
      </w:r>
    </w:p>
    <w:p>
      <w:pPr>
        <w:pStyle w:val="ListParagraph"/>
        <w:numPr>
          <w:ilvl w:val="0"/>
          <w:numId w:val="2"/>
        </w:numPr>
        <w:spacing w:after="70"/>
      </w:pPr>
      <w:r>
        <w:rPr>
          <w:sz w:val="22"/>
          <w:szCs w:val="22"/>
        </w:rPr>
        <w:t xml:space="preserve">CPP as the entry funnel — the remote supplement program brings in people who are not ready to travel yet. Once they have been in the Casanova relationship for 3-6 months and see results, the trip becomes conceivable.</w:t>
      </w:r>
    </w:p>
    <w:p>
      <w:pPr>
        <w:pStyle w:val="Heading2"/>
        <w:spacing w:after="100" w:before="260"/>
      </w:pPr>
      <w:r>
        <w:rPr>
          <w:color w:val="1B2B3A"/>
        </w:rPr>
        <w:t xml:space="preserve">The content strategy</w:t>
      </w:r>
    </w:p>
    <w:p>
      <w:pPr>
        <w:spacing w:after="130"/>
      </w:pPr>
      <w:r>
        <w:rPr>
          <w:sz w:val="22"/>
          <w:szCs w:val="22"/>
        </w:rPr>
        <w:t xml:space="preserve">Casanova publishes one honest, specific, well-written piece per week. Not wellness content. Not medical content. Real stories, real prices, real comparisons. Topics that convert:</w:t>
      </w:r>
    </w:p>
    <w:p>
      <w:pPr>
        <w:pStyle w:val="ListParagraph"/>
        <w:numPr>
          <w:ilvl w:val="0"/>
          <w:numId w:val="2"/>
        </w:numPr>
        <w:spacing w:after="70"/>
      </w:pPr>
      <w:r>
        <w:rPr>
          <w:sz w:val="22"/>
          <w:szCs w:val="22"/>
        </w:rPr>
        <w:t xml:space="preserve">What does a 10-day Bangkok health reset actually cost? (Real itemized breakdown)</w:t>
      </w:r>
    </w:p>
    <w:p>
      <w:pPr>
        <w:pStyle w:val="ListParagraph"/>
        <w:numPr>
          <w:ilvl w:val="0"/>
          <w:numId w:val="2"/>
        </w:numPr>
        <w:spacing w:after="70"/>
      </w:pPr>
      <w:r>
        <w:rPr>
          <w:sz w:val="22"/>
          <w:szCs w:val="22"/>
        </w:rPr>
        <w:t xml:space="preserve">My back hurt for three years. Here is what happened in Bangkok.</w:t>
      </w:r>
    </w:p>
    <w:p>
      <w:pPr>
        <w:pStyle w:val="ListParagraph"/>
        <w:numPr>
          <w:ilvl w:val="0"/>
          <w:numId w:val="2"/>
        </w:numPr>
        <w:spacing w:after="70"/>
      </w:pPr>
      <w:r>
        <w:rPr>
          <w:sz w:val="22"/>
          <w:szCs w:val="22"/>
        </w:rPr>
        <w:t xml:space="preserve">What the Swiss longevity clinics won't tell you about Bangkok</w:t>
      </w:r>
    </w:p>
    <w:p>
      <w:pPr>
        <w:pStyle w:val="ListParagraph"/>
        <w:numPr>
          <w:ilvl w:val="0"/>
          <w:numId w:val="2"/>
        </w:numPr>
        <w:spacing w:after="70"/>
      </w:pPr>
      <w:r>
        <w:rPr>
          <w:sz w:val="22"/>
          <w:szCs w:val="22"/>
        </w:rPr>
        <w:t xml:space="preserve">Can I retire in Thailand on $3,500 a month? (Honest answer)</w:t>
      </w:r>
    </w:p>
    <w:p>
      <w:pPr>
        <w:pStyle w:val="ListParagraph"/>
        <w:numPr>
          <w:ilvl w:val="0"/>
          <w:numId w:val="2"/>
        </w:numPr>
        <w:spacing w:after="70"/>
      </w:pPr>
      <w:r>
        <w:rPr>
          <w:sz w:val="22"/>
          <w:szCs w:val="22"/>
        </w:rPr>
        <w:t xml:space="preserve">What is NAD+ therapy, what does it cost in the US, and what does it cost in Bangkok?</w:t>
      </w:r>
    </w:p>
    <w:p>
      <w:pPr>
        <w:pStyle w:val="ListParagraph"/>
        <w:numPr>
          <w:ilvl w:val="0"/>
          <w:numId w:val="2"/>
        </w:numPr>
        <w:spacing w:after="70"/>
      </w:pPr>
      <w:r>
        <w:rPr>
          <w:sz w:val="22"/>
          <w:szCs w:val="22"/>
        </w:rPr>
        <w:t xml:space="preserve">The unexpected happened in Bangkok. Here is why I am glad it did.</w:t>
      </w:r>
    </w:p>
    <w:p>
      <w:r>
        <w:br w:type="page"/>
      </w:r>
    </w:p>
    <w:p>
      <w:pPr>
        <w:pStyle w:val="Heading1"/>
        <w:pBdr>
          <w:bottom w:val="single" w:color="1B2B3A" w:sz="8" w:space="4"/>
        </w:pBdr>
        <w:spacing w:after="180" w:before="360"/>
      </w:pPr>
      <w:r>
        <w:rPr>
          <w:b/>
          <w:bCs/>
          <w:color w:val="1B2B3A"/>
        </w:rPr>
        <w:t xml:space="preserve">07 — Organizational Structure</w:t>
      </w:r>
    </w:p>
    <w:p>
      <w:pPr>
        <w:pStyle w:val="Heading2"/>
        <w:spacing w:after="100" w:before="260"/>
      </w:pPr>
      <w:r>
        <w:rPr>
          <w:color w:val="1B2B3A"/>
        </w:rPr>
        <w:t xml:space="preserve">Year 1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Role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Who</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Structure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Founder / CEO</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Sonny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Full time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Physician Oversight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Casanova's physician on board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Part-time advisory, fee per review + monthly retainer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In-Country Coordinator, Bangkok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To be hired — Bangkok-based, English-speaking, medical background preferred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Part-time to start, full-time at 75+ patients/year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Technical (CPP build)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Ashik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Per CPP Integration Spec — see separate document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Experience Asia logistics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Stephen McEvoy's team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White-label, per-client, no headcount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Legal / Compliance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External — Thai lawyer + US patient advocacy legal review</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Retainer</w:t>
            </w:r>
          </w:p>
        </w:tc>
      </w:tr>
    </w:tbl>
    <w:p>
      <w:r>
        <w:br w:type="page"/>
      </w:r>
    </w:p>
    <w:p>
      <w:pPr>
        <w:pStyle w:val="Heading1"/>
        <w:pBdr>
          <w:bottom w:val="single" w:color="1B2B3A" w:sz="8" w:space="4"/>
        </w:pBdr>
        <w:spacing w:after="180" w:before="360"/>
      </w:pPr>
      <w:r>
        <w:rPr>
          <w:b/>
          <w:bCs/>
          <w:color w:val="1B2B3A"/>
        </w:rPr>
        <w:t xml:space="preserve">08 — 90-Day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Week</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Milestone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Foundation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 brand and positioning finalized. Three-document suite complete. Physician onboarded formally. Experience Asia white-label terms agreed.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Website and CPP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 site updated to reflect full positioning (the three-tier program, the therapy menu, the personas). CPP build begins per Integration Spec.</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5-6</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First outreach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10 personal introductions from founder network. Not cold. Warm conversations with people in the exact target demographic. First 3 consultations.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7-8</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First CPP patients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CPP live. First 10 patients enrolled. Crius order placed for Protocol A+B. COA commissioned.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9-10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First Reset patient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First Tier 1 patient booked, briefed, and routed. Experience Asia logistics confirmed. In-country coordinator in place.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11-12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Content and community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First three content pieces published. Outreach to first podcast. 20 CPP patients. 3 Reset patients completed or in-country.</w:t>
            </w:r>
          </w:p>
        </w:tc>
      </w:tr>
    </w:tbl>
    <w:p>
      <w:r>
        <w:br w:type="page"/>
      </w:r>
    </w:p>
    <w:p>
      <w:pPr>
        <w:pStyle w:val="Heading1"/>
        <w:pBdr>
          <w:bottom w:val="single" w:color="1B2B3A" w:sz="8" w:space="4"/>
        </w:pBdr>
        <w:spacing w:after="180" w:before="360"/>
      </w:pPr>
      <w:r>
        <w:rPr>
          <w:b/>
          <w:bCs/>
          <w:color w:val="1B2B3A"/>
        </w:rPr>
        <w:t xml:space="preserve">09 — The Long Game</w:t>
      </w:r>
    </w:p>
    <w:p>
      <w:pPr>
        <w:spacing w:after="130"/>
      </w:pPr>
      <w:r>
        <w:rPr>
          <w:sz w:val="22"/>
          <w:szCs w:val="22"/>
        </w:rPr>
        <w:t xml:space="preserve">At 400+ patients annually with documented outcomes, Casanova becomes something more than a navigation business. It becomes the definitive trust layer between the American 55+ health market and Southeast Asian medical and wellness infrastructure.</w:t>
      </w:r>
    </w:p>
    <w:p>
      <w:pPr>
        <w:spacing w:after="130"/>
      </w:pPr>
      <w:r>
        <w:rPr>
          <w:sz w:val="22"/>
          <w:szCs w:val="22"/>
        </w:rPr>
        <w:t xml:space="preserve">That asset — a verified, outcomes-tracked pipeline of pre-qualified American patients, routed through a trusted human relationship, with longitudinal data on what works — is not something a hospital can build top-down, not something a wellness resort can create from their own marketing, and not something a generic medical tourism platform with no human layer can replicate.</w:t>
      </w:r>
    </w:p>
    <w:p>
      <w:pPr>
        <w:spacing w:after="130"/>
      </w:pPr>
      <w:r>
        <w:rPr>
          <w:sz w:val="22"/>
          <w:szCs w:val="22"/>
        </w:rPr>
        <w:t xml:space="preserve">The exit thesis, if there is one, is acquisition by a hospital group, wellness platform, or health insurance company that wants to own the US-to-SEA patient pipeline. The more likely outcome is a business that generates $3-5M annually in fee revenue, requires minimal capital, runs on relationships, and makes a genuine and meaningful difference in the lives of the people it serves.</w:t>
      </w:r>
    </w:p>
    <w:p>
      <w:pPr>
        <w:shd w:fill="A8332B" w:val="clear"/>
        <w:spacing w:after="180" w:before="180"/>
        <w:ind w:left="180" w:right="180"/>
      </w:pPr>
      <w:r>
        <w:rPr>
          <w:b/>
          <w:bCs/>
          <w:color w:val="FFFFFF"/>
          <w:sz w:val="23"/>
          <w:szCs w:val="23"/>
        </w:rPr>
        <w:t xml:space="preserve">That is worth building. Not for the exit. For the retired professors who can't afford their medication and the widowers who deserve to feel alive again and the people who know a better life is possible and just need the door.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B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2026-06-25T05:27:24.478Z</dcterms:created>
  <dcterms:modified xsi:type="dcterms:W3CDTF">2026-06-25T05:27:24.479Z</dcterms:modified>
</cp:coreProperties>
</file>

<file path=docProps/custom.xml><?xml version="1.0" encoding="utf-8"?>
<Properties xmlns="http://schemas.openxmlformats.org/officeDocument/2006/custom-properties" xmlns:vt="http://schemas.openxmlformats.org/officeDocument/2006/docPropsVTypes"/>
</file>