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urier New" w:cs="Courier New" w:eastAsia="Courier New" w:hAnsi="Courier New"/>
          <w:b/>
          <w:bCs/>
          <w:color w:val="6B6B6B"/>
          <w:sz w:val="16"/>
          <w:szCs w:val="16"/>
        </w:rPr>
        <w:t xml:space="preserve">MASTER FIX LIST v2 · FOR ASHIK · PRIVATE &amp; CONFIDENTIAL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A1A1A"/>
          <w:sz w:val="36"/>
          <w:szCs w:val="36"/>
        </w:rPr>
        <w:t xml:space="preserve">Casanova — The Money Machine Composite Fix</w:t>
      </w:r>
    </w:p>
    <w:p>
      <w:pPr>
        <w:spacing w:after="300"/>
      </w:pPr>
      <w:r>
        <w:rPr>
          <w:rFonts w:ascii="Georgia" w:cs="Georgia" w:eastAsia="Georgia" w:hAnsi="Georgia"/>
          <w:i/>
          <w:iCs/>
          <w:color w:val="8B1A1A"/>
          <w:sz w:val="22"/>
          <w:szCs w:val="22"/>
        </w:rPr>
        <w:t xml:space="preserve">Everything from the P0 fix list, plus the growth layer that turns a good site into a revenue engine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400"/>
      </w:tblGrid>
      <w:tr>
        <w:trPr>
          <w:tblHeader/>
        </w:trPr>
        <w:tc>
          <w:tcPr>
            <w:tcW w:type="dxa" w:w="18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74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P0</w:t>
            </w:r>
          </w:p>
        </w:tc>
        <w:tc>
          <w:tcPr>
            <w:tcW w:type="dxa" w:w="7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Blocking revenue or carrying real regulatory exposure — fix before anything else</w:t>
            </w:r>
          </w:p>
        </w:tc>
      </w:tr>
      <w:tr>
        <w:tc>
          <w:tcPr>
            <w:tcW w:type="dxa" w:w="18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P1</w:t>
            </w:r>
          </w:p>
        </w:tc>
        <w:tc>
          <w:tcPr>
            <w:tcW w:type="dxa" w:w="74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Blocking growth, discoverability, or conversion — fix this sprint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P2</w:t>
            </w:r>
          </w:p>
        </w:tc>
        <w:tc>
          <w:tcPr>
            <w:tcW w:type="dxa" w:w="7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Compounds over time — fix once P0/P1 are live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Verified Live State — Re-Checked Against the Actual Site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Hero motto is currently “Consult. Suggest. Route. Oversee. Love.” — not the “Absorb. Navigate. Restore. Love.” copy specified above. This needs to be a deliberate decision, not a drift — confirm which framework is actually going live before more content gets built around either one.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Hospital names are still live and described as “personally vetted,” including “Casanova's primary clinical partner” language for Bumrungrad — naming Bumrungrad, RAKxa, Kamalaya, Chiva-Som, Penang Adventist &amp; Prince Court, and FV Hospital &amp; Vinmec directly. This is the single highest-priority unresolved item on this entire list, confirmed still live as of this check.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Renew tier still names “CAR-NK engineered immune cells” and cultured stem cell therapy explicitly — the ATMP compliance rewrite has not been applied.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/brief.html is still mailto-only — “Launch issue one” and “Sponsor or subscribe” both route to a personal email. No Beehiiv, no Stripe, no list.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Homepage nav still doesn't link to Brief, Sponsors, Caregivers, or the new Countries page — confirmed still missing.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Part 1 — Foundation (Recap, Unchanged Since Last Pass)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Renew-tier compliance fix — drop named CAR-NK/cultured stem cell language to category-level until institutional ATMP licensing is confirmed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Site-wide disclaimer block — the three adopted compliance paragraphs, live in the footer and near Wellness Partner Network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Beehiiv + Stripe behind /brief.html — replace both mailto CTAs with real signup/paid-tier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Lock the newsletter name and confirm payment infrastructure with Sonny — both still open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Part 2 — The Money Machine Layer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1. Cross-Sell the Funnel — P0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rPr>
          <w:tblHeader/>
        </w:trPr>
        <w:tc>
          <w:tcPr>
            <w:tcW w:type="dxa" w:w="30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Page</w:t>
            </w:r>
          </w:p>
        </w:tc>
        <w:tc>
          <w:tcPr>
            <w:tcW w:type="dxa" w:w="62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Add This Cross-Sell</w:t>
            </w:r>
          </w:p>
        </w:tc>
      </w:tr>
      <w:t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/brief.html (after signup)</w:t>
            </w:r>
          </w:p>
        </w:tc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Immediate redirect or email: “Want a second opinion on any of this? Start a free eligibility check.” → links to Start Free Check</w:t>
            </w:r>
          </w:p>
        </w:tc>
      </w:tr>
      <w:tr>
        <w:tc>
          <w:tcPr>
            <w:tcW w:type="dxa" w:w="30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Program pages (Reset/Restore/Renew)</w:t>
            </w:r>
          </w:p>
        </w:tc>
        <w:tc>
          <w:tcPr>
            <w:tcW w:type="dxa" w:w="62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“Get our free weekly Brief for the research behind these protocols” — embedded signup block, not just a footer link</w:t>
            </w:r>
          </w:p>
        </w:tc>
      </w:tr>
      <w:t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/sponsors.html</w:t>
            </w:r>
          </w:p>
        </w:tc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“Already working with patients like ours? Become an Ambassador instead” — cross-link to /ambassadors once live</w:t>
            </w:r>
          </w:p>
        </w:tc>
      </w:tr>
      <w:tr>
        <w:tc>
          <w:tcPr>
            <w:tcW w:type="dxa" w:w="30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/caregivers.html</w:t>
            </w:r>
          </w:p>
        </w:tc>
        <w:tc>
          <w:tcPr>
            <w:tcW w:type="dxa" w:w="62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“Know someone who'd be a great fit? Refer them” — links into the Ambassador referral flow</w:t>
            </w:r>
          </w:p>
        </w:tc>
      </w:tr>
    </w:tbl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2. Self-Serve Checkout Everywhere It's Feasible — P0/P1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Sponsors — Directory/Featured Listing tier (the lowest-friction, fastest-to-close product) gets a real Stripe checkout link, no sales call required to start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Brief — paid tier checkout embedded directly, not a mailto — covered in Part 1, restated because it's the biggest single lever on this list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Ambassador and Creator applications — a real form with instant confirmation, not an email into a general inbox — speed of approval is part of what makes referral programs actually work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3. Know What's Actually Making Money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Install basic analytics (GA4 or Plausible — Plausible is lighter-weight and doesn't require a cookie-consent banner, worth considering given the international patient audience) across every page, including Brief, Sponsors, Ambassadors, Creators, Caregivers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UTM-tag every distinct channel — each Ambassador's referral code, each Creator's tracked link, each Sponsor placement — so commission and attribution match what's actually driving signups, not guesswork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simple internal dashboard (even a spreadsheet at first) showing: Brief free → paid conversion rate, program-page → Start Free Check conversion rate, and revenue per channel — review monthly, not just at fundraising time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4. Retention &amp; Scarcity Mechanics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visible counter — “17 of 50 Founding spots filled” — anywhere the Founding Fifty program is mentioned; real scarcity showed, not implied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waitlist mechanism for Renew-tier consultations once institutional ATMP verification limits which therapies can be offered — turns a compliance constraint into a demand signal instead of a dead end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simple win-back email sequence for anyone who starts “Start Free Check” and doesn't finish — the single highest-intent abandoned action on the site and currently nothing happens after it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5. Trust Signals, Done Within the Compliance Guardrails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Process and experience testimonials (“the coordination was seamless, I felt supported the whole way”) rather than outcome testimonials (“my biomarkers improved 40%”) — real, compliant, and still persuasive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Physician credentials and photos visible near program tiers, not buried on an About page — people are trusting a person, not a brand, for this category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Once Wall of Honor is live, feature 1–2 named Ambassador physicians directly on relevant program pages — borrowed trust from someone the visitor might actually recognize or relate to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6. Basic SEO — P2, but Cheap and Compounding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Unique page titles and meta descriptions for every page — especially The Brief, which is exactly the kind of content Google rewards if it's genuinely useful and updated weekly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sitemap.xml submitted to Google Search Console — five-minute task, currently likely missing given the nav gaps already found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Target the Price Check section of the Brief at real search terms people are already typing — “NAD+ therapy cost,” “stem cell therapy Thailand cost” — this section alone could become the site's biggest organic acquisition channel over time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7. Hero &amp; Four Pillars — Final Copy, P1</w:t>
      </w:r>
    </w:p>
    <w:p>
      <w:pPr>
        <w:pBdr>
          <w:left w:val="single" w:color="8B1A1A" w:sz="12" w:space="8"/>
        </w:pBdr>
        <w:shd w:fill="F2F0EC" w:val="clear"/>
        <w:spacing w:after="140" w:line="300"/>
        <w:ind w:left="200"/>
      </w:pP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Absorb. Navigate. Restore. Love.
Physician-reviewed medical navigation across Southeast Asia's top-tier institutions — for anyone ready to put their own health first.
Bumrungrad · RAKxa · Kamalaya — coordinated by a dedicated navigator from your first question through full recovery.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Absorb — Trusted, physician-reviewed knowledge, explained clearly.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Navigate — One coordinator. Every appointment, every step.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Restore — Structured care, built around real outcomes.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Love — Choosing yourself isn't indulgent. It's essential.</w:t>
      </w:r>
    </w:p>
    <w:p>
      <w:pPr>
        <w:pBdr>
          <w:left w:val="single" w:color="8B1A1A" w:sz="12" w:space="8"/>
        </w:pBdr>
        <w:shd w:fill="F2F0EC" w:val="clear"/>
        <w:spacing w:after="140" w:line="300"/>
        <w:ind w:left="200"/>
      </w:pP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Absorb. Navigate. Restore. Love. Built around you — however you define what that means.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8. Mobile UX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Larger body text, more white space, larger tappable buttons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sticky top nav once the full page list is finalized (Home, Programs, How It Works, CPP, Partners, The Brief, FAQ)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Move Start Free Check higher on the page and keep it low-pressure — state clearly “no charge until clinician approval” directly on the form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9. Lead Magnet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Gate the guide behind the same email capture as the Brief signup — one list, not a fragmented one, and a natural upsell path from guide → free Brief → paid Brief → Start Free Check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10. SEO Keyword Targets — P2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“medical tourism Thailand,” “Bumrungrad concierge,” “longevity retreat Thailand” — head terms worth a dedicated page or prominent section each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“NAD+ therapy cost,” “stem cell therapy Thailand cost,” “full body MRI cost Thailand” — direct extensions of the Price Check format already designed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A Note on the Referral Structure in the Latest Draft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Paying a physician or patient-referral source a percentage of program revenue for steering a patient into a specific paid treatment is the exact fact pattern EKRA (the Eliminating Kickbacks in Recovery Act) and most state patient-brokering statutes prohibit — EKRA applies to all payers, including cash-pay, not just insurance billing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Client-to-client referral credit toward the referrer's own future services is fine — ordinary consumer referral discounting, no different from any consumer referral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Clinician and institutional-partner compensation tied to a percentage of a specific patient's treatment revenue is the line not to cross — use flat introduction fees instead, exactly as already structured in the Ambassador/Affiliate program (flat per-enrollment fees, explicit no-medical-advice standards, commission tied to the referral relationship, not to a percentage of that patient's treatment revenue)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Two Open Decisions — Not Ashik's Call, Need Sonny First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Name consistency — “Casanova Medical,” “Casanova Medicals,” and the live domain casanovamed.com currently don't match across documents. Pick one before more content gets built around any of them.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Pricing consistency — a separate draft proposes $5,900 / $12,500 / $24,500 coordination fees, which don't match the CIN brief's investor-facing $4,500 / $9,500 / $18,500. If pricing is genuinely changing, the CIN brief needs a v4 update too — investors and the site can't show different numbers.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Region-by-Region B2C and B2B Sales Strategy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United States — The Demand Side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Primary channel: The Brief, once it actually collects subscribers — SEO-driven organic (Price Check terms), plus paid social targeting 55+ Americans researching longevity/regenerative therapy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Geographic concentration: Florida, California, and Texas — same states leading US concierge/DPC density, meaning the target patient and the target referral partner already cluster in the same three states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Message: legitimacy first (physician-reviewed, accredited institutions), self-respect/inclusion framing second — per the audience map, “is this real” beats every other consideration for a first-time buyer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Founding Fifty as the initial B2C conversion lever — real scarcity, visible proof, no paid acquisition spend required for the first cohort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Primary target: MDVIP (1,400+ affiliated physicians, one relationship, national reach) — approach before individual practice-by-practice outreach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Secondary target: DPC Alliance — attend or sponsor the annual DPC Summit for direct practice-owner access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Tertiary: targeted outreach into the NextMD.ai directory, filtered to Florida, California, and Texas practices first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Message to B2B: revenue share without infrastructure build-out, physician-reviewed intake removes liability concern, de-identified outcomes data as a value-add for their own patient marketing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Thailand — The Anchor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Primary audience: the frustrated American — legitimacy-first messaging anchored on Bumrungrad-caliber credibility once that relationship is actually signed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Secondary, smaller audience: Thai-based expats and long-tenure residents — reached through the Ambassador channel (InterNations Bangkok, AmCham, BCCT) rather than paid acquisition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Government tailwind to cite directly in outreach: Thailand's 2026 “Golden Year of Healthcare” campaign and TAT's “Healing Is the New Luxury” positioning — use this to open conversations, not just as background context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Priority outreach: Medeze (single relationship covers Bangkok and Ho Chi Minh City), then Bumrungrad VitalLife, then the mid-tier longevity specialists (Healthi Life, Miracle Regenerative Center)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Malaysia — The Institutional Leverage Play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Core audience remains the same American 55+ buyer, routed to Malaysia when Thailand availability or specific protocol fit points there instead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real, distinct secondary audience worth naming honestly: Singapore-based patients already crossing into Malaysia for lower-cost stem cell and regenerative therapy — a genuine, currently underserved segment, and a natural extension of the inclusive positioning already adopted. Worth a deliberate decision, not an assumption, on whether to pursue this segment now or note it for later.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Malaysia's Muslim-friendly healthcare ecosystem is a real, government-supported differentiator — relevant if pursuing any Middle East or Southeast Asian Muslim patient segment, consistent with the “for every person” framing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Priority target: MHTC (Malaysia Healthcare Travel Council) — one government relationship, 80 member hospitals, same single-door leverage logic as MDVIP in the US and Subedi in Nepal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Secondary: the Flagship Medical Tourism Hospital shortlist (Institut Jantung Negara, Island Hospital Penang, Mahkota Medical Centre, Subang Jaya Medical Centre) — government-vetted credibility built in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Cite the national “Malaysia Year of Medical Tourism 2026” campaign directly in outreach — this is an active government sales motion you can align with, not compete against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Vietnam — The Emerging-Value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Positioned honestly as the value-oriented option within the three-country map, not the flagship destination — useful for price-sensitive segments of the same core American 55+ audience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Vietnamese diaspora in the US is a plausible longer-term Ambassador/Creator audience, parallel to the Nepali/Burmese diaspora channel already built for Thailand — not urgent, but worth keeping on the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Priority target: Medeze (shared relationship with the Bangkok entity, fastest to close)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Secondary: Vinmec, on the strength of its dedicated Research Institute of Stem Cells and Gene Technology — the strongest scientific credibility signal available in-country, worth leading with in any pitch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FV Hospital as a third target once bandwidth allows — JCI-accredited with active regenerative and multilingual services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Build Sequence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1: Everything in Part 1 (unchanged foundation) — nothing else matters until this ships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2: Cross-sell links across existing pages (#1) + Sponsors self-serve checkout (#2) — fastest revenue impact for the least build effort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2–3: Analytics and UTM tracking (#3) — stand this up before scaling any single channel further, or you're optimizing blind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3: Founding Fifty counter + Start Free Check win-back sequence (#4)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3–4: Trust signals (#5), layered in as Wall of Honor and Ambassador pages go live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3–4: Four Pillars page structure (#7) and mobile UX fixes (#8), done together since both touch the same page templates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4: Lead magnet (#9), tied to the same Beehiiv list already being stood 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Ongoing: SEO basics (#6, #10) — low effort, do in parallel with everything else, not after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Parallel track: MDVIP and Medeze outreach (region-by-region strategy above) — BD conversations don't block on site fixes, run both simultaneously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Do not build: the percentage-based clinician/partner referral structure, until reviewed with counsel</w:t>
      </w:r>
    </w:p>
    <w:p>
      <w:pPr>
        <w:pBdr>
          <w:bottom w:val="single" w:color="CCCCCC" w:sz="4" w:space="1"/>
        </w:pBdr>
        <w:spacing w:after="200" w:before="100"/>
      </w:pPr>
    </w:p>
    <w:p>
      <w:pPr>
        <w:spacing w:before="200"/>
      </w:pPr>
      <w:r>
        <w:rPr>
          <w:rFonts w:ascii="Georgia" w:cs="Georgia" w:eastAsia="Georgia" w:hAnsi="Georgia"/>
          <w:i/>
          <w:iCs/>
          <w:color w:val="6B6B6B"/>
          <w:sz w:val="16"/>
          <w:szCs w:val="16"/>
        </w:rPr>
        <w:t xml:space="preserve">This document is private and confidential. Not for distribution.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2026-07-09T07:38:20.420Z</dcterms:created>
  <dcterms:modified xsi:type="dcterms:W3CDTF">2026-07-09T07:38:20.435Z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