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urier New" w:cs="Courier New" w:eastAsia="Courier New" w:hAnsi="Courier New"/>
          <w:b/>
          <w:bCs/>
          <w:color w:val="6B6B6B"/>
          <w:sz w:val="16"/>
          <w:szCs w:val="16"/>
        </w:rPr>
        <w:t xml:space="preserve">STRATEGY + OUTREACH MAP · FOR ASHIK &amp; SONNY · PRIVATE &amp; CONFIDENTIAL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34"/>
          <w:szCs w:val="34"/>
        </w:rPr>
        <w:t xml:space="preserve">Country Strategy, Institutional Map &amp; US Correlatory Data</w:t>
      </w:r>
    </w:p>
    <w:p>
      <w:pPr>
        <w:spacing w:after="300"/>
      </w:pPr>
      <w:r>
        <w:rPr>
          <w:rFonts w:ascii="Georgia" w:cs="Georgia" w:eastAsia="Georgia" w:hAnsi="Georgia"/>
          <w:i/>
          <w:iCs/>
          <w:color w:val="8B1A1A"/>
          <w:sz w:val="22"/>
          <w:szCs w:val="22"/>
        </w:rPr>
        <w:t xml:space="preserve">Thailand, Malaysia, Vietnam — plus the US-side data that makes the Price Check and white-label pipeline real</w:t>
      </w:r>
    </w:p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Urgent — Site Language Needs to Change Now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AA3333"/>
          <w:sz w:val="16"/>
          <w:szCs w:val="16"/>
        </w:rPr>
        <w:t xml:space="preserve">BEFORE</w:t>
      </w:r>
    </w:p>
    <w:p>
      <w:pPr>
        <w:shd w:fill="F7EAEA" w:val="clear"/>
        <w:spacing w:after="100"/>
      </w:pPr>
      <w:r>
        <w:rPr>
          <w:rFonts w:ascii="Georgia" w:cs="Georgia" w:eastAsia="Georgia" w:hAnsi="Georgia"/>
          <w:strike/>
          <w:color w:val="1A1A1A"/>
          <w:sz w:val="20"/>
          <w:szCs w:val="20"/>
        </w:rPr>
        <w:t xml:space="preserve">Our Wellness Partner Network: Bumrungrad, RAKxa, Kamalaya, Chiva-Som, FV Hospital, Vinmec.</w:t>
      </w:r>
    </w:p>
    <w:p>
      <w:pPr>
        <w:spacing w:after="40"/>
      </w:pPr>
      <w:r>
        <w:rPr>
          <w:rFonts w:ascii="Courier New" w:cs="Courier New" w:eastAsia="Courier New" w:hAnsi="Courier New"/>
          <w:b/>
          <w:bCs/>
          <w:color w:val="2E7D32"/>
          <w:sz w:val="16"/>
          <w:szCs w:val="16"/>
        </w:rPr>
        <w:t xml:space="preserve">AFTER</w:t>
      </w:r>
    </w:p>
    <w:p>
      <w:pPr>
        <w:shd w:fill="EAF5EA" w:val="clear"/>
        <w:spacing w:after="160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We coordinate access to leading accredited institutions across Thailand, Malaysia, and Vietnam. Specific placements are confirmed individually with each patient based on current institutional availability.</w:t>
      </w:r>
    </w:p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Thailand — Candidate Institutions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60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Why It Fits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Bumrungrad International / VitalLife Wellness Center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Top-tier JCI-accredited brand; strongest single credibility anchor available in Bangkok</w:t>
            </w:r>
          </w:p>
        </w:tc>
      </w:tr>
      <w:tr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Healthi Life (Ekkamai)</w:t>
            </w:r>
          </w:p>
        </w:tc>
        <w:tc>
          <w:tcPr>
            <w:tcW w:type="dxa" w:w="6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Physician-led longevity house; protocol menu closely matches Casanova's tiers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Miracle Regenerative Center (Sukhumvit 42)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Thai MOPH-licensed; MSC therapy, NAD+, IV nutrient programs</w:t>
            </w:r>
          </w:p>
        </w:tc>
      </w:tr>
      <w:tr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Medeze Medical Clinic (Bangkok + Ho Chi Minh City)</w:t>
            </w:r>
          </w:p>
        </w:tc>
        <w:tc>
          <w:tcPr>
            <w:tcW w:type="dxa" w:w="6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Operates in two target countries under one brand — one relationship, two markets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Vega Clinic, Revival Clinic Bangkok, StemCells21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Established regenerative/longevity specialists, active in medical-tourism channels already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Malaysia — Candidate Institutions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00"/>
      </w:tblGrid>
      <w:tr>
        <w:trPr>
          <w:tblHeader/>
        </w:trPr>
        <w:tc>
          <w:tcPr>
            <w:tcW w:type="dxa" w:w="38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56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Why It Fits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Malaysia Healthcare Travel Council (MHTC)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Government body under the Ministry of Health with 80 member hospitals nationwide — a single MHTC relationship is the Malaysia equivalent of MHTC-style leverage: one door, many hospitals, same logic as pursuing Subedi's Nepal relationship instead of individual clinics</w:t>
            </w:r>
          </w:p>
        </w:tc>
      </w:tr>
      <w:tr>
        <w:tc>
          <w:tcPr>
            <w:tcW w:type="dxa" w:w="38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Flagship Medical Tourism Hospital shortlist — Institut Jantung Negara, Island Hospital Penang, Mahkota Medical Centre, Subang Jaya Medical Centre</w:t>
            </w:r>
          </w:p>
        </w:tc>
        <w:tc>
          <w:tcPr>
            <w:tcW w:type="dxa" w:w="5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Government-recognized gold-standard hospitals under the FMTH programme — built-in credibility signal</w:t>
            </w:r>
          </w:p>
        </w:tc>
      </w:tr>
      <w:tr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FirstCell Malaysia, Longevity Clinic by Medkos, ZELL-V Wellness Hub (Kuala Lumpur)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Dedicated longevity/regenerative specialists matching Casanova's Restore/Renew protocols</w:t>
            </w:r>
          </w:p>
        </w:tc>
      </w:tr>
      <w:tr>
        <w:tc>
          <w:tcPr>
            <w:tcW w:type="dxa" w:w="38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VITA Medical Wellness Resort (Penang)</w:t>
            </w:r>
          </w:p>
        </w:tc>
        <w:tc>
          <w:tcPr>
            <w:tcW w:type="dxa" w:w="56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175-room dedicated longevity wellness resort — strong fit for the Renew tier's retreat-style positioning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Vietnam — Candidate Institutions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Institution</w:t>
            </w:r>
          </w:p>
        </w:tc>
        <w:tc>
          <w:tcPr>
            <w:tcW w:type="dxa" w:w="60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Why It Fits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FV Hospital, Ho Chi Minh City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JCI-accredited, active regenerative department, multilingual patient services</w:t>
            </w:r>
          </w:p>
        </w:tc>
      </w:tr>
      <w:tr>
        <w:tc>
          <w:tcPr>
            <w:tcW w:type="dxa" w:w="34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Vinmec International Hospital Network (Hanoi &amp; HCMC)</w:t>
            </w:r>
          </w:p>
        </w:tc>
        <w:tc>
          <w:tcPr>
            <w:tcW w:type="dxa" w:w="60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Backed by a dedicated Research Institute of Stem Cells and Gene Technology — strongest scientific credibility in-country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Medeze Medical Clinic (Ho Chi Minh City)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Same group as the Bangkok location — natural first target for a two-country pilot agreement</w:t>
            </w:r>
          </w:p>
        </w:tc>
      </w:tr>
    </w:tbl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USA — Institutional Data &amp; Correlatory Analysis</w:t>
      </w:r>
    </w:p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Price Check Anchors — US Executive Health Programs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00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US Program</w:t>
            </w:r>
          </w:p>
        </w:tc>
        <w:tc>
          <w:tcPr>
            <w:tcW w:type="dxa" w:w="5200"/>
            <w:shd w:fill="1A1A1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Published Price Range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Mayo Clinic Executive Health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$5,000–$11,000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Cleveland Clinic Executive Health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$3,000–$25,000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Johns Hopkins Executive Health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Quote-based; premium tier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PartnerMD Executive Physical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$2,700–$4,000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Emory Healthcare Executive Physical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$3,000–$5,000+</w:t>
            </w:r>
          </w:p>
        </w:tc>
      </w:tr>
      <w:tr>
        <w:tc>
          <w:tcPr>
            <w:tcW w:type="dxa" w:w="4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Cooper Clinic (Dallas)</w:t>
            </w:r>
          </w:p>
        </w:tc>
        <w:tc>
          <w:tcPr>
            <w:tcW w:type="dxa" w:w="5200"/>
            <w:shd w:fill="F2F0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From $2,500</w:t>
            </w:r>
          </w:p>
        </w:tc>
      </w:tr>
      <w:tr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Fountain Life</w:t>
            </w:r>
          </w:p>
        </w:tc>
        <w:tc>
          <w:tcPr>
            <w:tcW w:type="dxa" w:w="5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 w:val="false"/>
                <w:bCs w:val="false"/>
                <w:color w:val="1A1A1A"/>
                <w:sz w:val="18"/>
                <w:szCs w:val="18"/>
              </w:rPr>
              <w:t xml:space="preserve">Premium tier; whole-body MRI, genetic testing, concierge model</w:t>
            </w:r>
          </w:p>
        </w:tc>
      </w:tr>
    </w:tbl>
    <w:p>
      <w:pPr>
        <w:pStyle w:val="Heading2"/>
        <w:spacing w:after="100" w:before="260"/>
      </w:pPr>
      <w:r>
        <w:rPr>
          <w:rFonts w:ascii="Georgia" w:cs="Georgia" w:eastAsia="Georgia" w:hAnsi="Georgia"/>
          <w:b/>
          <w:bCs/>
          <w:color w:val="8B1A1A"/>
          <w:sz w:val="23"/>
          <w:szCs w:val="23"/>
        </w:rPr>
        <w:t xml:space="preserve">White-Label Pipeline — US Concierge/DPC Outreach Targets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MDVIP — the largest membership-based healthcare network in the US, 1,400+ affiliated physicians nationwide. A single MDVIP-level relationship is the US equivalent of the MHTC logic above: one conversation, national reach, rather than one-by-one practice outreach.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DPC Alliance — the national trade association for direct primary care, co-hosts the annual DPC Summit (AAFP, ACOFP, FMEC) — a real venue for direct practice-owner outreach, not just a directory listing.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NextMD.ai directory — 6,185+ MD/DO-led concierge and DPC practices across 1,900+ US cities — useful as a targeted outreach list once a state-priority order is set.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Geographic priority: Florida (699 practices, highest density, retiree-heavy population), California (651 practices, higher average practice size), and Texas (571 practices, DPC-favorable state law) — concentrate initial outreach here rather than spreading thin nationally.</w:t>
      </w:r>
    </w:p>
    <w:p>
      <w:pPr>
        <w:pStyle w:val="Heading1"/>
        <w:pBdr>
          <w:bottom w:val="single" w:color="1A1A1A" w:sz="6" w:space="4"/>
        </w:pBdr>
        <w:spacing w:after="200" w:before="42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Prioritization — Where to Start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Institutional (clinical) side: Medeze first — same group operates in both Bangkok and Ho Chi Minh City, so one negotiation covers two countries. MHTC second, given the single-relationship leverage matches the Subedi/Nepal model you already trust.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US referral (white-label) side: MDVIP first, for the same single-relationship-many-doors logic. DPC Alliance's July 2026 Summit (New Orleans, July 16–19) is a live, near-term venue worth confirming attendance for if the timing works.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Georgia" w:cs="Georgia" w:eastAsia="Georgia" w:hAnsi="Georgia"/>
          <w:color w:val="1A1A1A"/>
          <w:sz w:val="21"/>
          <w:szCs w:val="21"/>
        </w:rPr>
        <w:t xml:space="preserve">Do not publish any institution's name on the site as a partner until its agreement is actually signed — use the country-level language from the top of this document until then.</w:t>
      </w:r>
    </w:p>
    <w:p>
      <w:pPr>
        <w:pBdr>
          <w:bottom w:val="single" w:color="CCCCCC" w:sz="4" w:space="1"/>
        </w:pBdr>
        <w:spacing w:after="200" w:before="100"/>
      </w:pPr>
    </w:p>
    <w:p>
      <w:pPr>
        <w:spacing w:before="200"/>
      </w:pPr>
      <w:r>
        <w:rPr>
          <w:rFonts w:ascii="Georgia" w:cs="Georgia" w:eastAsia="Georgia" w:hAnsi="Georgia"/>
          <w:i/>
          <w:iCs/>
          <w:color w:val="6B6B6B"/>
          <w:sz w:val="16"/>
          <w:szCs w:val="16"/>
        </w:rPr>
        <w:t xml:space="preserve">This document is private and confidential. Not for distribution.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2026-07-08T08:27:34.622Z</dcterms:created>
  <dcterms:modified xsi:type="dcterms:W3CDTF">2026-07-08T08:27:34.644Z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