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6B6B6B"/>
          <w:sz w:val="16"/>
          <w:szCs w:val="16"/>
        </w:rPr>
        <w:t xml:space="preserve">MASTER FIX LIST v2 · FOR ASHIK · PRIVATE &amp; CONFIDENTIAL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Casanova — The Money Machine Composite Fix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8B1A1A"/>
          <w:sz w:val="22"/>
          <w:szCs w:val="22"/>
        </w:rPr>
        <w:t xml:space="preserve">Everything from the P0 fix list, plus the growth layer that turns a good site into a revenue engine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Blocking revenue or carrying real regulatory exposure — fix before anything else</w:t>
            </w:r>
          </w:p>
        </w:tc>
      </w:tr>
      <w:tr>
        <w:tc>
          <w:tcPr>
            <w:tcW w:type="dxa" w:w="18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7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Blocking growth, discoverability, or conversion — fix this sprint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Compounds over time — fix once P0/P1 are live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Part 1 — Foundation (Recap, Unchanged Since Last Pass)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Renew-tier compliance fix — drop named CAR-NK/cultured stem cell language to category-level until institutional ATMP licensing is confirmed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Site-wide disclaimer block — the three adopted compliance paragraphs, live in the footer and near Wellness Partner Network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Beehiiv + Stripe behind /brief.html — replace both mailto CTAs with real signup/paid-tier 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Lock the newsletter name and confirm payment infrastructure with Sonny — both still open</w:t>
      </w:r>
    </w:p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Part 2 — The Money Machine Layer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1. Cross-Sell the Funnel — P0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6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Add This Cross-Sell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/brief.html (after signup)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Immediate redirect or email: “Want a second opinion on any of this? Start a free eligibility check.” → links to Start Free Check</w:t>
            </w:r>
          </w:p>
        </w:tc>
      </w:tr>
      <w:tr>
        <w:tc>
          <w:tcPr>
            <w:tcW w:type="dxa" w:w="3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Program pages (Reset/Restore/Renew)</w:t>
            </w:r>
          </w:p>
        </w:tc>
        <w:tc>
          <w:tcPr>
            <w:tcW w:type="dxa" w:w="6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“Get our free weekly Brief for the research behind these protocols” — embedded signup block, not just a footer link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/sponsors.html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“Already working with patients like ours? Become an Ambassador instead” — cross-link to /ambassadors once live</w:t>
            </w:r>
          </w:p>
        </w:tc>
      </w:tr>
      <w:tr>
        <w:tc>
          <w:tcPr>
            <w:tcW w:type="dxa" w:w="3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/caregivers.html</w:t>
            </w:r>
          </w:p>
        </w:tc>
        <w:tc>
          <w:tcPr>
            <w:tcW w:type="dxa" w:w="6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“Know someone who'd be a great fit? Refer them” — links into the Ambassador referral flow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2. Self-Serve Checkout Everywhere It's Feasible — P0/P1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Sponsors — Directory/Featured Listing tier (the lowest-friction, fastest-to-close product) gets a real Stripe checkout link, no sales call required to start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Brief — paid tier checkout embedded directly, not a mailto — covered in Part 1, restated because it's the biggest single lever on this 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Ambassador and Creator applications — a real form with instant confirmation, not an email into a general inbox — speed of approval is part of what makes referral programs actually work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3. Know What's Actually Making Money — P1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Install basic analytics (GA4 or Plausible — Plausible is lighter-weight and doesn't require a cookie-consent banner, worth considering given the international patient audience) across every page, including Brief, Sponsors, Ambassadors, Creators, Caregivers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UTM-tag every distinct channel — each Ambassador's referral code, each Creator's tracked link, each Sponsor placement — so commission and attribution match what's actually driving signups, not guesswork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simple internal dashboard (even a spreadsheet at first) showing: Brief free → paid conversion rate, program-page → Start Free Check conversion rate, and revenue per channel — review monthly, not just at fundraising time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4. Retention &amp; Scarcity Mechanics — P1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visible counter — “17 of 50 Founding spots filled” — anywhere the Founding Fifty program is mentioned; real scarcity showed, not implied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waitlist mechanism for Renew-tier consultations once institutional ATMP verification limits which therapies can be offered — turns a compliance constraint into a demand signal instead of a dead 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simple win-back email sequence for anyone who starts “Start Free Check” and doesn't finish — the single highest-intent abandoned action on the site and currently nothing happens after it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5. Trust Signals, Done Within the Compliance Guardrails — P1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Process and experience testimonials (“the coordination was seamless, I felt supported the whole way”) rather than outcome testimonials (“my biomarkers improved 40%”) — real, compliant, and still persuasive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Physician credentials and photos visible near program tiers, not buried on an About page — people are trusting a person, not a brand, for this category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Once Wall of Honor is live, feature 1–2 named Ambassador physicians directly on relevant program pages — borrowed trust from someone the visitor might actually recognize or relate to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6. Basic SEO — P2, but Cheap and Compounding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Unique page titles and meta descriptions for every page — especially The Brief, which is exactly the kind of content Google rewards if it's genuinely useful and updated weekly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sitemap.xml submitted to Google Search Console — five-minute task, currently likely missing given the nav gaps already found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Target the Price Check section of the Brief at real search terms people are already typing — “NAD+ therapy cost,” “stem cell therapy Thailand cost” — this section alone could become the site's biggest organic acquisition channel over time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7. Hero &amp; Four Pillars — Final Copy, P1</w:t>
      </w:r>
    </w:p>
    <w:p>
      <w:pPr>
        <w:pBdr>
          <w:left w:val="single" w:color="8B1A1A" w:sz="12" w:space="8"/>
        </w:pBdr>
        <w:shd w:fill="F2F0EC" w:val="clear"/>
        <w:spacing w:after="140" w:line="300"/>
        <w:ind w:left="200"/>
      </w:pP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Absorb. Navigate. Restore. Love.
Physician-reviewed medical navigation across Southeast Asia's top-tier institutions — for anyone ready to put their own health first.
Bumrungrad · RAKxa · Kamalaya — coordinated by a dedicated navigator from your first question through full recovery.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Absorb — Trusted, physician-reviewed knowledge, explained clearly.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Navigate — One coordinator. Every appointment, every step.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Restore — Structured care, built around real outcomes.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Love — Choosing yourself isn't indulgent. It's essential.</w:t>
      </w:r>
    </w:p>
    <w:p>
      <w:pPr>
        <w:pBdr>
          <w:left w:val="single" w:color="8B1A1A" w:sz="12" w:space="8"/>
        </w:pBdr>
        <w:shd w:fill="F2F0EC" w:val="clear"/>
        <w:spacing w:after="140" w:line="300"/>
        <w:ind w:left="200"/>
      </w:pP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Absorb. Navigate. Restore. Love. Built around you — however you define what that means.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8. Mobile UX — P1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Larger body text, more white space, larger tappable buttons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sticky top nav once the full page list is finalized (Home, Programs, How It Works, CPP, Partners, The Brief, FAQ)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Move Start Free Check higher on the page and keep it low-pressure — state clearly “no charge until clinician approval” directly on the form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9. Lead Magnet — P1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Gate the guide behind the same email capture as the Brief signup — one list, not a fragmented one, and a natural upsell path from guide → free Brief → paid Brief → Start Free Check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10. SEO Keyword Targets — P2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“medical tourism Thailand,” “Bumrungrad concierge,” “longevity retreat Thailand” — head terms worth a dedicated page or prominent section each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“NAD+ therapy cost,” “stem cell therapy Thailand cost,” “full body MRI cost Thailand” — direct extensions of the Price Check format already designed</w:t>
      </w:r>
    </w:p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A Note on the Referral Structure in the Latest Draft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Paying a physician or patient-referral source a percentage of program revenue for steering a patient into a specific paid treatment is the exact fact pattern EKRA (the Eliminating Kickbacks in Recovery Act) and most state patient-brokering statutes prohibit — EKRA applies to all payers, including cash-pay, not just insurance billing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Client-to-client referral credit toward the referrer's own future services is fine — ordinary consumer referral discounting, no different from any consumer referral program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Clinician and institutional-partner compensation tied to a percentage of a specific patient's treatment revenue is the line not to cross — use flat introduction fees instead, exactly as already structured in the Ambassador/Affiliate program (flat per-enrollment fees, explicit no-medical-advice standards, commission tied to the referral relationship, not to a percentage of that patient's treatment revenue)</w:t>
      </w:r>
    </w:p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Two Open Decisions — Not Ashik's Call, Need Sonny First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Name consistency — “Casanova Medical,” “Casanova Medicals,” and the live domain casanovamed.com currently don't match across documents. Pick one before more content gets built around any of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Pricing consistency — a separate draft proposes $5,900 / $12,500 / $24,500 coordination fees, which don't match the CIN brief's investor-facing $4,500 / $9,500 / $18,500. If pricing is genuinely changing, the CIN brief needs a v4 update too — investors and the site can't show different numbers.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1: Everything in Part 1 (unchanged foundation) — nothing else matters until this ships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2: Cross-sell links across existing pages (#1) + Sponsors self-serve checkout (#2) — fastest revenue impact for the least build effort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2–3: Analytics and UTM tracking (#3) — stand this up before scaling any single channel further, or you're optimizing blind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3: Founding Fifty counter + Start Free Check win-back sequence (#4)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3–4: Trust signals (#5), layered in as Wall of Honor and Ambassador pages go live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3–4: Four Pillars page structure (#7) and mobile UX fixes (#8), done together since both touch the same page templates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4: Lead magnet (#9), tied to the same Beehiiv list already being stood 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Ongoing: SEO basics (#6, #10) — low effort, do in parallel with everything else, not after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build: the percentage-based clinician/partner referral structure, until reviewed with counsel</w:t>
      </w:r>
    </w:p>
    <w:p>
      <w:pPr>
        <w:pBdr>
          <w:bottom w:val="single" w:color="CCCCCC" w:sz="4" w:space="1"/>
        </w:pBdr>
        <w:spacing w:after="200" w:before="100"/>
      </w:pP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6"/>
          <w:szCs w:val="16"/>
        </w:rPr>
        <w:t xml:space="preserve">This document is private and confidential. Not for distribution.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2026-07-08T08:19:16.711Z</dcterms:created>
  <dcterms:modified xsi:type="dcterms:W3CDTF">2026-07-08T08:19:16.733Z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