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ourier New" w:cs="Courier New" w:eastAsia="Courier New" w:hAnsi="Courier New"/>
          <w:b/>
          <w:bCs/>
          <w:color w:val="6B6B6B"/>
          <w:sz w:val="16"/>
          <w:szCs w:val="16"/>
        </w:rPr>
        <w:t xml:space="preserve">MASTER FIX LIST v2 · FOR ASHIK · PRIVATE &amp; CONFIDENTIAL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1A1A1A"/>
          <w:sz w:val="36"/>
          <w:szCs w:val="36"/>
        </w:rPr>
        <w:t xml:space="preserve">Casanova — The Money Machine Composite Fix</w:t>
      </w:r>
    </w:p>
    <w:p>
      <w:pPr>
        <w:spacing w:after="300"/>
      </w:pPr>
      <w:r>
        <w:rPr>
          <w:rFonts w:ascii="Georgia" w:cs="Georgia" w:eastAsia="Georgia" w:hAnsi="Georgia"/>
          <w:i/>
          <w:iCs/>
          <w:color w:val="8B1A1A"/>
          <w:sz w:val="22"/>
          <w:szCs w:val="22"/>
        </w:rPr>
        <w:t xml:space="preserve">Everything from the P0 fix list, plus the growth layer that turns a good site into a revenue engine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400"/>
      </w:tblGrid>
      <w:tr>
        <w:trPr>
          <w:tblHeader/>
        </w:trPr>
        <w:tc>
          <w:tcPr>
            <w:tcW w:type="dxa" w:w="1800"/>
            <w:shd w:fill="1A1A1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  <w:tc>
          <w:tcPr>
            <w:tcW w:type="dxa" w:w="7400"/>
            <w:shd w:fill="1A1A1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17"/>
                <w:szCs w:val="17"/>
              </w:rPr>
              <w:t xml:space="preserve">Meaning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8"/>
                <w:szCs w:val="18"/>
              </w:rPr>
              <w:t xml:space="preserve">P0</w:t>
            </w:r>
          </w:p>
        </w:tc>
        <w:tc>
          <w:tcPr>
            <w:tcW w:type="dxa" w:w="7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8"/>
                <w:szCs w:val="18"/>
              </w:rPr>
              <w:t xml:space="preserve">Blocking revenue or carrying real regulatory exposure — fix before anything else</w:t>
            </w:r>
          </w:p>
        </w:tc>
      </w:tr>
      <w:tr>
        <w:tc>
          <w:tcPr>
            <w:tcW w:type="dxa" w:w="1800"/>
            <w:shd w:fill="F2F0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8"/>
                <w:szCs w:val="18"/>
              </w:rPr>
              <w:t xml:space="preserve">P1</w:t>
            </w:r>
          </w:p>
        </w:tc>
        <w:tc>
          <w:tcPr>
            <w:tcW w:type="dxa" w:w="7400"/>
            <w:shd w:fill="F2F0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8"/>
                <w:szCs w:val="18"/>
              </w:rPr>
              <w:t xml:space="preserve">Blocking growth, discoverability, or conversion — fix this sprint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8"/>
                <w:szCs w:val="18"/>
              </w:rPr>
              <w:t xml:space="preserve">P2</w:t>
            </w:r>
          </w:p>
        </w:tc>
        <w:tc>
          <w:tcPr>
            <w:tcW w:type="dxa" w:w="7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8"/>
                <w:szCs w:val="18"/>
              </w:rPr>
              <w:t xml:space="preserve">Compounds over time — fix once P0/P1 are live</w:t>
            </w:r>
          </w:p>
        </w:tc>
      </w:tr>
    </w:tbl>
    <w:p>
      <w:pPr>
        <w:pStyle w:val="Heading1"/>
        <w:pBdr>
          <w:bottom w:val="single" w:color="1A1A1A" w:sz="6" w:space="4"/>
        </w:pBdr>
        <w:spacing w:after="200" w:before="42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Latest Nitpick Pass — Homepage, Countries, Brief</w:t>
      </w:r>
    </w:p>
    <w:p>
      <w:pPr>
        <w:pStyle w:val="Heading2"/>
        <w:spacing w:after="100" w:before="260"/>
      </w:pPr>
      <w:r>
        <w:rPr>
          <w:rFonts w:ascii="Georgia" w:cs="Georgia" w:eastAsia="Georgia" w:hAnsi="Georgia"/>
          <w:b/>
          <w:bCs/>
          <w:color w:val="8B1A1A"/>
          <w:sz w:val="23"/>
          <w:szCs w:val="23"/>
        </w:rPr>
        <w:t xml:space="preserve">Homepage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Nav is complete — every page links correctly. No dead links found.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Wellness Partner Network section is now internally inconsistent with the site's own Countries page: Thailand uses honest pathway language, but Malaysia and Vietnam still say “Personally vetted” and name Penang Adventist &amp; Prince Court and FV Hospital &amp; Vinmec directly — while /countries.html, one click away, explicitly says Casanova does not promise a fixed placement before intake. Fix below.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Renew tier still names CAR-NK and cultured stem cell therapy explicitly — unchanged across every check to date.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EBOO/ozone therapy is listed as included with no caution language — same category of issue as exosomes/NAD+, not yet separately addressed.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Footer disclaimer is general (CPP and outcomes language) but still doesn't contain the two adopted licensing-dependency paragraphs.</w:t>
      </w:r>
    </w:p>
    <w:p>
      <w:pPr>
        <w:spacing w:after="40"/>
      </w:pPr>
      <w:r>
        <w:rPr>
          <w:rFonts w:ascii="Courier New" w:cs="Courier New" w:eastAsia="Courier New" w:hAnsi="Courier New"/>
          <w:b/>
          <w:bCs/>
          <w:color w:val="AA3333"/>
          <w:sz w:val="16"/>
          <w:szCs w:val="16"/>
        </w:rPr>
        <w:t xml:space="preserve">BEFORE</w:t>
      </w:r>
    </w:p>
    <w:p>
      <w:pPr>
        <w:shd w:fill="F7EAEA" w:val="clear"/>
        <w:spacing w:after="100"/>
      </w:pPr>
      <w:r>
        <w:rPr>
          <w:rFonts w:ascii="Georgia" w:cs="Georgia" w:eastAsia="Georgia" w:hAnsi="Georgia"/>
          <w:strike/>
          <w:color w:val="1A1A1A"/>
          <w:sz w:val="20"/>
          <w:szCs w:val="20"/>
        </w:rPr>
        <w:t xml:space="preserve">Malaysia: Penang Adventist &amp; Prince Court — Personally vetted.
Vietnam: FV Hospital &amp; Vinmec — Personally vetted.</w:t>
      </w:r>
    </w:p>
    <w:p>
      <w:pPr>
        <w:spacing w:after="40"/>
      </w:pPr>
      <w:r>
        <w:rPr>
          <w:rFonts w:ascii="Courier New" w:cs="Courier New" w:eastAsia="Courier New" w:hAnsi="Courier New"/>
          <w:b/>
          <w:bCs/>
          <w:color w:val="2E7D32"/>
          <w:sz w:val="16"/>
          <w:szCs w:val="16"/>
        </w:rPr>
        <w:t xml:space="preserve">AFTER</w:t>
      </w:r>
    </w:p>
    <w:p>
      <w:pPr>
        <w:shd w:fill="EAF5EA" w:val="clear"/>
        <w:spacing w:after="160"/>
      </w:pPr>
      <w:r>
        <w:rPr>
          <w:rFonts w:ascii="Georgia" w:cs="Georgia" w:eastAsia="Georgia" w:hAnsi="Georgia"/>
          <w:color w:val="1A1A1A"/>
          <w:sz w:val="20"/>
          <w:szCs w:val="20"/>
        </w:rPr>
        <w:t xml:space="preserve">Malaysia: Regional specialist pathway — candidate institutions under review.
Vietnam: Regional recovery pathway — candidate institutions under review.
(Match the Thailand section's exact pathway phrasing and tone — don't introduce a third style.)</w:t>
      </w:r>
    </w:p>
    <w:p>
      <w:pPr>
        <w:pStyle w:val="Heading2"/>
        <w:spacing w:after="100" w:before="260"/>
      </w:pPr>
      <w:r>
        <w:rPr>
          <w:rFonts w:ascii="Georgia" w:cs="Georgia" w:eastAsia="Georgia" w:hAnsi="Georgia"/>
          <w:b/>
          <w:bCs/>
          <w:color w:val="8B1A1A"/>
          <w:sz w:val="23"/>
          <w:szCs w:val="23"/>
        </w:rPr>
        <w:t xml:space="preserve">/countries.html</w:t>
      </w:r>
    </w:p>
    <w:p>
      <w:pPr>
        <w:pStyle w:val="Heading2"/>
        <w:spacing w:after="100" w:before="260"/>
      </w:pPr>
      <w:r>
        <w:rPr>
          <w:rFonts w:ascii="Georgia" w:cs="Georgia" w:eastAsia="Georgia" w:hAnsi="Georgia"/>
          <w:b/>
          <w:bCs/>
          <w:color w:val="8B1A1A"/>
          <w:sz w:val="23"/>
          <w:szCs w:val="23"/>
        </w:rPr>
        <w:t xml:space="preserve">/brief.html — the real “buttons don't work” finding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Hero motto is currently “Consult. Suggest. Route. Oversee. Love.” — not the “Absorb. Navigate. Restore. Love.” copy specified above. This needs to be a deliberate decision, not a drift — confirm which framework is actually going live before more content gets built around either one.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Hospital names are still live and described as “personally vetted,” including “Casanova's primary clinical partner” language for Bumrungrad — naming Bumrungrad, RAKxa, Kamalaya, Chiva-Som, Penang Adventist &amp; Prince Court, and FV Hospital &amp; Vinmec directly. This is the single highest-priority unresolved item on this entire list, confirmed still live as of this check.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Renew tier still names “CAR-NK engineered immune cells” and cultured stem cell therapy explicitly — the ATMP compliance rewrite has not been applied.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/brief.html is still mailto-only — “Launch issue one” and “Sponsor or subscribe” both route to a personal email. No Beehiiv, no Stripe, no list.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Homepage nav still doesn't link to Brief, Sponsors, Caregivers, or the new Countries page — confirmed still missing.</w:t>
      </w:r>
    </w:p>
    <w:p>
      <w:pPr>
        <w:pStyle w:val="Heading1"/>
        <w:pBdr>
          <w:bottom w:val="single" w:color="1A1A1A" w:sz="6" w:space="4"/>
        </w:pBdr>
        <w:spacing w:after="200" w:before="42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Part 1 — Foundation (Recap, Unchanged Since Last Pass)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Renew-tier compliance fix — drop named CAR-NK/cultured stem cell language to category-level until institutional ATMP licensing is confirmed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Site-wide disclaimer block — the three adopted compliance paragraphs, live in the footer and near Wellness Partner Network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Beehiiv + Stripe behind /brief.html — replace both mailto CTAs with real signup/paid-tier 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Lock the newsletter name and confirm payment infrastructure with Sonny — both still open</w:t>
      </w:r>
    </w:p>
    <w:p>
      <w:pPr>
        <w:pStyle w:val="Heading1"/>
        <w:pBdr>
          <w:bottom w:val="single" w:color="1A1A1A" w:sz="6" w:space="4"/>
        </w:pBdr>
        <w:spacing w:after="200" w:before="42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Part 2 — The Money Machine Layer</w:t>
      </w:r>
    </w:p>
    <w:p>
      <w:pPr>
        <w:pStyle w:val="Heading2"/>
        <w:spacing w:after="100" w:before="260"/>
      </w:pPr>
      <w:r>
        <w:rPr>
          <w:rFonts w:ascii="Georgia" w:cs="Georgia" w:eastAsia="Georgia" w:hAnsi="Georgia"/>
          <w:b/>
          <w:bCs/>
          <w:color w:val="8B1A1A"/>
          <w:sz w:val="23"/>
          <w:szCs w:val="23"/>
        </w:rPr>
        <w:t xml:space="preserve">1. Cross-Sell the Funnel — P0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200"/>
      </w:tblGrid>
      <w:tr>
        <w:trPr>
          <w:tblHeader/>
        </w:trPr>
        <w:tc>
          <w:tcPr>
            <w:tcW w:type="dxa" w:w="3000"/>
            <w:shd w:fill="1A1A1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17"/>
                <w:szCs w:val="17"/>
              </w:rPr>
              <w:t xml:space="preserve">Page</w:t>
            </w:r>
          </w:p>
        </w:tc>
        <w:tc>
          <w:tcPr>
            <w:tcW w:type="dxa" w:w="6200"/>
            <w:shd w:fill="1A1A1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17"/>
                <w:szCs w:val="17"/>
              </w:rPr>
              <w:t xml:space="preserve">Add This Cross-Sell</w:t>
            </w:r>
          </w:p>
        </w:tc>
      </w:tr>
      <w:tr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8"/>
                <w:szCs w:val="18"/>
              </w:rPr>
              <w:t xml:space="preserve">/brief.html (after signup)</w:t>
            </w:r>
          </w:p>
        </w:tc>
        <w:tc>
          <w:tcPr>
            <w:tcW w:type="dxa" w:w="6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8"/>
                <w:szCs w:val="18"/>
              </w:rPr>
              <w:t xml:space="preserve">Immediate redirect or email: “Want a second opinion on any of this? Start a free eligibility check.” → links to Start Free Check</w:t>
            </w:r>
          </w:p>
        </w:tc>
      </w:tr>
      <w:tr>
        <w:tc>
          <w:tcPr>
            <w:tcW w:type="dxa" w:w="3000"/>
            <w:shd w:fill="F2F0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8"/>
                <w:szCs w:val="18"/>
              </w:rPr>
              <w:t xml:space="preserve">Program pages (Reset/Restore/Renew)</w:t>
            </w:r>
          </w:p>
        </w:tc>
        <w:tc>
          <w:tcPr>
            <w:tcW w:type="dxa" w:w="6200"/>
            <w:shd w:fill="F2F0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8"/>
                <w:szCs w:val="18"/>
              </w:rPr>
              <w:t xml:space="preserve">“Get our free weekly Brief for the research behind these protocols” — embedded signup block, not just a footer link</w:t>
            </w:r>
          </w:p>
        </w:tc>
      </w:tr>
      <w:tr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8"/>
                <w:szCs w:val="18"/>
              </w:rPr>
              <w:t xml:space="preserve">/sponsors.html</w:t>
            </w:r>
          </w:p>
        </w:tc>
        <w:tc>
          <w:tcPr>
            <w:tcW w:type="dxa" w:w="6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8"/>
                <w:szCs w:val="18"/>
              </w:rPr>
              <w:t xml:space="preserve">“Already working with patients like ours? Become an Ambassador instead” — cross-link to /ambassadors once live</w:t>
            </w:r>
          </w:p>
        </w:tc>
      </w:tr>
      <w:tr>
        <w:tc>
          <w:tcPr>
            <w:tcW w:type="dxa" w:w="3000"/>
            <w:shd w:fill="F2F0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8"/>
                <w:szCs w:val="18"/>
              </w:rPr>
              <w:t xml:space="preserve">/caregivers.html</w:t>
            </w:r>
          </w:p>
        </w:tc>
        <w:tc>
          <w:tcPr>
            <w:tcW w:type="dxa" w:w="6200"/>
            <w:shd w:fill="F2F0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8"/>
                <w:szCs w:val="18"/>
              </w:rPr>
              <w:t xml:space="preserve">“Know someone who'd be a great fit? Refer them” — links into the Ambassador referral flow</w:t>
            </w:r>
          </w:p>
        </w:tc>
      </w:tr>
    </w:tbl>
    <w:p>
      <w:pPr>
        <w:pStyle w:val="Heading2"/>
        <w:spacing w:after="100" w:before="260"/>
      </w:pPr>
      <w:r>
        <w:rPr>
          <w:rFonts w:ascii="Georgia" w:cs="Georgia" w:eastAsia="Georgia" w:hAnsi="Georgia"/>
          <w:b/>
          <w:bCs/>
          <w:color w:val="8B1A1A"/>
          <w:sz w:val="23"/>
          <w:szCs w:val="23"/>
        </w:rPr>
        <w:t xml:space="preserve">2. Self-Serve Checkout Everywhere It's Feasible — P0/P1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Sponsors — Directory/Featured Listing tier (the lowest-friction, fastest-to-close product) gets a real Stripe checkout link, no sales call required to start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The Brief — paid tier checkout embedded directly, not a mailto — covered in Part 1, restated because it's the biggest single lever on this list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Ambassador and Creator applications — a real form with instant confirmation, not an email into a general inbox — speed of approval is part of what makes referral programs actually work</w:t>
      </w:r>
    </w:p>
    <w:p>
      <w:pPr>
        <w:pStyle w:val="Heading2"/>
        <w:spacing w:after="100" w:before="260"/>
      </w:pPr>
      <w:r>
        <w:rPr>
          <w:rFonts w:ascii="Georgia" w:cs="Georgia" w:eastAsia="Georgia" w:hAnsi="Georgia"/>
          <w:b/>
          <w:bCs/>
          <w:color w:val="8B1A1A"/>
          <w:sz w:val="23"/>
          <w:szCs w:val="23"/>
        </w:rPr>
        <w:t xml:space="preserve">3. Know What's Actually Making Money — P1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Install basic analytics (GA4 or Plausible — Plausible is lighter-weight and doesn't require a cookie-consent banner, worth considering given the international patient audience) across every page, including Brief, Sponsors, Ambassadors, Creators, Caregivers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UTM-tag every distinct channel — each Ambassador's referral code, each Creator's tracked link, each Sponsor placement — so commission and attribution match what's actually driving signups, not guesswork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A simple internal dashboard (even a spreadsheet at first) showing: Brief free → paid conversion rate, program-page → Start Free Check conversion rate, and revenue per channel — review monthly, not just at fundraising time</w:t>
      </w:r>
    </w:p>
    <w:p>
      <w:pPr>
        <w:pStyle w:val="Heading2"/>
        <w:spacing w:after="100" w:before="260"/>
      </w:pPr>
      <w:r>
        <w:rPr>
          <w:rFonts w:ascii="Georgia" w:cs="Georgia" w:eastAsia="Georgia" w:hAnsi="Georgia"/>
          <w:b/>
          <w:bCs/>
          <w:color w:val="8B1A1A"/>
          <w:sz w:val="23"/>
          <w:szCs w:val="23"/>
        </w:rPr>
        <w:t xml:space="preserve">4. Retention &amp; Scarcity Mechanics — P1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A visible counter — “17 of 50 Founding spots filled” — anywhere the Founding Fifty program is mentioned; real scarcity showed, not implied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A waitlist mechanism for Renew-tier consultations once institutional ATMP verification limits which therapies can be offered — turns a compliance constraint into a demand signal instead of a dead end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A simple win-back email sequence for anyone who starts “Start Free Check” and doesn't finish — the single highest-intent abandoned action on the site and currently nothing happens after it</w:t>
      </w:r>
    </w:p>
    <w:p>
      <w:pPr>
        <w:pStyle w:val="Heading2"/>
        <w:spacing w:after="100" w:before="260"/>
      </w:pPr>
      <w:r>
        <w:rPr>
          <w:rFonts w:ascii="Georgia" w:cs="Georgia" w:eastAsia="Georgia" w:hAnsi="Georgia"/>
          <w:b/>
          <w:bCs/>
          <w:color w:val="8B1A1A"/>
          <w:sz w:val="23"/>
          <w:szCs w:val="23"/>
        </w:rPr>
        <w:t xml:space="preserve">5. Trust Signals, Done Within the Compliance Guardrails — P1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Process and experience testimonials (“the coordination was seamless, I felt supported the whole way”) rather than outcome testimonials (“my biomarkers improved 40%”) — real, compliant, and still persuasive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Physician credentials and photos visible near program tiers, not buried on an About page — people are trusting a person, not a brand, for this category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Once Wall of Honor is live, feature 1–2 named Ambassador physicians directly on relevant program pages — borrowed trust from someone the visitor might actually recognize or relate to</w:t>
      </w:r>
    </w:p>
    <w:p>
      <w:pPr>
        <w:pStyle w:val="Heading2"/>
        <w:spacing w:after="100" w:before="260"/>
      </w:pPr>
      <w:r>
        <w:rPr>
          <w:rFonts w:ascii="Georgia" w:cs="Georgia" w:eastAsia="Georgia" w:hAnsi="Georgia"/>
          <w:b/>
          <w:bCs/>
          <w:color w:val="8B1A1A"/>
          <w:sz w:val="23"/>
          <w:szCs w:val="23"/>
        </w:rPr>
        <w:t xml:space="preserve">6. Basic SEO — P2, but Cheap and Compounding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Unique page titles and meta descriptions for every page — especially The Brief, which is exactly the kind of content Google rewards if it's genuinely useful and updated weekly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A sitemap.xml submitted to Google Search Console — five-minute task, currently likely missing given the nav gaps already found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Target the Price Check section of the Brief at real search terms people are already typing — “NAD+ therapy cost,” “stem cell therapy Thailand cost” — this section alone could become the site's biggest organic acquisition channel over time</w:t>
      </w:r>
    </w:p>
    <w:p>
      <w:pPr>
        <w:pStyle w:val="Heading2"/>
        <w:spacing w:after="100" w:before="260"/>
      </w:pPr>
      <w:r>
        <w:rPr>
          <w:rFonts w:ascii="Georgia" w:cs="Georgia" w:eastAsia="Georgia" w:hAnsi="Georgia"/>
          <w:b/>
          <w:bCs/>
          <w:color w:val="8B1A1A"/>
          <w:sz w:val="23"/>
          <w:szCs w:val="23"/>
        </w:rPr>
        <w:t xml:space="preserve">7. Hero &amp; Four Pillars — Final Copy, P1</w:t>
      </w:r>
    </w:p>
    <w:p>
      <w:pPr>
        <w:pBdr>
          <w:left w:val="single" w:color="8B1A1A" w:sz="12" w:space="8"/>
        </w:pBdr>
        <w:shd w:fill="F2F0EC" w:val="clear"/>
        <w:spacing w:after="140" w:line="300"/>
        <w:ind w:left="200"/>
      </w:pPr>
      <w:r>
        <w:rPr>
          <w:rFonts w:ascii="Georgia" w:cs="Georgia" w:eastAsia="Georgia" w:hAnsi="Georgia"/>
          <w:i/>
          <w:iCs/>
          <w:color w:val="1A1A1A"/>
          <w:sz w:val="21"/>
          <w:szCs w:val="21"/>
        </w:rPr>
        <w:t xml:space="preserve">Absorb. Navigate. Restore. Love.
Physician-reviewed medical navigation across Southeast Asia's top-tier institutions — for anyone ready to put their own health first.
Bumrungrad · RAKxa · Kamalaya — coordinated by a dedicated navigator from your first question through full recovery.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Absorb — Trusted, physician-reviewed knowledge, explained clearly.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Navigate — One coordinator. Every appointment, every step.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Restore — Structured care, built around real outcomes.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Love — Choosing yourself isn't indulgent. It's essential.</w:t>
      </w:r>
    </w:p>
    <w:p>
      <w:pPr>
        <w:pBdr>
          <w:left w:val="single" w:color="8B1A1A" w:sz="12" w:space="8"/>
        </w:pBdr>
        <w:shd w:fill="F2F0EC" w:val="clear"/>
        <w:spacing w:after="140" w:line="300"/>
        <w:ind w:left="200"/>
      </w:pPr>
      <w:r>
        <w:rPr>
          <w:rFonts w:ascii="Georgia" w:cs="Georgia" w:eastAsia="Georgia" w:hAnsi="Georgia"/>
          <w:i/>
          <w:iCs/>
          <w:color w:val="1A1A1A"/>
          <w:sz w:val="21"/>
          <w:szCs w:val="21"/>
        </w:rPr>
        <w:t xml:space="preserve">Absorb. Navigate. Restore. Love. Built around you — however you define what that means.</w:t>
      </w:r>
    </w:p>
    <w:p>
      <w:pPr>
        <w:pStyle w:val="Heading2"/>
        <w:spacing w:after="100" w:before="260"/>
      </w:pPr>
      <w:r>
        <w:rPr>
          <w:rFonts w:ascii="Georgia" w:cs="Georgia" w:eastAsia="Georgia" w:hAnsi="Georgia"/>
          <w:b/>
          <w:bCs/>
          <w:color w:val="8B1A1A"/>
          <w:sz w:val="23"/>
          <w:szCs w:val="23"/>
        </w:rPr>
        <w:t xml:space="preserve">8. Mobile UX — P1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Larger body text, more white space, larger tappable buttons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A sticky top nav once the full page list is finalized (Home, Programs, How It Works, CPP, Partners, The Brief, FAQ)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Move Start Free Check higher on the page and keep it low-pressure — state clearly “no charge until clinician approval” directly on the form</w:t>
      </w:r>
    </w:p>
    <w:p>
      <w:pPr>
        <w:pStyle w:val="Heading2"/>
        <w:spacing w:after="100" w:before="260"/>
      </w:pPr>
      <w:r>
        <w:rPr>
          <w:rFonts w:ascii="Georgia" w:cs="Georgia" w:eastAsia="Georgia" w:hAnsi="Georgia"/>
          <w:b/>
          <w:bCs/>
          <w:color w:val="8B1A1A"/>
          <w:sz w:val="23"/>
          <w:szCs w:val="23"/>
        </w:rPr>
        <w:t xml:space="preserve">9. Lead Magnet — P1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Gate the guide behind the same email capture as the Brief signup — one list, not a fragmented one, and a natural upsell path from guide → free Brief → paid Brief → Start Free Check</w:t>
      </w:r>
    </w:p>
    <w:p>
      <w:pPr>
        <w:pStyle w:val="Heading2"/>
        <w:spacing w:after="100" w:before="260"/>
      </w:pPr>
      <w:r>
        <w:rPr>
          <w:rFonts w:ascii="Georgia" w:cs="Georgia" w:eastAsia="Georgia" w:hAnsi="Georgia"/>
          <w:b/>
          <w:bCs/>
          <w:color w:val="8B1A1A"/>
          <w:sz w:val="23"/>
          <w:szCs w:val="23"/>
        </w:rPr>
        <w:t xml:space="preserve">10. SEO Keyword Targets — P2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“medical tourism Thailand,” “Bumrungrad concierge,” “longevity retreat Thailand” — head terms worth a dedicated page or prominent section each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“NAD+ therapy cost,” “stem cell therapy Thailand cost,” “full body MRI cost Thailand” — direct extensions of the Price Check format already designed</w:t>
      </w:r>
    </w:p>
    <w:p>
      <w:pPr>
        <w:pStyle w:val="Heading1"/>
        <w:pBdr>
          <w:bottom w:val="single" w:color="1A1A1A" w:sz="6" w:space="4"/>
        </w:pBdr>
        <w:spacing w:after="200" w:before="42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A Note on the Referral Structure in the Latest Draft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Paying a physician or patient-referral source a percentage of program revenue for steering a patient into a specific paid treatment is the exact fact pattern EKRA (the Eliminating Kickbacks in Recovery Act) and most state patient-brokering statutes prohibit — EKRA applies to all payers, including cash-pay, not just insurance billing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Client-to-client referral credit toward the referrer's own future services is fine — ordinary consumer referral discounting, no different from any consumer referral program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Clinician and institutional-partner compensation tied to a percentage of a specific patient's treatment revenue is the line not to cross — use flat introduction fees instead, exactly as already structured in the Ambassador/Affiliate program (flat per-enrollment fees, explicit no-medical-advice standards, commission tied to the referral relationship, not to a percentage of that patient's treatment revenue)</w:t>
      </w:r>
    </w:p>
    <w:p>
      <w:pPr>
        <w:pStyle w:val="Heading1"/>
        <w:pBdr>
          <w:bottom w:val="single" w:color="1A1A1A" w:sz="6" w:space="4"/>
        </w:pBdr>
        <w:spacing w:after="200" w:before="42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Naming — Resolved</w:t>
      </w:r>
    </w:p>
    <w:p>
      <w:pPr>
        <w:pStyle w:val="Heading1"/>
        <w:pBdr>
          <w:bottom w:val="single" w:color="1A1A1A" w:sz="6" w:space="4"/>
        </w:pBdr>
        <w:spacing w:after="200" w:before="42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Region-by-Region B2C and B2B Sales Strategy</w:t>
      </w:r>
    </w:p>
    <w:p>
      <w:pPr>
        <w:pStyle w:val="Heading2"/>
        <w:spacing w:after="100" w:before="260"/>
      </w:pPr>
      <w:r>
        <w:rPr>
          <w:rFonts w:ascii="Georgia" w:cs="Georgia" w:eastAsia="Georgia" w:hAnsi="Georgia"/>
          <w:b/>
          <w:bCs/>
          <w:color w:val="8B1A1A"/>
          <w:sz w:val="23"/>
          <w:szCs w:val="23"/>
        </w:rPr>
        <w:t xml:space="preserve">United States — The Demand Side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Primary channel: The Brief, once it actually collects subscribers — SEO-driven organic (Price Check terms), plus paid social targeting 55+ Americans researching longevity/regenerative therapy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Geographic concentration: Florida, California, and Texas — same states leading US concierge/DPC density, meaning the target patient and the target referral partner already cluster in the same three states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Message: legitimacy first (physician-reviewed, accredited institutions), self-respect/inclusion framing second — per the audience map, “is this real” beats every other consideration for a first-time buyer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Founding Fifty as the initial B2C conversion lever — real scarcity, visible proof, no paid acquisition spend required for the first cohort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Primary target: MDVIP (1,400+ affiliated physicians, one relationship, national reach) — approach before individual practice-by-practice outreach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Secondary target: DPC Alliance — attend or sponsor the annual DPC Summit for direct practice-owner access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Tertiary: targeted outreach into the NextMD.ai directory, filtered to Florida, California, and Texas practices first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Message to B2B: revenue share without infrastructure build-out, physician-reviewed intake removes liability concern, de-identified outcomes data as a value-add for their own patient marketing</w:t>
      </w:r>
    </w:p>
    <w:p>
      <w:pPr>
        <w:pStyle w:val="Heading2"/>
        <w:spacing w:after="100" w:before="260"/>
      </w:pPr>
      <w:r>
        <w:rPr>
          <w:rFonts w:ascii="Georgia" w:cs="Georgia" w:eastAsia="Georgia" w:hAnsi="Georgia"/>
          <w:b/>
          <w:bCs/>
          <w:color w:val="8B1A1A"/>
          <w:sz w:val="23"/>
          <w:szCs w:val="23"/>
        </w:rPr>
        <w:t xml:space="preserve">Thailand — The Anchor Market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Primary audience: the frustrated American — legitimacy-first messaging anchored on Bumrungrad-caliber credibility once that relationship is actually signed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Secondary, smaller audience: Thai-based expats and long-tenure residents — reached through the Ambassador channel (InterNations Bangkok, AmCham, BCCT) rather than paid acquisition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Government tailwind to cite directly in outreach: Thailand's 2026 “Golden Year of Healthcare” campaign and TAT's “Healing Is the New Luxury” positioning — use this to open conversations, not just as background context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Priority outreach: Medeze (single relationship covers Bangkok and Ho Chi Minh City), then Bumrungrad VitalLife, then the mid-tier longevity specialists (Healthi Life, Miracle Regenerative Center)</w:t>
      </w:r>
    </w:p>
    <w:p>
      <w:pPr>
        <w:pStyle w:val="Heading2"/>
        <w:spacing w:after="100" w:before="260"/>
      </w:pPr>
      <w:r>
        <w:rPr>
          <w:rFonts w:ascii="Georgia" w:cs="Georgia" w:eastAsia="Georgia" w:hAnsi="Georgia"/>
          <w:b/>
          <w:bCs/>
          <w:color w:val="8B1A1A"/>
          <w:sz w:val="23"/>
          <w:szCs w:val="23"/>
        </w:rPr>
        <w:t xml:space="preserve">Malaysia — The Institutional Leverage Play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Core audience remains the same American 55+ buyer, routed to Malaysia when Thailand availability or specific protocol fit points there instead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A real, distinct secondary audience worth naming honestly: Singapore-based patients already crossing into Malaysia for lower-cost stem cell and regenerative therapy — a genuine, currently underserved segment, and a natural extension of the inclusive positioning already adopted. Worth a deliberate decision, not an assumption, on whether to pursue this segment now or note it for later.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Malaysia's Muslim-friendly healthcare ecosystem is a real, government-supported differentiator — relevant if pursuing any Middle East or Southeast Asian Muslim patient segment, consistent with the “for every person” framing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Priority target: MHTC (Malaysia Healthcare Travel Council) — one government relationship, 80 member hospitals, same single-door leverage logic as MDVIP in the US and Subedi in Nepal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Secondary: the Flagship Medical Tourism Hospital shortlist (Institut Jantung Negara, Island Hospital Penang, Mahkota Medical Centre, Subang Jaya Medical Centre) — government-vetted credibility built in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Cite the national “Malaysia Year of Medical Tourism 2026” campaign directly in outreach — this is an active government sales motion you can align with, not compete against</w:t>
      </w:r>
    </w:p>
    <w:p>
      <w:pPr>
        <w:pStyle w:val="Heading2"/>
        <w:spacing w:after="100" w:before="260"/>
      </w:pPr>
      <w:r>
        <w:rPr>
          <w:rFonts w:ascii="Georgia" w:cs="Georgia" w:eastAsia="Georgia" w:hAnsi="Georgia"/>
          <w:b/>
          <w:bCs/>
          <w:color w:val="8B1A1A"/>
          <w:sz w:val="23"/>
          <w:szCs w:val="23"/>
        </w:rPr>
        <w:t xml:space="preserve">Vietnam — The Emerging-Value Market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Positioned honestly as the value-oriented option within the three-country map, not the flagship destination — useful for price-sensitive segments of the same core American 55+ audience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Vietnamese diaspora in the US is a plausible longer-term Ambassador/Creator audience, parallel to the Nepali/Burmese diaspora channel already built for Thailand — not urgent, but worth keeping on the roadmap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Priority target: Medeze (shared relationship with the Bangkok entity, fastest to close)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Secondary: Vinmec, on the strength of its dedicated Research Institute of Stem Cells and Gene Technology — the strongest scientific credibility signal available in-country, worth leading with in any pitch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FV Hospital as a third target once bandwidth allows — JCI-accredited with active regenerative and multilingual services</w:t>
      </w:r>
    </w:p>
    <w:p>
      <w:pPr>
        <w:pStyle w:val="Heading1"/>
        <w:pBdr>
          <w:bottom w:val="single" w:color="1A1A1A" w:sz="6" w:space="4"/>
        </w:pBdr>
        <w:spacing w:after="200" w:before="42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Build Sequence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Week 1: Everything in Part 1 (unchanged foundation) — nothing else matters until this ships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Week 2: Cross-sell links across existing pages (#1) + Sponsors self-serve checkout (#2) — fastest revenue impact for the least build effort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Week 2–3: Analytics and UTM tracking (#3) — stand this up before scaling any single channel further, or you're optimizing blind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Week 3: Founding Fifty counter + Start Free Check win-back sequence (#4)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Week 3–4: Trust signals (#5), layered in as Wall of Honor and Ambassador pages go live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Week 3–4: Four Pillars page structure (#7) and mobile UX fixes (#8), done together since both touch the same page templates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Week 4: Lead magnet (#9), tied to the same Beehiiv list already being stood up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Ongoing: SEO basics (#6, #10) — low effort, do in parallel with everything else, not after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Parallel track: MDVIP and Medeze outreach (region-by-region strategy above) — BD conversations don't block on site fixes, run both simultaneously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Do not build: the percentage-based clinician/partner referral structure, until reviewed with counsel</w:t>
      </w:r>
    </w:p>
    <w:p>
      <w:pPr>
        <w:pBdr>
          <w:bottom w:val="single" w:color="CCCCCC" w:sz="4" w:space="1"/>
        </w:pBdr>
        <w:spacing w:after="200" w:before="100"/>
      </w:pPr>
    </w:p>
    <w:p>
      <w:pPr>
        <w:spacing w:before="200"/>
      </w:pPr>
      <w:r>
        <w:rPr>
          <w:rFonts w:ascii="Georgia" w:cs="Georgia" w:eastAsia="Georgia" w:hAnsi="Georgia"/>
          <w:i/>
          <w:iCs/>
          <w:color w:val="6B6B6B"/>
          <w:sz w:val="16"/>
          <w:szCs w:val="16"/>
        </w:rPr>
        <w:t xml:space="preserve">This document is private and confidential. Not for distribution.</w:t>
      </w:r>
    </w:p>
    <w:sectPr>
      <w:pgSz w:w="12240" w:h="15840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2026-07-09T23:40:56.187Z</dcterms:created>
  <dcterms:modified xsi:type="dcterms:W3CDTF">2026-07-09T23:40:56.205Z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