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ourier New" w:cs="Courier New" w:eastAsia="Courier New" w:hAnsi="Courier New"/>
          <w:b/>
          <w:bCs/>
          <w:color w:val="6B6B6B"/>
          <w:sz w:val="16"/>
          <w:szCs w:val="16"/>
        </w:rPr>
        <w:t xml:space="preserve">BUILD SPEC · FOR ASHIK · PRIVATE &amp; CONFIDENTIAL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A1A1A"/>
          <w:sz w:val="38"/>
          <w:szCs w:val="38"/>
        </w:rPr>
        <w:t xml:space="preserve">The Casanova Weekly Newsletter</w:t>
      </w:r>
    </w:p>
    <w:p>
      <w:pPr>
        <w:spacing w:after="300"/>
      </w:pPr>
      <w:r>
        <w:rPr>
          <w:rFonts w:ascii="Georgia" w:cs="Georgia" w:eastAsia="Georgia" w:hAnsi="Georgia"/>
          <w:i/>
          <w:iCs/>
          <w:color w:val="8B1A1A"/>
          <w:sz w:val="22"/>
          <w:szCs w:val="22"/>
        </w:rPr>
        <w:t xml:space="preserve">Access, not aggregation — the information readers think they need money to get, delivered like a battle cry, not a report</w:t>
      </w:r>
    </w:p>
    <w:p>
      <w:pPr>
        <w:pStyle w:val="Heading1"/>
        <w:pBdr>
          <w:bottom w:val="single" w:color="1A1A1A" w:sz="6" w:space="4"/>
        </w:pBdr>
        <w:spacing w:after="200" w:before="40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1. The Space We're Entering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400"/>
      </w:tblGrid>
      <w:tr>
        <w:trPr>
          <w:tblHeader/>
        </w:trPr>
        <w:tc>
          <w:tcPr>
            <w:tcW w:type="dxa" w:w="2600"/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17"/>
                <w:szCs w:val="17"/>
              </w:rPr>
              <w:t xml:space="preserve">Publication</w:t>
            </w:r>
          </w:p>
        </w:tc>
        <w:tc>
          <w:tcPr>
            <w:tcW w:type="dxa" w:w="3400"/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17"/>
                <w:szCs w:val="17"/>
              </w:rPr>
              <w:t xml:space="preserve">What it actually is</w:t>
            </w:r>
          </w:p>
        </w:tc>
        <w:tc>
          <w:tcPr>
            <w:tcW w:type="dxa" w:w="3400"/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17"/>
                <w:szCs w:val="17"/>
              </w:rPr>
              <w:t xml:space="preserve">What it can't do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Fight Aging!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Weekly research aggregation, academic tone, no commercial angle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No opinion, no access, no path to action</w:t>
            </w:r>
          </w:p>
        </w:tc>
      </w:tr>
      <w:tr>
        <w:tc>
          <w:tcPr>
            <w:tcW w:type="dxa" w:w="2600"/>
            <w:shd w:fill="F2F0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Longevity.Technology</w:t>
            </w:r>
          </w:p>
        </w:tc>
        <w:tc>
          <w:tcPr>
            <w:tcW w:type="dxa" w:w="3400"/>
            <w:shd w:fill="F2F0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Industry/investment news roundup</w:t>
            </w:r>
          </w:p>
        </w:tc>
        <w:tc>
          <w:tcPr>
            <w:tcW w:type="dxa" w:w="3400"/>
            <w:shd w:fill="F2F0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Written for investors and founders, not patients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Hone Health / “The Edge”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Consumer trend content, physician-surveyed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No institutional access, no cost transparency</w:t>
            </w:r>
          </w:p>
        </w:tc>
      </w:tr>
      <w:tr>
        <w:tc>
          <w:tcPr>
            <w:tcW w:type="dxa" w:w="2600"/>
            <w:shd w:fill="F2F0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Life Extension Magazine</w:t>
            </w:r>
          </w:p>
        </w:tc>
        <w:tc>
          <w:tcPr>
            <w:tcW w:type="dxa" w:w="3400"/>
            <w:shd w:fill="F2F0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Research-adjacent content marketing</w:t>
            </w:r>
          </w:p>
        </w:tc>
        <w:tc>
          <w:tcPr>
            <w:tcW w:type="dxa" w:w="3400"/>
            <w:shd w:fill="F2F0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Everything eventually points at their own supplements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A4M Blog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Professional-association content, conference-driven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Written for practitioners, not patients; no consumer funnel</w:t>
            </w:r>
          </w:p>
        </w:tc>
      </w:tr>
    </w:tbl>
    <w:p>
      <w:pPr>
        <w:pStyle w:val="Heading1"/>
        <w:pBdr>
          <w:bottom w:val="single" w:color="1A1A1A" w:sz="6" w:space="4"/>
        </w:pBdr>
        <w:spacing w:after="200" w:before="40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2. Positioning — the Mission and the Strategy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The core value proposition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The mission, in the reader's voice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The competitive strategy underneath (why this works)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The Casanova Brief — clean, direct, ties to the brand name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The Verdict — leads with the opinionated-judgment angle directly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The Reset Report — ties to the Reset/Restore/Renew program architecture</w:t>
      </w:r>
    </w:p>
    <w:p>
      <w:pPr>
        <w:pStyle w:val="Heading1"/>
        <w:pBdr>
          <w:bottom w:val="single" w:color="1A1A1A" w:sz="6" w:space="4"/>
        </w:pBdr>
        <w:spacing w:after="200" w:before="40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3. Six Recurring Sections — the Franchise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The Verdict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The Price Check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The Regulatory Watch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One of Us — new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Bring This to Your Circle — new</w:t>
      </w:r>
    </w:p>
    <w:p>
      <w:pPr>
        <w:pStyle w:val="Heading2"/>
        <w:spacing w:after="100" w:before="260"/>
      </w:pPr>
      <w:r>
        <w:rPr>
          <w:rFonts w:ascii="Georgia" w:cs="Georgia" w:eastAsia="Georgia" w:hAnsi="Georgia"/>
          <w:b/>
          <w:bCs/>
          <w:color w:val="8B1A1A"/>
          <w:sz w:val="23"/>
          <w:szCs w:val="23"/>
        </w:rPr>
        <w:t xml:space="preserve">Ask a Physician</w:t>
      </w:r>
    </w:p>
    <w:p>
      <w:pPr>
        <w:pStyle w:val="Heading1"/>
        <w:pBdr>
          <w:bottom w:val="single" w:color="1A1A1A" w:sz="6" w:space="4"/>
        </w:pBdr>
        <w:spacing w:after="200" w:before="40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4. Revenue Model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600"/>
      </w:tblGrid>
      <w:tr>
        <w:trPr>
          <w:tblHeader/>
        </w:trPr>
        <w:tc>
          <w:tcPr>
            <w:tcW w:type="dxa" w:w="2600"/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17"/>
                <w:szCs w:val="17"/>
              </w:rPr>
              <w:t xml:space="preserve">Layer</w:t>
            </w:r>
          </w:p>
        </w:tc>
        <w:tc>
          <w:tcPr>
            <w:tcW w:type="dxa" w:w="6600"/>
            <w:shd w:fill="1A1A1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17"/>
                <w:szCs w:val="17"/>
              </w:rPr>
              <w:t xml:space="preserve">Structure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Free tier</w:t>
            </w:r>
          </w:p>
        </w:tc>
        <w:tc>
          <w:tcPr>
            <w:tcW w:type="dxa" w:w="6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Full newsletter, ad-supported via Sponsors program placements — drives list growth and top-of-funnel awareness</w:t>
            </w:r>
          </w:p>
        </w:tc>
      </w:tr>
      <w:tr>
        <w:tc>
          <w:tcPr>
            <w:tcW w:type="dxa" w:w="2600"/>
            <w:shd w:fill="F2F0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Paid tier ($15–25/mo)</w:t>
            </w:r>
          </w:p>
        </w:tc>
        <w:tc>
          <w:tcPr>
            <w:tcW w:type="dxa" w:w="6600"/>
            <w:shd w:fill="F2F0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Adds early access, extended Price Check data, direct Ask-a-Physician submission, and a members-only monthly deep dive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Sponsor placements</w:t>
            </w:r>
          </w:p>
        </w:tc>
        <w:tc>
          <w:tcPr>
            <w:tcW w:type="dxa" w:w="6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One sponsor slot per issue, pulled from the existing Sponsors program (NADclinic, Evolve Science, Next Health, partner clinics) — same rate-card logic already built, applied to a new placement</w:t>
            </w:r>
          </w:p>
        </w:tc>
      </w:tr>
      <w:tr>
        <w:tc>
          <w:tcPr>
            <w:tcW w:type="dxa" w:w="2600"/>
            <w:shd w:fill="F2F0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Affiliate/referral tie-in</w:t>
            </w:r>
          </w:p>
        </w:tc>
        <w:tc>
          <w:tcPr>
            <w:tcW w:type="dxa" w:w="6600"/>
            <w:shd w:fill="F2F0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18"/>
                <w:szCs w:val="18"/>
              </w:rPr>
              <w:t xml:space="preserve">Price Check and Verdict sections link to relevant Casanova programs and Ambassador/Creator referral codes where applicable</w:t>
            </w:r>
          </w:p>
        </w:tc>
      </w:tr>
    </w:tbl>
    <w:p>
      <w:pPr>
        <w:pStyle w:val="Heading1"/>
        <w:pBdr>
          <w:bottom w:val="single" w:color="1A1A1A" w:sz="6" w:space="4"/>
        </w:pBdr>
        <w:spacing w:after="200" w:before="40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5. Compliance Guardrails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The Verdict states what the evidence shows and where it stops — never implies a therapy is proven or universally effective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Named partner institutions appear only where their specific licensing for that therapy has been confirmed, consistent with the Renew-tier compliance standard already adopted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Sponsor placements are visually distinct from editorial content — The Verdict and Price Check are never written by or about a paying sponsor in the same issue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No outcome or efficacy claims in subject lines or preview text — this is where regulators and platforms look first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“One of Us” stories require explicit written consent for any identifying detail used, and stay to process/experience language, not clinical outcome claims — same compliant-testimonial standard already set for the main site</w:t>
      </w:r>
    </w:p>
    <w:p>
      <w:pPr>
        <w:pStyle w:val="Heading1"/>
        <w:pBdr>
          <w:bottom w:val="single" w:color="1A1A1A" w:sz="6" w:space="4"/>
        </w:pBdr>
        <w:spacing w:after="200" w:before="40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6. Sample Issue #1 — Ready to Adapt</w:t>
      </w:r>
    </w:p>
    <w:p>
      <w:pPr>
        <w:spacing w:after="60" w:before="180"/>
      </w:pP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OPENING — launch issue only</w:t>
      </w:r>
    </w:p>
    <w:p>
      <w:pPr>
        <w:spacing w:after="60" w:before="180"/>
      </w:pP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THE VERDICT: Peptide Stacks (BPC-157 + TB-500)</w:t>
      </w:r>
    </w:p>
    <w:p>
      <w:pPr>
        <w:spacing w:after="60" w:before="180"/>
      </w:pP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THE PRICE CHECK: Multi-Cancer Early Detection Blood Test</w:t>
      </w:r>
    </w:p>
    <w:p>
      <w:pPr>
        <w:spacing w:after="60" w:before="180"/>
      </w:pP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THE REGULATORY WATCH</w:t>
      </w:r>
    </w:p>
    <w:p>
      <w:pPr>
        <w:spacing w:after="60" w:before="180"/>
      </w:pP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THIS WEEK IN LONGEVITY — quick hits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A 30-year study puts the strength-training “sweet spot” at 90–120 minutes per week — more wasn't associated with additional benefit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Senolytic compounds that clear only damaged, senescent cells are showing early promise in small human studies — still early, worth watching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Georgia" w:cs="Georgia" w:eastAsia="Georgia" w:hAnsi="Georgia"/>
          <w:color w:val="1A1A1A"/>
          <w:sz w:val="21"/>
          <w:szCs w:val="21"/>
        </w:rPr>
        <w:t xml:space="preserve">A new gene-therapy longevity residency opened in a jurisdiction with lighter regulatory oversight than the US or EU — a reminder that not every jurisdiction with fewer rules also has fewer safeguards worth trusting</w:t>
      </w:r>
    </w:p>
    <w:p>
      <w:pPr>
        <w:spacing w:after="60" w:before="180"/>
      </w:pP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ONE OF US</w:t>
      </w:r>
    </w:p>
    <w:p>
      <w:pPr>
        <w:spacing w:after="60" w:before="180"/>
      </w:pP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BRING THIS TO YOUR CIRCLE</w:t>
      </w:r>
    </w:p>
    <w:p>
      <w:pPr>
        <w:spacing w:after="60" w:before="180"/>
      </w:pPr>
      <w:r>
        <w:rPr>
          <w:rFonts w:ascii="Courier New" w:cs="Courier New" w:eastAsia="Courier New" w:hAnsi="Courier New"/>
          <w:b/>
          <w:bCs/>
          <w:color w:val="1A1A1A"/>
          <w:sz w:val="20"/>
          <w:szCs w:val="20"/>
        </w:rPr>
        <w:t xml:space="preserve">ASK A PHYSICIAN</w:t>
      </w:r>
    </w:p>
    <w:p>
      <w:pPr>
        <w:pBdr>
          <w:bottom w:val="single" w:color="CCCCCC" w:sz="4" w:space="1"/>
        </w:pBdr>
        <w:spacing w:after="200" w:before="100"/>
      </w:pPr>
    </w:p>
    <w:p>
      <w:pPr>
        <w:spacing w:before="200"/>
      </w:pPr>
      <w:r>
        <w:rPr>
          <w:rFonts w:ascii="Georgia" w:cs="Georgia" w:eastAsia="Georgia" w:hAnsi="Georgia"/>
          <w:i/>
          <w:iCs/>
          <w:color w:val="6B6B6B"/>
          <w:sz w:val="16"/>
          <w:szCs w:val="16"/>
        </w:rPr>
        <w:t xml:space="preserve">This document is private and confidential. Not for distribution.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2026-07-10T00:01:12.584Z</dcterms:created>
  <dcterms:modified xsi:type="dcterms:W3CDTF">2026-07-10T00:01:12.597Z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