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ourier New" w:cs="Courier New" w:eastAsia="Courier New" w:hAnsi="Courier New"/>
          <w:b/>
          <w:bCs/>
          <w:color w:val="6B6B6B"/>
          <w:sz w:val="16"/>
          <w:szCs w:val="16"/>
        </w:rPr>
        <w:t xml:space="preserve">BUILD SPEC · FOR ASHIK · PRIVATE &amp; CONFIDENTIAL</w:t>
      </w:r>
    </w:p>
    <w:p>
      <w:pPr>
        <w:spacing w:after="60"/>
      </w:pPr>
      <w:r>
        <w:rPr>
          <w:rFonts w:ascii="Georgia" w:cs="Georgia" w:eastAsia="Georgia" w:hAnsi="Georgia"/>
          <w:b/>
          <w:bCs/>
          <w:color w:val="1A1A1A"/>
          <w:sz w:val="38"/>
          <w:szCs w:val="38"/>
        </w:rPr>
        <w:t xml:space="preserve">The Casanova Weekly Newsletter</w:t>
      </w:r>
    </w:p>
    <w:p>
      <w:pPr>
        <w:spacing w:after="300"/>
      </w:pPr>
      <w:r>
        <w:rPr>
          <w:rFonts w:ascii="Georgia" w:cs="Georgia" w:eastAsia="Georgia" w:hAnsi="Georgia"/>
          <w:i/>
          <w:iCs/>
          <w:color w:val="8B1A1A"/>
          <w:sz w:val="22"/>
          <w:szCs w:val="22"/>
        </w:rPr>
        <w:t xml:space="preserve">A must-read in a crowded space — opinion and access, not just aggregation</w:t>
      </w:r>
    </w:p>
    <w:p>
      <w:pPr>
        <w:pStyle w:val="Heading1"/>
        <w:pBdr>
          <w:bottom w:val="single" w:color="1A1A1A" w:sz="6" w:space="4"/>
        </w:pBdr>
        <w:spacing w:after="200" w:before="400"/>
      </w:pPr>
      <w:r>
        <w:rPr>
          <w:rFonts w:ascii="Georgia" w:cs="Georgia" w:eastAsia="Georgia" w:hAnsi="Georgia"/>
          <w:b/>
          <w:bCs/>
          <w:color w:val="1A1A1A"/>
          <w:sz w:val="30"/>
          <w:szCs w:val="30"/>
        </w:rPr>
        <w:t xml:space="preserve">1. The Space We're Entering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400"/>
      </w:tblGrid>
      <w:tr>
        <w:trPr>
          <w:tblHeader/>
        </w:trPr>
        <w:tc>
          <w:tcPr>
            <w:tcW w:type="dxa" w:w="2600"/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7"/>
                <w:szCs w:val="17"/>
              </w:rPr>
              <w:t xml:space="preserve">Publication</w:t>
            </w:r>
          </w:p>
        </w:tc>
        <w:tc>
          <w:tcPr>
            <w:tcW w:type="dxa" w:w="3400"/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7"/>
                <w:szCs w:val="17"/>
              </w:rPr>
              <w:t xml:space="preserve">What it actually is</w:t>
            </w:r>
          </w:p>
        </w:tc>
        <w:tc>
          <w:tcPr>
            <w:tcW w:type="dxa" w:w="3400"/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7"/>
                <w:szCs w:val="17"/>
              </w:rPr>
              <w:t xml:space="preserve">What it can't do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Fight Aging!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Weekly research aggregation, academic tone, no commercial angle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No opinion, no access, no path to action</w:t>
            </w:r>
          </w:p>
        </w:tc>
      </w:tr>
      <w:tr>
        <w:tc>
          <w:tcPr>
            <w:tcW w:type="dxa" w:w="2600"/>
            <w:shd w:fill="F2F0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Longevity.Technology</w:t>
            </w:r>
          </w:p>
        </w:tc>
        <w:tc>
          <w:tcPr>
            <w:tcW w:type="dxa" w:w="3400"/>
            <w:shd w:fill="F2F0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Industry/investment news roundup</w:t>
            </w:r>
          </w:p>
        </w:tc>
        <w:tc>
          <w:tcPr>
            <w:tcW w:type="dxa" w:w="3400"/>
            <w:shd w:fill="F2F0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Written for investors and founders, not patients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Hone Health / “The Edge”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Consumer trend content, physician-surveyed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No institutional access, no cost transparency</w:t>
            </w:r>
          </w:p>
        </w:tc>
      </w:tr>
      <w:tr>
        <w:tc>
          <w:tcPr>
            <w:tcW w:type="dxa" w:w="2600"/>
            <w:shd w:fill="F2F0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Life Extension Magazine</w:t>
            </w:r>
          </w:p>
        </w:tc>
        <w:tc>
          <w:tcPr>
            <w:tcW w:type="dxa" w:w="3400"/>
            <w:shd w:fill="F2F0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Research-adjacent content marketing</w:t>
            </w:r>
          </w:p>
        </w:tc>
        <w:tc>
          <w:tcPr>
            <w:tcW w:type="dxa" w:w="3400"/>
            <w:shd w:fill="F2F0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Everything eventually points at their own supplements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A4M Blog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Professional-association content, conference-driven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Written for practitioners, not patients; no consumer funnel</w:t>
            </w:r>
          </w:p>
        </w:tc>
      </w:tr>
    </w:tbl>
    <w:p>
      <w:pPr>
        <w:pStyle w:val="Heading1"/>
        <w:pBdr>
          <w:bottom w:val="single" w:color="1A1A1A" w:sz="6" w:space="4"/>
        </w:pBdr>
        <w:spacing w:after="200" w:before="400"/>
      </w:pPr>
      <w:r>
        <w:rPr>
          <w:rFonts w:ascii="Georgia" w:cs="Georgia" w:eastAsia="Georgia" w:hAnsi="Georgia"/>
          <w:b/>
          <w:bCs/>
          <w:color w:val="1A1A1A"/>
          <w:sz w:val="30"/>
          <w:szCs w:val="30"/>
        </w:rPr>
        <w:t xml:space="preserve">2. Positioning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The Casanova Brief — clean, direct, ties to the brand name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The Verdict — leads with the opinionated-judgment angle directly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The Reset Report — ties to the Reset/Restore/Renew program architecture</w:t>
      </w:r>
    </w:p>
    <w:p>
      <w:pPr>
        <w:pStyle w:val="Heading1"/>
        <w:pBdr>
          <w:bottom w:val="single" w:color="1A1A1A" w:sz="6" w:space="4"/>
        </w:pBdr>
        <w:spacing w:after="200" w:before="400"/>
      </w:pPr>
      <w:r>
        <w:rPr>
          <w:rFonts w:ascii="Georgia" w:cs="Georgia" w:eastAsia="Georgia" w:hAnsi="Georgia"/>
          <w:b/>
          <w:bCs/>
          <w:color w:val="1A1A1A"/>
          <w:sz w:val="30"/>
          <w:szCs w:val="30"/>
        </w:rPr>
        <w:t xml:space="preserve">3. Four Recurring Sections — the Franchise</w:t>
      </w:r>
    </w:p>
    <w:p>
      <w:pPr>
        <w:pStyle w:val="Heading2"/>
        <w:spacing w:after="100" w:before="260"/>
      </w:pPr>
      <w:r>
        <w:rPr>
          <w:rFonts w:ascii="Georgia" w:cs="Georgia" w:eastAsia="Georgia" w:hAnsi="Georgia"/>
          <w:b/>
          <w:bCs/>
          <w:color w:val="8B1A1A"/>
          <w:sz w:val="23"/>
          <w:szCs w:val="23"/>
        </w:rPr>
        <w:t xml:space="preserve">The Verdict</w:t>
      </w:r>
    </w:p>
    <w:p>
      <w:pPr>
        <w:pStyle w:val="Heading2"/>
        <w:spacing w:after="100" w:before="260"/>
      </w:pPr>
      <w:r>
        <w:rPr>
          <w:rFonts w:ascii="Georgia" w:cs="Georgia" w:eastAsia="Georgia" w:hAnsi="Georgia"/>
          <w:b/>
          <w:bCs/>
          <w:color w:val="8B1A1A"/>
          <w:sz w:val="23"/>
          <w:szCs w:val="23"/>
        </w:rPr>
        <w:t xml:space="preserve">The Price Check</w:t>
      </w:r>
    </w:p>
    <w:p>
      <w:pPr>
        <w:pStyle w:val="Heading2"/>
        <w:spacing w:after="100" w:before="260"/>
      </w:pPr>
      <w:r>
        <w:rPr>
          <w:rFonts w:ascii="Georgia" w:cs="Georgia" w:eastAsia="Georgia" w:hAnsi="Georgia"/>
          <w:b/>
          <w:bCs/>
          <w:color w:val="8B1A1A"/>
          <w:sz w:val="23"/>
          <w:szCs w:val="23"/>
        </w:rPr>
        <w:t xml:space="preserve">The Regulatory Watch</w:t>
      </w:r>
    </w:p>
    <w:p>
      <w:pPr>
        <w:pStyle w:val="Heading2"/>
        <w:spacing w:after="100" w:before="260"/>
      </w:pPr>
      <w:r>
        <w:rPr>
          <w:rFonts w:ascii="Georgia" w:cs="Georgia" w:eastAsia="Georgia" w:hAnsi="Georgia"/>
          <w:b/>
          <w:bCs/>
          <w:color w:val="8B1A1A"/>
          <w:sz w:val="23"/>
          <w:szCs w:val="23"/>
        </w:rPr>
        <w:t xml:space="preserve">Ask a Physician</w:t>
      </w:r>
    </w:p>
    <w:p>
      <w:pPr>
        <w:pStyle w:val="Heading1"/>
        <w:pBdr>
          <w:bottom w:val="single" w:color="1A1A1A" w:sz="6" w:space="4"/>
        </w:pBdr>
        <w:spacing w:after="200" w:before="400"/>
      </w:pPr>
      <w:r>
        <w:rPr>
          <w:rFonts w:ascii="Georgia" w:cs="Georgia" w:eastAsia="Georgia" w:hAnsi="Georgia"/>
          <w:b/>
          <w:bCs/>
          <w:color w:val="1A1A1A"/>
          <w:sz w:val="30"/>
          <w:szCs w:val="30"/>
        </w:rPr>
        <w:t xml:space="preserve">4. Revenue Model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00"/>
      </w:tblGrid>
      <w:tr>
        <w:trPr>
          <w:tblHeader/>
        </w:trPr>
        <w:tc>
          <w:tcPr>
            <w:tcW w:type="dxa" w:w="2600"/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7"/>
                <w:szCs w:val="17"/>
              </w:rPr>
              <w:t xml:space="preserve">Layer</w:t>
            </w:r>
          </w:p>
        </w:tc>
        <w:tc>
          <w:tcPr>
            <w:tcW w:type="dxa" w:w="6600"/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7"/>
                <w:szCs w:val="17"/>
              </w:rPr>
              <w:t xml:space="preserve">Structure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Free tier</w:t>
            </w:r>
          </w:p>
        </w:tc>
        <w:tc>
          <w:tcPr>
            <w:tcW w:type="dxa" w:w="6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Full newsletter, ad-supported via Sponsors program placements — drives list growth and top-of-funnel awareness</w:t>
            </w:r>
          </w:p>
        </w:tc>
      </w:tr>
      <w:tr>
        <w:tc>
          <w:tcPr>
            <w:tcW w:type="dxa" w:w="2600"/>
            <w:shd w:fill="F2F0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Paid tier ($15–25/mo)</w:t>
            </w:r>
          </w:p>
        </w:tc>
        <w:tc>
          <w:tcPr>
            <w:tcW w:type="dxa" w:w="6600"/>
            <w:shd w:fill="F2F0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Adds early access, extended Price Check data, direct Ask-a-Physician submission, and a members-only monthly deep dive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Sponsor placements</w:t>
            </w:r>
          </w:p>
        </w:tc>
        <w:tc>
          <w:tcPr>
            <w:tcW w:type="dxa" w:w="6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One sponsor slot per issue, pulled from the existing Sponsors program (NADclinic, Evolve Science, Next Health, partner clinics) — same rate-card logic already built, applied to a new placement</w:t>
            </w:r>
          </w:p>
        </w:tc>
      </w:tr>
      <w:tr>
        <w:tc>
          <w:tcPr>
            <w:tcW w:type="dxa" w:w="2600"/>
            <w:shd w:fill="F2F0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Affiliate/referral tie-in</w:t>
            </w:r>
          </w:p>
        </w:tc>
        <w:tc>
          <w:tcPr>
            <w:tcW w:type="dxa" w:w="6600"/>
            <w:shd w:fill="F2F0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Price Check and Verdict sections link to relevant Casanova programs and Ambassador/Creator referral codes where applicable</w:t>
            </w:r>
          </w:p>
        </w:tc>
      </w:tr>
    </w:tbl>
    <w:p>
      <w:pPr>
        <w:pStyle w:val="Heading1"/>
        <w:pBdr>
          <w:bottom w:val="single" w:color="1A1A1A" w:sz="6" w:space="4"/>
        </w:pBdr>
        <w:spacing w:after="200" w:before="400"/>
      </w:pPr>
      <w:r>
        <w:rPr>
          <w:rFonts w:ascii="Georgia" w:cs="Georgia" w:eastAsia="Georgia" w:hAnsi="Georgia"/>
          <w:b/>
          <w:bCs/>
          <w:color w:val="1A1A1A"/>
          <w:sz w:val="30"/>
          <w:szCs w:val="30"/>
        </w:rPr>
        <w:t xml:space="preserve">5. Compliance Guardrails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The Verdict states what the evidence shows and where it stops — never implies a therapy is proven or universally effective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Named partner institutions appear only where their specific licensing for that therapy has been confirmed, consistent with the Renew-tier compliance standard already adopted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Sponsor placements are visually distinct from editorial content — The Verdict and Price Check are never written by or about a paying sponsor in the same issue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No outcome or efficacy claims in subject lines or preview text — this is where regulators and platforms look first</w:t>
      </w:r>
    </w:p>
    <w:p>
      <w:pPr>
        <w:pStyle w:val="Heading1"/>
        <w:pBdr>
          <w:bottom w:val="single" w:color="1A1A1A" w:sz="6" w:space="4"/>
        </w:pBdr>
        <w:spacing w:after="200" w:before="400"/>
      </w:pPr>
      <w:r>
        <w:rPr>
          <w:rFonts w:ascii="Georgia" w:cs="Georgia" w:eastAsia="Georgia" w:hAnsi="Georgia"/>
          <w:b/>
          <w:bCs/>
          <w:color w:val="1A1A1A"/>
          <w:sz w:val="30"/>
          <w:szCs w:val="30"/>
        </w:rPr>
        <w:t xml:space="preserve">6. Sample Issue #1 — Ready to Adapt</w:t>
      </w:r>
    </w:p>
    <w:p>
      <w:pPr>
        <w:spacing w:after="60" w:before="180"/>
      </w:pPr>
      <w:r>
        <w:rPr>
          <w:rFonts w:ascii="Courier New" w:cs="Courier New" w:eastAsia="Courier New" w:hAnsi="Courier New"/>
          <w:b/>
          <w:bCs/>
          <w:color w:val="1A1A1A"/>
          <w:sz w:val="20"/>
          <w:szCs w:val="20"/>
        </w:rPr>
        <w:t xml:space="preserve">THE VERDICT: Peptide Stacks (BPC-157 + TB-500)</w:t>
      </w:r>
    </w:p>
    <w:p>
      <w:pPr>
        <w:spacing w:after="60" w:before="180"/>
      </w:pPr>
      <w:r>
        <w:rPr>
          <w:rFonts w:ascii="Courier New" w:cs="Courier New" w:eastAsia="Courier New" w:hAnsi="Courier New"/>
          <w:b/>
          <w:bCs/>
          <w:color w:val="1A1A1A"/>
          <w:sz w:val="20"/>
          <w:szCs w:val="20"/>
        </w:rPr>
        <w:t xml:space="preserve">THE PRICE CHECK: Multi-Cancer Early Detection Blood Test</w:t>
      </w:r>
    </w:p>
    <w:p>
      <w:pPr>
        <w:spacing w:after="60" w:before="180"/>
      </w:pPr>
      <w:r>
        <w:rPr>
          <w:rFonts w:ascii="Courier New" w:cs="Courier New" w:eastAsia="Courier New" w:hAnsi="Courier New"/>
          <w:b/>
          <w:bCs/>
          <w:color w:val="1A1A1A"/>
          <w:sz w:val="20"/>
          <w:szCs w:val="20"/>
        </w:rPr>
        <w:t xml:space="preserve">THE REGULATORY WATCH</w:t>
      </w:r>
    </w:p>
    <w:p>
      <w:pPr>
        <w:spacing w:after="60" w:before="180"/>
      </w:pPr>
      <w:r>
        <w:rPr>
          <w:rFonts w:ascii="Courier New" w:cs="Courier New" w:eastAsia="Courier New" w:hAnsi="Courier New"/>
          <w:b/>
          <w:bCs/>
          <w:color w:val="1A1A1A"/>
          <w:sz w:val="20"/>
          <w:szCs w:val="20"/>
        </w:rPr>
        <w:t xml:space="preserve">THIS WEEK IN LONGEVITY — quick hits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A 30-year study puts the strength-training “sweet spot” at 90–120 minutes per week — more wasn't associated with additional benefit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Senolytic compounds that clear only damaged, senescent cells are showing early promise in small human studies — still early, worth watching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A new gene-therapy longevity residency opened in a jurisdiction with lighter regulatory oversight than the US or EU — a reminder that not every jurisdiction with fewer rules also has fewer safeguards worth trusting</w:t>
      </w:r>
    </w:p>
    <w:p>
      <w:pPr>
        <w:spacing w:after="60" w:before="180"/>
      </w:pPr>
      <w:r>
        <w:rPr>
          <w:rFonts w:ascii="Courier New" w:cs="Courier New" w:eastAsia="Courier New" w:hAnsi="Courier New"/>
          <w:b/>
          <w:bCs/>
          <w:color w:val="1A1A1A"/>
          <w:sz w:val="20"/>
          <w:szCs w:val="20"/>
        </w:rPr>
        <w:t xml:space="preserve">ASK A PHYSICIAN</w:t>
      </w:r>
    </w:p>
    <w:p>
      <w:pPr>
        <w:pBdr>
          <w:bottom w:val="single" w:color="CCCCCC" w:sz="4" w:space="1"/>
        </w:pBdr>
        <w:spacing w:after="200" w:before="100"/>
      </w:pPr>
    </w:p>
    <w:p>
      <w:pPr>
        <w:spacing w:before="200"/>
      </w:pPr>
      <w:r>
        <w:rPr>
          <w:rFonts w:ascii="Georgia" w:cs="Georgia" w:eastAsia="Georgia" w:hAnsi="Georgia"/>
          <w:i/>
          <w:iCs/>
          <w:color w:val="6B6B6B"/>
          <w:sz w:val="16"/>
          <w:szCs w:val="16"/>
        </w:rPr>
        <w:t xml:space="preserve">This document is private and confidential. Not for distribution.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2026-07-07T06:18:05.325Z</dcterms:created>
  <dcterms:modified xsi:type="dcterms:W3CDTF">2026-07-07T06:18:05.340Z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