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b w:val="1"/>
          <w:bCs w:val="1"/>
          <w:color w:val="7b0d1e"/>
          <w:sz w:val="44"/>
          <w:szCs w:val="44"/>
          <w:rtl w:val="0"/>
        </w:rPr>
        <w:t xml:space="preserve">HOSPITALITY ANALYTICS PROJECT</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i w:val="1"/>
          <w:iCs w:val="1"/>
          <w:color w:val="6b4a52"/>
          <w:sz w:val="26"/>
          <w:szCs w:val="26"/>
          <w:rtl w:val="0"/>
        </w:rPr>
        <w:t xml:space="preserve">Problem Statement &amp; Project Scope</w:t>
      </w:r>
      <w:r w:rsidDel="00000000" w:rsidR="00000000" w:rsidRPr="00000000">
        <w:rPr>
          <w:rtl w:val="0"/>
        </w:rPr>
      </w:r>
    </w:p>
    <w:p w:rsidR="00000000" w:rsidDel="00000000" w:rsidP="00000000" w:rsidRDefault="00000000" w:rsidRPr="00000000" w14:paraId="00000003">
      <w:pPr>
        <w:pBdr>
          <w:bottom w:color="7b0d1e" w:space="8" w:sz="6" w:val="single"/>
        </w:pBdr>
        <w:spacing w:after="240" w:before="0" w:lineRule="auto"/>
        <w:jc w:val="center"/>
        <w:rPr/>
      </w:pPr>
      <w:r w:rsidDel="00000000" w:rsidR="00000000" w:rsidRPr="00000000">
        <w:rPr>
          <w:rFonts w:ascii="Arial" w:cs="Arial" w:eastAsia="Arial" w:hAnsi="Arial"/>
          <w:color w:val="1a0a0f"/>
          <w:sz w:val="20"/>
          <w:szCs w:val="20"/>
          <w:rtl w:val="0"/>
        </w:rPr>
        <w:t xml:space="preserve">AtliQ Hotels  |  Revenue, Occupancy &amp; Strategic Intelligence Dashboard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7b0d1e"/>
                <w:sz w:val="20"/>
                <w:szCs w:val="20"/>
                <w:rtl w:val="0"/>
              </w:rPr>
              <w:t xml:space="preserve">Domain</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tcMar>
              <w:top w:w="80.0" w:type="dxa"/>
              <w:left w:w="16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color w:val="1a0a0f"/>
                <w:sz w:val="20"/>
                <w:szCs w:val="20"/>
                <w:rtl w:val="0"/>
              </w:rPr>
              <w:t xml:space="preserve">Hospitality &amp; Hotel Revenue Analytics</w:t>
            </w:r>
            <w:r w:rsidDel="00000000" w:rsidR="00000000" w:rsidRPr="00000000">
              <w:rPr>
                <w:rtl w:val="0"/>
              </w:rPr>
            </w:r>
          </w:p>
        </w:tc>
      </w:tr>
      <w:tr>
        <w:trPr>
          <w:cantSplit w:val="0"/>
          <w:tblHeader w:val="0"/>
        </w:trPr>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7b0d1e"/>
                <w:sz w:val="20"/>
                <w:szCs w:val="20"/>
                <w:rtl w:val="0"/>
              </w:rPr>
              <w:t xml:space="preserve">Tools Used</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tcMar>
              <w:top w:w="80.0" w:type="dxa"/>
              <w:left w:w="16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color w:val="1a0a0f"/>
                <w:sz w:val="20"/>
                <w:szCs w:val="20"/>
                <w:rtl w:val="0"/>
              </w:rPr>
              <w:t xml:space="preserve">Power BI, DAX, Microsoft Excel</w:t>
            </w:r>
            <w:r w:rsidDel="00000000" w:rsidR="00000000" w:rsidRPr="00000000">
              <w:rPr>
                <w:rtl w:val="0"/>
              </w:rPr>
            </w:r>
          </w:p>
        </w:tc>
      </w:tr>
      <w:tr>
        <w:trPr>
          <w:cantSplit w:val="0"/>
          <w:tblHeader w:val="0"/>
        </w:trPr>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7b0d1e"/>
                <w:sz w:val="20"/>
                <w:szCs w:val="20"/>
                <w:rtl w:val="0"/>
              </w:rPr>
              <w:t xml:space="preserve">Data Period</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tcMar>
              <w:top w:w="80.0" w:type="dxa"/>
              <w:left w:w="16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color w:val="1a0a0f"/>
                <w:sz w:val="20"/>
                <w:szCs w:val="20"/>
                <w:rtl w:val="0"/>
              </w:rPr>
              <w:t xml:space="preserve">May 2022 – July 2022 (3 months)</w:t>
            </w:r>
            <w:r w:rsidDel="00000000" w:rsidR="00000000" w:rsidRPr="00000000">
              <w:rPr>
                <w:rtl w:val="0"/>
              </w:rPr>
            </w:r>
          </w:p>
        </w:tc>
      </w:tr>
      <w:tr>
        <w:trPr>
          <w:cantSplit w:val="0"/>
          <w:tblHeader w:val="0"/>
        </w:trPr>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7b0d1e"/>
                <w:sz w:val="20"/>
                <w:szCs w:val="20"/>
                <w:rtl w:val="0"/>
              </w:rPr>
              <w:t xml:space="preserve">Dataset Size</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tcMar>
              <w:top w:w="80.0" w:type="dxa"/>
              <w:left w:w="16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color w:val="1a0a0f"/>
                <w:sz w:val="20"/>
                <w:szCs w:val="20"/>
                <w:rtl w:val="0"/>
              </w:rPr>
              <w:t xml:space="preserve">~134,000 booking records across 5 tables</w:t>
            </w:r>
            <w:r w:rsidDel="00000000" w:rsidR="00000000" w:rsidRPr="00000000">
              <w:rPr>
                <w:rtl w:val="0"/>
              </w:rPr>
            </w:r>
          </w:p>
        </w:tc>
      </w:tr>
      <w:tr>
        <w:trPr>
          <w:cantSplit w:val="0"/>
          <w:tblHeader w:val="0"/>
        </w:trPr>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7b0d1e"/>
                <w:sz w:val="20"/>
                <w:szCs w:val="20"/>
                <w:rtl w:val="0"/>
              </w:rPr>
              <w:t xml:space="preserve">Properties</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tcMar>
              <w:top w:w="80.0" w:type="dxa"/>
              <w:left w:w="16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color w:val="1a0a0f"/>
                <w:sz w:val="20"/>
                <w:szCs w:val="20"/>
                <w:rtl w:val="0"/>
              </w:rPr>
              <w:t xml:space="preserve">7 AtliQ Hotels across </w:t>
            </w:r>
            <w:r w:rsidDel="00000000" w:rsidR="00000000" w:rsidRPr="00000000">
              <w:rPr>
                <w:sz w:val="20"/>
                <w:szCs w:val="20"/>
                <w:rtl w:val="0"/>
              </w:rPr>
              <w:t xml:space="preserve">4</w:t>
            </w:r>
            <w:r w:rsidDel="00000000" w:rsidR="00000000" w:rsidRPr="00000000">
              <w:rPr>
                <w:rFonts w:ascii="Arial" w:cs="Arial" w:eastAsia="Arial" w:hAnsi="Arial"/>
                <w:color w:val="1a0a0f"/>
                <w:sz w:val="20"/>
                <w:szCs w:val="20"/>
                <w:rtl w:val="0"/>
              </w:rPr>
              <w:t xml:space="preserve"> cities in India</w:t>
            </w:r>
            <w:r w:rsidDel="00000000" w:rsidR="00000000" w:rsidRPr="00000000">
              <w:rPr>
                <w:rtl w:val="0"/>
              </w:rPr>
            </w:r>
          </w:p>
        </w:tc>
      </w:tr>
      <w:tr>
        <w:trPr>
          <w:cantSplit w:val="0"/>
          <w:tblHeader w:val="0"/>
        </w:trPr>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7b0d1e"/>
                <w:sz w:val="20"/>
                <w:szCs w:val="20"/>
                <w:rtl w:val="0"/>
              </w:rPr>
              <w:t xml:space="preserve">Analyst</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tcMar>
              <w:top w:w="80.0" w:type="dxa"/>
              <w:left w:w="16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1a0a0f"/>
                <w:sz w:val="20"/>
                <w:szCs w:val="20"/>
                <w:rtl w:val="0"/>
              </w:rPr>
              <w:t xml:space="preserve">Ashika Jain | B.Tech CSE, Medicaps University</w:t>
            </w:r>
            <w:r w:rsidDel="00000000" w:rsidR="00000000" w:rsidRPr="00000000">
              <w:rPr>
                <w:rtl w:val="0"/>
              </w:rPr>
            </w:r>
          </w:p>
        </w:tc>
      </w:tr>
      <w:tr>
        <w:trPr>
          <w:cantSplit w:val="0"/>
          <w:tblHeader w:val="0"/>
        </w:trPr>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7b0d1e"/>
                <w:sz w:val="20"/>
                <w:szCs w:val="20"/>
                <w:rtl w:val="0"/>
              </w:rPr>
              <w:t xml:space="preserve">GitHub</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tcMar>
              <w:top w:w="80.0" w:type="dxa"/>
              <w:left w:w="16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1a0a0f"/>
                <w:sz w:val="20"/>
                <w:szCs w:val="20"/>
                <w:rtl w:val="0"/>
              </w:rPr>
              <w:t xml:space="preserve">github.com/ashika1jain</w:t>
            </w:r>
            <w:r w:rsidDel="00000000" w:rsidR="00000000" w:rsidRPr="00000000">
              <w:rPr>
                <w:rtl w:val="0"/>
              </w:rPr>
            </w:r>
          </w:p>
        </w:tc>
      </w:tr>
    </w:tbl>
    <w:p w:rsidR="00000000" w:rsidDel="00000000" w:rsidP="00000000" w:rsidRDefault="00000000" w:rsidRPr="00000000" w14:paraId="00000012">
      <w:pPr>
        <w:spacing w:after="0" w:before="300" w:lineRule="auto"/>
        <w:rPr/>
      </w:pPr>
      <w:r w:rsidDel="00000000" w:rsidR="00000000" w:rsidRPr="00000000">
        <w:rPr>
          <w:rtl w:val="0"/>
        </w:rPr>
      </w:r>
    </w:p>
    <w:p w:rsidR="00000000" w:rsidDel="00000000" w:rsidP="00000000" w:rsidRDefault="00000000" w:rsidRPr="00000000" w14:paraId="00000013">
      <w:pPr>
        <w:pStyle w:val="Heading1"/>
        <w:pBdr>
          <w:bottom w:color="7b0d1e" w:space="4" w:sz="4" w:val="single"/>
        </w:pBdr>
        <w:spacing w:after="120" w:before="360" w:lineRule="auto"/>
        <w:rPr/>
      </w:pPr>
      <w:r w:rsidDel="00000000" w:rsidR="00000000" w:rsidRPr="00000000">
        <w:rPr>
          <w:rFonts w:ascii="Arial" w:cs="Arial" w:eastAsia="Arial" w:hAnsi="Arial"/>
          <w:b w:val="1"/>
          <w:bCs w:val="1"/>
          <w:color w:val="7b0d1e"/>
          <w:sz w:val="28"/>
          <w:szCs w:val="28"/>
          <w:rtl w:val="0"/>
        </w:rPr>
        <w:t xml:space="preserve">1. Background</w:t>
      </w:r>
      <w:r w:rsidDel="00000000" w:rsidR="00000000" w:rsidRPr="00000000">
        <w:rPr>
          <w:rtl w:val="0"/>
        </w:rPr>
      </w:r>
    </w:p>
    <w:p w:rsidR="00000000" w:rsidDel="00000000" w:rsidP="00000000" w:rsidRDefault="00000000" w:rsidRPr="00000000" w14:paraId="00000014">
      <w:pPr>
        <w:spacing w:after="80" w:before="60" w:lineRule="auto"/>
        <w:rPr/>
      </w:pPr>
      <w:r w:rsidDel="00000000" w:rsidR="00000000" w:rsidRPr="00000000">
        <w:rPr>
          <w:rFonts w:ascii="Arial" w:cs="Arial" w:eastAsia="Arial" w:hAnsi="Arial"/>
          <w:color w:val="1a0a0f"/>
          <w:sz w:val="22"/>
          <w:szCs w:val="22"/>
          <w:rtl w:val="0"/>
        </w:rPr>
        <w:t xml:space="preserve">AtliQ Hotels is a fictional hotel chain operating properties across 6 major Indian cities: Delhi, Mumbai, Bangalore, Hyderabad. The chain operates two property categories — Luxury and Business — and manages multiple room classes (Standard, Elite, Premium, Presidential) across 7 properties.</w:t>
      </w:r>
      <w:r w:rsidDel="00000000" w:rsidR="00000000" w:rsidRPr="00000000">
        <w:rPr>
          <w:rtl w:val="0"/>
        </w:rPr>
      </w:r>
    </w:p>
    <w:p w:rsidR="00000000" w:rsidDel="00000000" w:rsidP="00000000" w:rsidRDefault="00000000" w:rsidRPr="00000000" w14:paraId="00000015">
      <w:pPr>
        <w:spacing w:after="0" w:before="80" w:lineRule="auto"/>
        <w:rPr/>
      </w:pPr>
      <w:r w:rsidDel="00000000" w:rsidR="00000000" w:rsidRPr="00000000">
        <w:rPr>
          <w:rtl w:val="0"/>
        </w:rPr>
      </w:r>
    </w:p>
    <w:p w:rsidR="00000000" w:rsidDel="00000000" w:rsidP="00000000" w:rsidRDefault="00000000" w:rsidRPr="00000000" w14:paraId="00000016">
      <w:pPr>
        <w:spacing w:after="80" w:before="60" w:lineRule="auto"/>
        <w:rPr/>
      </w:pPr>
      <w:r w:rsidDel="00000000" w:rsidR="00000000" w:rsidRPr="00000000">
        <w:rPr>
          <w:rFonts w:ascii="Arial" w:cs="Arial" w:eastAsia="Arial" w:hAnsi="Arial"/>
          <w:color w:val="1a0a0f"/>
          <w:sz w:val="22"/>
          <w:szCs w:val="22"/>
          <w:rtl w:val="0"/>
        </w:rPr>
        <w:t xml:space="preserve">AtliQ Hotels has been facing declining revenue and market share over the past few quarters. The management suspects that decisions are being made based on intuition rather than data, and that revenue opportunities are being missed due to the absence of a structured analytics system. The revenue management team has requested a comprehensive data-driven dashboard and analysis to support strategic decision-making.</w:t>
      </w:r>
      <w:r w:rsidDel="00000000" w:rsidR="00000000" w:rsidRPr="00000000">
        <w:rPr>
          <w:rtl w:val="0"/>
        </w:rPr>
      </w:r>
    </w:p>
    <w:p w:rsidR="00000000" w:rsidDel="00000000" w:rsidP="00000000" w:rsidRDefault="00000000" w:rsidRPr="00000000" w14:paraId="00000017">
      <w:pPr>
        <w:spacing w:after="0" w:before="200" w:lineRule="auto"/>
        <w:rPr/>
      </w:pPr>
      <w:r w:rsidDel="00000000" w:rsidR="00000000" w:rsidRPr="00000000">
        <w:rPr>
          <w:rtl w:val="0"/>
        </w:rPr>
      </w:r>
    </w:p>
    <w:p w:rsidR="00000000" w:rsidDel="00000000" w:rsidP="00000000" w:rsidRDefault="00000000" w:rsidRPr="00000000" w14:paraId="00000018">
      <w:pPr>
        <w:pStyle w:val="Heading1"/>
        <w:pBdr>
          <w:bottom w:color="7b0d1e" w:space="4" w:sz="4" w:val="single"/>
        </w:pBdr>
        <w:spacing w:after="120" w:before="360" w:lineRule="auto"/>
        <w:rPr/>
      </w:pPr>
      <w:r w:rsidDel="00000000" w:rsidR="00000000" w:rsidRPr="00000000">
        <w:rPr>
          <w:rFonts w:ascii="Arial" w:cs="Arial" w:eastAsia="Arial" w:hAnsi="Arial"/>
          <w:b w:val="1"/>
          <w:bCs w:val="1"/>
          <w:color w:val="7b0d1e"/>
          <w:sz w:val="28"/>
          <w:szCs w:val="28"/>
          <w:rtl w:val="0"/>
        </w:rPr>
        <w:t xml:space="preserve">2. Problem Statement</w:t>
      </w:r>
      <w:r w:rsidDel="00000000" w:rsidR="00000000" w:rsidRPr="00000000">
        <w:rPr>
          <w:rtl w:val="0"/>
        </w:rPr>
      </w:r>
    </w:p>
    <w:p w:rsidR="00000000" w:rsidDel="00000000" w:rsidP="00000000" w:rsidRDefault="00000000" w:rsidRPr="00000000" w14:paraId="00000019">
      <w:pPr>
        <w:spacing w:after="80" w:before="60" w:lineRule="auto"/>
        <w:rPr/>
      </w:pPr>
      <w:r w:rsidDel="00000000" w:rsidR="00000000" w:rsidRPr="00000000">
        <w:rPr>
          <w:rFonts w:ascii="Arial" w:cs="Arial" w:eastAsia="Arial" w:hAnsi="Arial"/>
          <w:color w:val="1a0a0f"/>
          <w:sz w:val="22"/>
          <w:szCs w:val="22"/>
          <w:rtl w:val="0"/>
        </w:rPr>
        <w:t xml:space="preserve">AtliQ Hotels currently lacks visibility into key performance metrics across its properties. There is no centralized system to monitor occupancy, revenue, pricing performance, or booking channel effectiveness on a weekly or property-level basis. This absence of data infrastructure leads to three core problems:</w:t>
      </w:r>
      <w:r w:rsidDel="00000000" w:rsidR="00000000" w:rsidRPr="00000000">
        <w:rPr>
          <w:rtl w:val="0"/>
        </w:rPr>
      </w:r>
    </w:p>
    <w:p w:rsidR="00000000" w:rsidDel="00000000" w:rsidP="00000000" w:rsidRDefault="00000000" w:rsidRPr="00000000" w14:paraId="0000001A">
      <w:pPr>
        <w:spacing w:after="0" w:before="80" w:lineRule="auto"/>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0a0f"/>
          <w:sz w:val="22"/>
          <w:szCs w:val="22"/>
          <w:u w:val="none"/>
          <w:shd w:fill="auto" w:val="clear"/>
          <w:vertAlign w:val="baseline"/>
          <w:rtl w:val="0"/>
        </w:rPr>
        <w:t xml:space="preserve">Revenue leakage due to flat pricing — the hotel applies uniform ADR (Average Daily Rate) regardless of demand fluctuations, resulting in missed revenue on peak days, weekends, and holidays.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0a0f"/>
          <w:sz w:val="22"/>
          <w:szCs w:val="22"/>
          <w:u w:val="none"/>
          <w:shd w:fill="auto" w:val="clear"/>
          <w:vertAlign w:val="baseline"/>
          <w:rtl w:val="0"/>
        </w:rPr>
        <w:t xml:space="preserve">No channel-level strategy — the hotel does not differentiate between OTA (Online Travel Agency) platforms and direct channels, leading to suboptimal commission spending and vulnerability to OTA rating manipulation.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0a0f"/>
          <w:sz w:val="22"/>
          <w:szCs w:val="22"/>
          <w:u w:val="none"/>
          <w:shd w:fill="auto" w:val="clear"/>
          <w:vertAlign w:val="baseline"/>
          <w:rtl w:val="0"/>
        </w:rPr>
        <w:t xml:space="preserve">Underperforming properties go undetected — without a consolidated view, properties with low occupancy and poor guest ratings (like Atliq Grands, Bangalore) are not identified or addressed in time.</w:t>
      </w:r>
    </w:p>
    <w:p w:rsidR="00000000" w:rsidDel="00000000" w:rsidP="00000000" w:rsidRDefault="00000000" w:rsidRPr="00000000" w14:paraId="0000001E">
      <w:pPr>
        <w:spacing w:after="0" w:before="200" w:lineRule="auto"/>
        <w:rPr/>
      </w:pPr>
      <w:r w:rsidDel="00000000" w:rsidR="00000000" w:rsidRPr="00000000">
        <w:rPr>
          <w:rtl w:val="0"/>
        </w:rPr>
      </w:r>
    </w:p>
    <w:p w:rsidR="00000000" w:rsidDel="00000000" w:rsidP="00000000" w:rsidRDefault="00000000" w:rsidRPr="00000000" w14:paraId="0000001F">
      <w:pPr>
        <w:pStyle w:val="Heading1"/>
        <w:pBdr>
          <w:bottom w:color="7b0d1e" w:space="4" w:sz="4" w:val="single"/>
        </w:pBdr>
        <w:spacing w:after="120" w:before="360" w:lineRule="auto"/>
        <w:rPr/>
      </w:pPr>
      <w:r w:rsidDel="00000000" w:rsidR="00000000" w:rsidRPr="00000000">
        <w:rPr>
          <w:rFonts w:ascii="Arial" w:cs="Arial" w:eastAsia="Arial" w:hAnsi="Arial"/>
          <w:b w:val="1"/>
          <w:bCs w:val="1"/>
          <w:color w:val="7b0d1e"/>
          <w:sz w:val="28"/>
          <w:szCs w:val="28"/>
          <w:rtl w:val="0"/>
        </w:rPr>
        <w:t xml:space="preserve">3. Project Objective</w:t>
      </w:r>
      <w:r w:rsidDel="00000000" w:rsidR="00000000" w:rsidRPr="00000000">
        <w:rPr>
          <w:rtl w:val="0"/>
        </w:rPr>
      </w:r>
    </w:p>
    <w:p w:rsidR="00000000" w:rsidDel="00000000" w:rsidP="00000000" w:rsidRDefault="00000000" w:rsidRPr="00000000" w14:paraId="00000020">
      <w:pPr>
        <w:spacing w:after="80" w:before="60" w:lineRule="auto"/>
        <w:rPr/>
      </w:pPr>
      <w:r w:rsidDel="00000000" w:rsidR="00000000" w:rsidRPr="00000000">
        <w:rPr>
          <w:rFonts w:ascii="Arial" w:cs="Arial" w:eastAsia="Arial" w:hAnsi="Arial"/>
          <w:color w:val="1a0a0f"/>
          <w:sz w:val="22"/>
          <w:szCs w:val="22"/>
          <w:rtl w:val="0"/>
        </w:rPr>
        <w:t xml:space="preserve">The objective of this project is to design and deliver an end-to-end hospitality analytics solution that enables AtliQ Hotels' revenue management team to:</w:t>
      </w:r>
      <w:r w:rsidDel="00000000" w:rsidR="00000000" w:rsidRPr="00000000">
        <w:rPr>
          <w:rtl w:val="0"/>
        </w:rPr>
      </w:r>
    </w:p>
    <w:p w:rsidR="00000000" w:rsidDel="00000000" w:rsidP="00000000" w:rsidRDefault="00000000" w:rsidRPr="00000000" w14:paraId="00000021">
      <w:pPr>
        <w:spacing w:after="0" w:before="80" w:lineRule="auto"/>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0a0f"/>
          <w:sz w:val="22"/>
          <w:szCs w:val="22"/>
          <w:u w:val="none"/>
          <w:shd w:fill="auto" w:val="clear"/>
          <w:vertAlign w:val="baseline"/>
          <w:rtl w:val="0"/>
        </w:rPr>
        <w:t xml:space="preserve">Track and monitor all key hospitality KPIs — Revenue, RevPAR, ADR, Occupancy %, DSRN, DBRN, DURN, Realisation %, and Cancellation Rate — in a single interactive dashboard.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0a0f"/>
          <w:sz w:val="22"/>
          <w:szCs w:val="22"/>
          <w:u w:val="none"/>
          <w:shd w:fill="auto" w:val="clear"/>
          <w:vertAlign w:val="baseline"/>
          <w:rtl w:val="0"/>
        </w:rPr>
        <w:t xml:space="preserve">Identify week-over-week trends and seasonal patterns in bookings and revenue across all properties and cities.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0a0f"/>
          <w:sz w:val="22"/>
          <w:szCs w:val="22"/>
          <w:u w:val="none"/>
          <w:shd w:fill="auto" w:val="clear"/>
          <w:vertAlign w:val="baseline"/>
          <w:rtl w:val="0"/>
        </w:rPr>
        <w:t xml:space="preserve">Analyze booking platform performance to determine which channels drive the most revenue, highest ADR, and best realisation rates.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0a0f"/>
          <w:sz w:val="22"/>
          <w:szCs w:val="22"/>
          <w:u w:val="none"/>
          <w:shd w:fill="auto" w:val="clear"/>
          <w:vertAlign w:val="baseline"/>
          <w:rtl w:val="0"/>
        </w:rPr>
        <w:t xml:space="preserve">Compare weekend vs. weekday performance to identify dynamic pricing opportunities.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0a0f"/>
          <w:sz w:val="22"/>
          <w:szCs w:val="22"/>
          <w:u w:val="none"/>
          <w:shd w:fill="auto" w:val="clear"/>
          <w:vertAlign w:val="baseline"/>
          <w:rtl w:val="0"/>
        </w:rPr>
        <w:t xml:space="preserve">Surface underperforming properties and correlate low ratings with low occupancy to drive operational improvement.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0a0f"/>
          <w:sz w:val="22"/>
          <w:szCs w:val="22"/>
          <w:u w:val="none"/>
          <w:shd w:fill="auto" w:val="clear"/>
          <w:vertAlign w:val="baseline"/>
          <w:rtl w:val="0"/>
        </w:rPr>
        <w:t xml:space="preserve">Deliver actionable business recommendations backed by data, not assumptions.</w:t>
      </w:r>
    </w:p>
    <w:p w:rsidR="00000000" w:rsidDel="00000000" w:rsidP="00000000" w:rsidRDefault="00000000" w:rsidRPr="00000000" w14:paraId="00000028">
      <w:pPr>
        <w:spacing w:after="0" w:before="200" w:lineRule="auto"/>
        <w:rPr/>
      </w:pPr>
      <w:r w:rsidDel="00000000" w:rsidR="00000000" w:rsidRPr="00000000">
        <w:rPr>
          <w:rtl w:val="0"/>
        </w:rPr>
      </w:r>
    </w:p>
    <w:p w:rsidR="00000000" w:rsidDel="00000000" w:rsidP="00000000" w:rsidRDefault="00000000" w:rsidRPr="00000000" w14:paraId="00000029">
      <w:pPr>
        <w:pStyle w:val="Heading1"/>
        <w:pBdr>
          <w:bottom w:color="7b0d1e" w:space="4" w:sz="4" w:val="single"/>
        </w:pBdr>
        <w:spacing w:after="120" w:before="360" w:lineRule="auto"/>
        <w:rPr/>
      </w:pPr>
      <w:r w:rsidDel="00000000" w:rsidR="00000000" w:rsidRPr="00000000">
        <w:rPr>
          <w:rFonts w:ascii="Arial" w:cs="Arial" w:eastAsia="Arial" w:hAnsi="Arial"/>
          <w:b w:val="1"/>
          <w:bCs w:val="1"/>
          <w:color w:val="7b0d1e"/>
          <w:sz w:val="28"/>
          <w:szCs w:val="28"/>
          <w:rtl w:val="0"/>
        </w:rPr>
        <w:t xml:space="preserve">4. Dataset Description</w:t>
      </w:r>
      <w:r w:rsidDel="00000000" w:rsidR="00000000" w:rsidRPr="00000000">
        <w:rPr>
          <w:rtl w:val="0"/>
        </w:rPr>
      </w:r>
    </w:p>
    <w:p w:rsidR="00000000" w:rsidDel="00000000" w:rsidP="00000000" w:rsidRDefault="00000000" w:rsidRPr="00000000" w14:paraId="0000002A">
      <w:pPr>
        <w:spacing w:after="80" w:before="60" w:lineRule="auto"/>
        <w:rPr/>
      </w:pPr>
      <w:r w:rsidDel="00000000" w:rsidR="00000000" w:rsidRPr="00000000">
        <w:rPr>
          <w:rFonts w:ascii="Arial" w:cs="Arial" w:eastAsia="Arial" w:hAnsi="Arial"/>
          <w:color w:val="1a0a0f"/>
          <w:sz w:val="22"/>
          <w:szCs w:val="22"/>
          <w:rtl w:val="0"/>
        </w:rPr>
        <w:t xml:space="preserve">The project uses 5 structured CSV files provided as part of the AtliQ Hotels internal data extract. Total records: ~134,000 booking transactions.</w:t>
      </w:r>
      <w:r w:rsidDel="00000000" w:rsidR="00000000" w:rsidRPr="00000000">
        <w:rPr>
          <w:rtl w:val="0"/>
        </w:rPr>
      </w:r>
    </w:p>
    <w:p w:rsidR="00000000" w:rsidDel="00000000" w:rsidP="00000000" w:rsidRDefault="00000000" w:rsidRPr="00000000" w14:paraId="0000002B">
      <w:pPr>
        <w:spacing w:after="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0"/>
        </w:trPr>
        <w:tc>
          <w:tcPr>
            <w:tcBorders>
              <w:top w:color="dec8cb" w:space="0" w:sz="4" w:val="single"/>
              <w:left w:color="dec8cb" w:space="0" w:sz="4" w:val="single"/>
              <w:bottom w:color="dec8cb" w:space="0" w:sz="4" w:val="single"/>
              <w:right w:color="dec8cb" w:space="0" w:sz="4" w:val="single"/>
            </w:tcBorders>
            <w:shd w:fill="7b0d1e" w:val="clear"/>
            <w:tcMar>
              <w:top w:w="80.0" w:type="dxa"/>
              <w:left w:w="16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File</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7b0d1e" w:val="clear"/>
            <w:tcMar>
              <w:top w:w="80.0" w:type="dxa"/>
              <w:left w:w="16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7b0d1e" w:val="clear"/>
            <w:tcMar>
              <w:top w:w="80.0" w:type="dxa"/>
              <w:left w:w="16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2F">
            <w:pPr>
              <w:rPr/>
            </w:pPr>
            <w:r w:rsidDel="00000000" w:rsidR="00000000" w:rsidRPr="00000000">
              <w:rPr>
                <w:rFonts w:ascii="Courier New" w:cs="Courier New" w:eastAsia="Courier New" w:hAnsi="Courier New"/>
                <w:b w:val="1"/>
                <w:bCs w:val="1"/>
                <w:color w:val="1a0a0f"/>
                <w:sz w:val="19"/>
                <w:szCs w:val="19"/>
                <w:rtl w:val="0"/>
              </w:rPr>
              <w:t xml:space="preserve">dim_date.csv</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6b4a52"/>
                <w:sz w:val="19"/>
                <w:szCs w:val="19"/>
                <w:rtl w:val="0"/>
              </w:rPr>
              <w:t xml:space="preserve">Dimension</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1a0a0f"/>
                <w:sz w:val="19"/>
                <w:szCs w:val="19"/>
                <w:rtl w:val="0"/>
              </w:rPr>
              <w:t xml:space="preserve">Date calendar with week numbers and day type (Weekend/Weekday) for May–July 2022</w:t>
            </w:r>
            <w:r w:rsidDel="00000000" w:rsidR="00000000" w:rsidRPr="00000000">
              <w:rPr>
                <w:rtl w:val="0"/>
              </w:rPr>
            </w:r>
          </w:p>
        </w:tc>
      </w:tr>
      <w:tr>
        <w:trPr>
          <w:cantSplit w:val="0"/>
          <w:tblHeader w:val="0"/>
        </w:trPr>
        <w:tc>
          <w:tcPr>
            <w:tcBorders>
              <w:top w:color="dec8cb" w:space="0" w:sz="4" w:val="single"/>
              <w:left w:color="dec8cb" w:space="0" w:sz="4" w:val="single"/>
              <w:bottom w:color="dec8cb" w:space="0" w:sz="4" w:val="single"/>
              <w:right w:color="dec8cb" w:space="0" w:sz="4" w:val="single"/>
            </w:tcBorders>
            <w:shd w:fill="ffffff" w:val="clear"/>
            <w:tcMar>
              <w:top w:w="80.0" w:type="dxa"/>
              <w:left w:w="160.0" w:type="dxa"/>
              <w:bottom w:w="80.0" w:type="dxa"/>
              <w:right w:w="120.0" w:type="dxa"/>
            </w:tcMar>
          </w:tcPr>
          <w:p w:rsidR="00000000" w:rsidDel="00000000" w:rsidP="00000000" w:rsidRDefault="00000000" w:rsidRPr="00000000" w14:paraId="00000032">
            <w:pPr>
              <w:rPr/>
            </w:pPr>
            <w:r w:rsidDel="00000000" w:rsidR="00000000" w:rsidRPr="00000000">
              <w:rPr>
                <w:rFonts w:ascii="Courier New" w:cs="Courier New" w:eastAsia="Courier New" w:hAnsi="Courier New"/>
                <w:b w:val="1"/>
                <w:bCs w:val="1"/>
                <w:color w:val="1a0a0f"/>
                <w:sz w:val="19"/>
                <w:szCs w:val="19"/>
                <w:rtl w:val="0"/>
              </w:rPr>
              <w:t xml:space="preserve">dim_hotels.csv</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fffff" w:val="clear"/>
            <w:tcMar>
              <w:top w:w="80.0" w:type="dxa"/>
              <w:left w:w="16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6b4a52"/>
                <w:sz w:val="19"/>
                <w:szCs w:val="19"/>
                <w:rtl w:val="0"/>
              </w:rPr>
              <w:t xml:space="preserve">Dimension</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fffff" w:val="clear"/>
            <w:tcMar>
              <w:top w:w="80.0" w:type="dxa"/>
              <w:left w:w="16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1a0a0f"/>
                <w:sz w:val="19"/>
                <w:szCs w:val="19"/>
                <w:rtl w:val="0"/>
              </w:rPr>
              <w:t xml:space="preserve">Property master — 7 hotels with property ID, name, category (Luxury/Business), and city</w:t>
            </w:r>
            <w:r w:rsidDel="00000000" w:rsidR="00000000" w:rsidRPr="00000000">
              <w:rPr>
                <w:rtl w:val="0"/>
              </w:rPr>
            </w:r>
          </w:p>
        </w:tc>
      </w:tr>
      <w:tr>
        <w:trPr>
          <w:cantSplit w:val="0"/>
          <w:tblHeader w:val="0"/>
        </w:trPr>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35">
            <w:pPr>
              <w:rPr/>
            </w:pPr>
            <w:r w:rsidDel="00000000" w:rsidR="00000000" w:rsidRPr="00000000">
              <w:rPr>
                <w:rFonts w:ascii="Courier New" w:cs="Courier New" w:eastAsia="Courier New" w:hAnsi="Courier New"/>
                <w:b w:val="1"/>
                <w:bCs w:val="1"/>
                <w:color w:val="1a0a0f"/>
                <w:sz w:val="19"/>
                <w:szCs w:val="19"/>
                <w:rtl w:val="0"/>
              </w:rPr>
              <w:t xml:space="preserve">dim_rooms.csv</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6b4a52"/>
                <w:sz w:val="19"/>
                <w:szCs w:val="19"/>
                <w:rtl w:val="0"/>
              </w:rPr>
              <w:t xml:space="preserve">Dimension</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1a0a0f"/>
                <w:sz w:val="19"/>
                <w:szCs w:val="19"/>
                <w:rtl w:val="0"/>
              </w:rPr>
              <w:t xml:space="preserve">Room type master — 4 room types (RT1–RT4) mapped to room classes (Standard to Presidential)</w:t>
            </w:r>
            <w:r w:rsidDel="00000000" w:rsidR="00000000" w:rsidRPr="00000000">
              <w:rPr>
                <w:rtl w:val="0"/>
              </w:rPr>
            </w:r>
          </w:p>
        </w:tc>
      </w:tr>
      <w:tr>
        <w:trPr>
          <w:cantSplit w:val="0"/>
          <w:tblHeader w:val="0"/>
        </w:trPr>
        <w:tc>
          <w:tcPr>
            <w:tcBorders>
              <w:top w:color="dec8cb" w:space="0" w:sz="4" w:val="single"/>
              <w:left w:color="dec8cb" w:space="0" w:sz="4" w:val="single"/>
              <w:bottom w:color="dec8cb" w:space="0" w:sz="4" w:val="single"/>
              <w:right w:color="dec8cb" w:space="0" w:sz="4" w:val="single"/>
            </w:tcBorders>
            <w:shd w:fill="ffffff" w:val="clear"/>
            <w:tcMar>
              <w:top w:w="80.0" w:type="dxa"/>
              <w:left w:w="160.0" w:type="dxa"/>
              <w:bottom w:w="80.0" w:type="dxa"/>
              <w:right w:w="120.0" w:type="dxa"/>
            </w:tcMar>
          </w:tcPr>
          <w:p w:rsidR="00000000" w:rsidDel="00000000" w:rsidP="00000000" w:rsidRDefault="00000000" w:rsidRPr="00000000" w14:paraId="00000038">
            <w:pPr>
              <w:rPr/>
            </w:pPr>
            <w:r w:rsidDel="00000000" w:rsidR="00000000" w:rsidRPr="00000000">
              <w:rPr>
                <w:rFonts w:ascii="Courier New" w:cs="Courier New" w:eastAsia="Courier New" w:hAnsi="Courier New"/>
                <w:b w:val="1"/>
                <w:bCs w:val="1"/>
                <w:color w:val="1a0a0f"/>
                <w:sz w:val="19"/>
                <w:szCs w:val="19"/>
                <w:rtl w:val="0"/>
              </w:rPr>
              <w:t xml:space="preserve">fact_aggregated_bookings.csv</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fffff" w:val="clear"/>
            <w:tcMar>
              <w:top w:w="80.0" w:type="dxa"/>
              <w:left w:w="16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6b4a52"/>
                <w:sz w:val="19"/>
                <w:szCs w:val="19"/>
                <w:rtl w:val="0"/>
              </w:rPr>
              <w:t xml:space="preserve">Fact</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fffff" w:val="clear"/>
            <w:tcMar>
              <w:top w:w="80.0" w:type="dxa"/>
              <w:left w:w="16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1a0a0f"/>
                <w:sz w:val="19"/>
                <w:szCs w:val="19"/>
                <w:rtl w:val="0"/>
              </w:rPr>
              <w:t xml:space="preserve">Daily room-level capacity and successful booking counts per property (~9,200 records)</w:t>
            </w:r>
            <w:r w:rsidDel="00000000" w:rsidR="00000000" w:rsidRPr="00000000">
              <w:rPr>
                <w:rtl w:val="0"/>
              </w:rPr>
            </w:r>
          </w:p>
        </w:tc>
      </w:tr>
      <w:tr>
        <w:trPr>
          <w:cantSplit w:val="0"/>
          <w:tblHeader w:val="0"/>
        </w:trPr>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3B">
            <w:pPr>
              <w:rPr/>
            </w:pPr>
            <w:r w:rsidDel="00000000" w:rsidR="00000000" w:rsidRPr="00000000">
              <w:rPr>
                <w:rFonts w:ascii="Courier New" w:cs="Courier New" w:eastAsia="Courier New" w:hAnsi="Courier New"/>
                <w:b w:val="1"/>
                <w:bCs w:val="1"/>
                <w:color w:val="1a0a0f"/>
                <w:sz w:val="19"/>
                <w:szCs w:val="19"/>
                <w:rtl w:val="0"/>
              </w:rPr>
              <w:t xml:space="preserve">fact_bookings.csv</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6b4a52"/>
                <w:sz w:val="19"/>
                <w:szCs w:val="19"/>
                <w:rtl w:val="0"/>
              </w:rPr>
              <w:t xml:space="preserve">Fact</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1a0a0f"/>
                <w:sz w:val="19"/>
                <w:szCs w:val="19"/>
                <w:rtl w:val="0"/>
              </w:rPr>
              <w:t xml:space="preserve">Individual booking transactions with guest count, platform, status, revenue generated and realized (~134,000 records)</w:t>
            </w:r>
            <w:r w:rsidDel="00000000" w:rsidR="00000000" w:rsidRPr="00000000">
              <w:rPr>
                <w:rtl w:val="0"/>
              </w:rPr>
            </w:r>
          </w:p>
        </w:tc>
      </w:tr>
    </w:tbl>
    <w:p w:rsidR="00000000" w:rsidDel="00000000" w:rsidP="00000000" w:rsidRDefault="00000000" w:rsidRPr="00000000" w14:paraId="0000003E">
      <w:pPr>
        <w:spacing w:after="0" w:before="200" w:lineRule="auto"/>
        <w:rPr/>
      </w:pPr>
      <w:r w:rsidDel="00000000" w:rsidR="00000000" w:rsidRPr="00000000">
        <w:rPr>
          <w:rtl w:val="0"/>
        </w:rPr>
      </w:r>
    </w:p>
    <w:p w:rsidR="00000000" w:rsidDel="00000000" w:rsidP="00000000" w:rsidRDefault="00000000" w:rsidRPr="00000000" w14:paraId="0000003F">
      <w:pPr>
        <w:pStyle w:val="Heading1"/>
        <w:pBdr>
          <w:bottom w:color="7b0d1e" w:space="4" w:sz="4" w:val="single"/>
        </w:pBdr>
        <w:spacing w:after="120" w:before="360" w:lineRule="auto"/>
        <w:rPr/>
      </w:pPr>
      <w:r w:rsidDel="00000000" w:rsidR="00000000" w:rsidRPr="00000000">
        <w:rPr>
          <w:rFonts w:ascii="Arial" w:cs="Arial" w:eastAsia="Arial" w:hAnsi="Arial"/>
          <w:b w:val="1"/>
          <w:bCs w:val="1"/>
          <w:color w:val="7b0d1e"/>
          <w:sz w:val="28"/>
          <w:szCs w:val="28"/>
          <w:rtl w:val="0"/>
        </w:rPr>
        <w:t xml:space="preserve">5. Key Metrics Tracked</w:t>
      </w:r>
      <w:r w:rsidDel="00000000" w:rsidR="00000000" w:rsidRPr="00000000">
        <w:rPr>
          <w:rtl w:val="0"/>
        </w:rPr>
      </w:r>
    </w:p>
    <w:p w:rsidR="00000000" w:rsidDel="00000000" w:rsidP="00000000" w:rsidRDefault="00000000" w:rsidRPr="00000000" w14:paraId="00000040">
      <w:pPr>
        <w:spacing w:after="80" w:before="60" w:lineRule="auto"/>
        <w:rPr/>
      </w:pPr>
      <w:r w:rsidDel="00000000" w:rsidR="00000000" w:rsidRPr="00000000">
        <w:rPr>
          <w:rFonts w:ascii="Arial" w:cs="Arial" w:eastAsia="Arial" w:hAnsi="Arial"/>
          <w:color w:val="1a0a0f"/>
          <w:sz w:val="22"/>
          <w:szCs w:val="22"/>
          <w:rtl w:val="0"/>
        </w:rPr>
        <w:t xml:space="preserve">The following hospitality KPIs were calculated using DAX formulas in Power BI:</w:t>
      </w:r>
      <w:r w:rsidDel="00000000" w:rsidR="00000000" w:rsidRPr="00000000">
        <w:rPr>
          <w:rtl w:val="0"/>
        </w:rPr>
      </w:r>
    </w:p>
    <w:p w:rsidR="00000000" w:rsidDel="00000000" w:rsidP="00000000" w:rsidRDefault="00000000" w:rsidRPr="00000000" w14:paraId="00000041">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0"/>
        </w:trPr>
        <w:tc>
          <w:tcPr>
            <w:tcBorders>
              <w:top w:color="dec8cb" w:space="0" w:sz="4" w:val="single"/>
              <w:left w:color="dec8cb" w:space="0" w:sz="4" w:val="single"/>
              <w:bottom w:color="dec8cb" w:space="0" w:sz="4" w:val="single"/>
              <w:right w:color="dec8cb" w:space="0" w:sz="4" w:val="single"/>
            </w:tcBorders>
            <w:shd w:fill="7b0d1e" w:val="clear"/>
            <w:tcMar>
              <w:top w:w="80.0" w:type="dxa"/>
              <w:left w:w="16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7b0d1e" w:val="clear"/>
            <w:tcMar>
              <w:top w:w="80.0" w:type="dxa"/>
              <w:left w:w="16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20"/>
                <w:szCs w:val="20"/>
                <w:rtl w:val="0"/>
              </w:rPr>
              <w:t xml:space="preserve">Full Name</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7b0d1e" w:val="clear"/>
            <w:tcMar>
              <w:top w:w="80.0" w:type="dxa"/>
              <w:left w:w="16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0"/>
                <w:szCs w:val="20"/>
                <w:rtl w:val="0"/>
              </w:rPr>
              <w:t xml:space="preserve">Business Significance</w:t>
            </w:r>
            <w:r w:rsidDel="00000000" w:rsidR="00000000" w:rsidRPr="00000000">
              <w:rPr>
                <w:rtl w:val="0"/>
              </w:rPr>
            </w:r>
          </w:p>
        </w:tc>
      </w:tr>
      <w:tr>
        <w:trPr>
          <w:cantSplit w:val="0"/>
          <w:tblHeader w:val="0"/>
        </w:trPr>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7b0d1e"/>
                <w:sz w:val="19"/>
                <w:szCs w:val="19"/>
                <w:rtl w:val="0"/>
              </w:rPr>
              <w:t xml:space="preserve">RevPAR</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1a0a0f"/>
                <w:sz w:val="19"/>
                <w:szCs w:val="19"/>
                <w:rtl w:val="0"/>
              </w:rPr>
              <w:t xml:space="preserve">Revenue Per Available Room</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1a0a0f"/>
                <w:sz w:val="19"/>
                <w:szCs w:val="19"/>
                <w:rtl w:val="0"/>
              </w:rPr>
              <w:t xml:space="preserve">Primary profitability indicator — combines rate and occupancy</w:t>
            </w:r>
            <w:r w:rsidDel="00000000" w:rsidR="00000000" w:rsidRPr="00000000">
              <w:rPr>
                <w:rtl w:val="0"/>
              </w:rPr>
            </w:r>
          </w:p>
        </w:tc>
      </w:tr>
      <w:tr>
        <w:trPr>
          <w:cantSplit w:val="0"/>
          <w:tblHeader w:val="0"/>
        </w:trPr>
        <w:tc>
          <w:tcPr>
            <w:tcBorders>
              <w:top w:color="dec8cb" w:space="0" w:sz="4" w:val="single"/>
              <w:left w:color="dec8cb" w:space="0" w:sz="4" w:val="single"/>
              <w:bottom w:color="dec8cb" w:space="0" w:sz="4" w:val="single"/>
              <w:right w:color="dec8cb" w:space="0" w:sz="4" w:val="single"/>
            </w:tcBorders>
            <w:shd w:fill="ffffff" w:val="clear"/>
            <w:tcMar>
              <w:top w:w="80.0" w:type="dxa"/>
              <w:left w:w="16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7b0d1e"/>
                <w:sz w:val="19"/>
                <w:szCs w:val="19"/>
                <w:rtl w:val="0"/>
              </w:rPr>
              <w:t xml:space="preserve">ADR</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fffff" w:val="clear"/>
            <w:tcMar>
              <w:top w:w="80.0" w:type="dxa"/>
              <w:left w:w="16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1a0a0f"/>
                <w:sz w:val="19"/>
                <w:szCs w:val="19"/>
                <w:rtl w:val="0"/>
              </w:rPr>
              <w:t xml:space="preserve">Average Daily Rate</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fffff" w:val="clear"/>
            <w:tcMar>
              <w:top w:w="80.0" w:type="dxa"/>
              <w:left w:w="16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1a0a0f"/>
                <w:sz w:val="19"/>
                <w:szCs w:val="19"/>
                <w:rtl w:val="0"/>
              </w:rPr>
              <w:t xml:space="preserve">Average revenue per booked room — pricing strategy indicator</w:t>
            </w:r>
            <w:r w:rsidDel="00000000" w:rsidR="00000000" w:rsidRPr="00000000">
              <w:rPr>
                <w:rtl w:val="0"/>
              </w:rPr>
            </w:r>
          </w:p>
        </w:tc>
      </w:tr>
      <w:tr>
        <w:trPr>
          <w:cantSplit w:val="0"/>
          <w:tblHeader w:val="0"/>
        </w:trPr>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7b0d1e"/>
                <w:sz w:val="19"/>
                <w:szCs w:val="19"/>
                <w:rtl w:val="0"/>
              </w:rPr>
              <w:t xml:space="preserve">Occupancy %</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1a0a0f"/>
                <w:sz w:val="19"/>
                <w:szCs w:val="19"/>
                <w:rtl w:val="0"/>
              </w:rPr>
              <w:t xml:space="preserve">Occupancy Percentage</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1a0a0f"/>
                <w:sz w:val="19"/>
                <w:szCs w:val="19"/>
                <w:rtl w:val="0"/>
              </w:rPr>
              <w:t xml:space="preserve">% of available rooms actually booked — demand indicator</w:t>
            </w:r>
            <w:r w:rsidDel="00000000" w:rsidR="00000000" w:rsidRPr="00000000">
              <w:rPr>
                <w:rtl w:val="0"/>
              </w:rPr>
            </w:r>
          </w:p>
        </w:tc>
      </w:tr>
      <w:tr>
        <w:trPr>
          <w:cantSplit w:val="0"/>
          <w:tblHeader w:val="0"/>
        </w:trPr>
        <w:tc>
          <w:tcPr>
            <w:tcBorders>
              <w:top w:color="dec8cb" w:space="0" w:sz="4" w:val="single"/>
              <w:left w:color="dec8cb" w:space="0" w:sz="4" w:val="single"/>
              <w:bottom w:color="dec8cb" w:space="0" w:sz="4" w:val="single"/>
              <w:right w:color="dec8cb" w:space="0" w:sz="4" w:val="single"/>
            </w:tcBorders>
            <w:shd w:fill="ffffff" w:val="clear"/>
            <w:tcMar>
              <w:top w:w="80.0" w:type="dxa"/>
              <w:left w:w="16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7b0d1e"/>
                <w:sz w:val="19"/>
                <w:szCs w:val="19"/>
                <w:rtl w:val="0"/>
              </w:rPr>
              <w:t xml:space="preserve">DSRN</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fffff" w:val="clear"/>
            <w:tcMar>
              <w:top w:w="80.0" w:type="dxa"/>
              <w:left w:w="16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1a0a0f"/>
                <w:sz w:val="19"/>
                <w:szCs w:val="19"/>
                <w:rtl w:val="0"/>
              </w:rPr>
              <w:t xml:space="preserve">Daily Sellable Room Nights</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fffff" w:val="clear"/>
            <w:tcMar>
              <w:top w:w="80.0" w:type="dxa"/>
              <w:left w:w="16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color w:val="1a0a0f"/>
                <w:sz w:val="19"/>
                <w:szCs w:val="19"/>
                <w:rtl w:val="0"/>
              </w:rPr>
              <w:t xml:space="preserve">Total rooms available to sell each day</w:t>
            </w:r>
            <w:r w:rsidDel="00000000" w:rsidR="00000000" w:rsidRPr="00000000">
              <w:rPr>
                <w:rtl w:val="0"/>
              </w:rPr>
            </w:r>
          </w:p>
        </w:tc>
      </w:tr>
      <w:tr>
        <w:trPr>
          <w:cantSplit w:val="0"/>
          <w:tblHeader w:val="0"/>
        </w:trPr>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7b0d1e"/>
                <w:sz w:val="19"/>
                <w:szCs w:val="19"/>
                <w:rtl w:val="0"/>
              </w:rPr>
              <w:t xml:space="preserve">DBRN</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1a0a0f"/>
                <w:sz w:val="19"/>
                <w:szCs w:val="19"/>
                <w:rtl w:val="0"/>
              </w:rPr>
              <w:t xml:space="preserve">Daily Booked Room Nights</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1a0a0f"/>
                <w:sz w:val="19"/>
                <w:szCs w:val="19"/>
                <w:rtl w:val="0"/>
              </w:rPr>
              <w:t xml:space="preserve">Total rooms booked per day</w:t>
            </w:r>
            <w:r w:rsidDel="00000000" w:rsidR="00000000" w:rsidRPr="00000000">
              <w:rPr>
                <w:rtl w:val="0"/>
              </w:rPr>
            </w:r>
          </w:p>
        </w:tc>
      </w:tr>
      <w:tr>
        <w:trPr>
          <w:cantSplit w:val="0"/>
          <w:tblHeader w:val="0"/>
        </w:trPr>
        <w:tc>
          <w:tcPr>
            <w:tcBorders>
              <w:top w:color="dec8cb" w:space="0" w:sz="4" w:val="single"/>
              <w:left w:color="dec8cb" w:space="0" w:sz="4" w:val="single"/>
              <w:bottom w:color="dec8cb" w:space="0" w:sz="4" w:val="single"/>
              <w:right w:color="dec8cb" w:space="0" w:sz="4" w:val="single"/>
            </w:tcBorders>
            <w:shd w:fill="ffffff" w:val="clear"/>
            <w:tcMar>
              <w:top w:w="80.0" w:type="dxa"/>
              <w:left w:w="16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7b0d1e"/>
                <w:sz w:val="19"/>
                <w:szCs w:val="19"/>
                <w:rtl w:val="0"/>
              </w:rPr>
              <w:t xml:space="preserve">DURN</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fffff" w:val="clear"/>
            <w:tcMar>
              <w:top w:w="80.0" w:type="dxa"/>
              <w:left w:w="16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1a0a0f"/>
                <w:sz w:val="19"/>
                <w:szCs w:val="19"/>
                <w:rtl w:val="0"/>
              </w:rPr>
              <w:t xml:space="preserve">Daily Utilised Room Nights</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fffff" w:val="clear"/>
            <w:tcMar>
              <w:top w:w="80.0" w:type="dxa"/>
              <w:left w:w="16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1a0a0f"/>
                <w:sz w:val="19"/>
                <w:szCs w:val="19"/>
                <w:rtl w:val="0"/>
              </w:rPr>
              <w:t xml:space="preserve">Rooms where guests actually stayed (excludes no-shows)</w:t>
            </w:r>
            <w:r w:rsidDel="00000000" w:rsidR="00000000" w:rsidRPr="00000000">
              <w:rPr>
                <w:rtl w:val="0"/>
              </w:rPr>
            </w:r>
          </w:p>
        </w:tc>
      </w:tr>
      <w:tr>
        <w:trPr>
          <w:cantSplit w:val="0"/>
          <w:tblHeader w:val="0"/>
        </w:trPr>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7b0d1e"/>
                <w:sz w:val="19"/>
                <w:szCs w:val="19"/>
                <w:rtl w:val="0"/>
              </w:rPr>
              <w:t xml:space="preserve">Realisation %</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1a0a0f"/>
                <w:sz w:val="19"/>
                <w:szCs w:val="19"/>
                <w:rtl w:val="0"/>
              </w:rPr>
              <w:t xml:space="preserve">Revenue Realisation Rate</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1a0a0f"/>
                <w:sz w:val="19"/>
                <w:szCs w:val="19"/>
                <w:rtl w:val="0"/>
              </w:rPr>
              <w:t xml:space="preserve">% of generated revenue actually collected after cancellations</w:t>
            </w:r>
            <w:r w:rsidDel="00000000" w:rsidR="00000000" w:rsidRPr="00000000">
              <w:rPr>
                <w:rtl w:val="0"/>
              </w:rPr>
            </w:r>
          </w:p>
        </w:tc>
      </w:tr>
      <w:tr>
        <w:trPr>
          <w:cantSplit w:val="0"/>
          <w:tblHeader w:val="0"/>
        </w:trPr>
        <w:tc>
          <w:tcPr>
            <w:tcBorders>
              <w:top w:color="dec8cb" w:space="0" w:sz="4" w:val="single"/>
              <w:left w:color="dec8cb" w:space="0" w:sz="4" w:val="single"/>
              <w:bottom w:color="dec8cb" w:space="0" w:sz="4" w:val="single"/>
              <w:right w:color="dec8cb" w:space="0" w:sz="4" w:val="single"/>
            </w:tcBorders>
            <w:shd w:fill="ffffff" w:val="clear"/>
            <w:tcMar>
              <w:top w:w="80.0" w:type="dxa"/>
              <w:left w:w="16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7b0d1e"/>
                <w:sz w:val="19"/>
                <w:szCs w:val="19"/>
                <w:rtl w:val="0"/>
              </w:rPr>
              <w:t xml:space="preserve">Cancellation %</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fffff" w:val="clear"/>
            <w:tcMar>
              <w:top w:w="80.0" w:type="dxa"/>
              <w:left w:w="16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1a0a0f"/>
                <w:sz w:val="19"/>
                <w:szCs w:val="19"/>
                <w:rtl w:val="0"/>
              </w:rPr>
              <w:t xml:space="preserve">Cancellation Rate</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fffff" w:val="clear"/>
            <w:tcMar>
              <w:top w:w="80.0" w:type="dxa"/>
              <w:left w:w="16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1a0a0f"/>
                <w:sz w:val="19"/>
                <w:szCs w:val="19"/>
                <w:rtl w:val="0"/>
              </w:rPr>
              <w:t xml:space="preserve">% of bookings that were cancelled — risk and refund indicator</w:t>
            </w:r>
            <w:r w:rsidDel="00000000" w:rsidR="00000000" w:rsidRPr="00000000">
              <w:rPr>
                <w:rtl w:val="0"/>
              </w:rPr>
            </w:r>
          </w:p>
        </w:tc>
      </w:tr>
    </w:tbl>
    <w:p w:rsidR="00000000" w:rsidDel="00000000" w:rsidP="00000000" w:rsidRDefault="00000000" w:rsidRPr="00000000" w14:paraId="0000005D">
      <w:pPr>
        <w:spacing w:after="0" w:before="200" w:lineRule="auto"/>
        <w:rPr/>
      </w:pPr>
      <w:r w:rsidDel="00000000" w:rsidR="00000000" w:rsidRPr="00000000">
        <w:rPr>
          <w:rtl w:val="0"/>
        </w:rPr>
      </w:r>
    </w:p>
    <w:p w:rsidR="00000000" w:rsidDel="00000000" w:rsidP="00000000" w:rsidRDefault="00000000" w:rsidRPr="00000000" w14:paraId="0000005E">
      <w:pPr>
        <w:pStyle w:val="Heading1"/>
        <w:pBdr>
          <w:bottom w:color="7b0d1e" w:space="4" w:sz="4" w:val="single"/>
        </w:pBdr>
        <w:spacing w:after="120" w:before="360" w:lineRule="auto"/>
        <w:rPr/>
      </w:pPr>
      <w:r w:rsidDel="00000000" w:rsidR="00000000" w:rsidRPr="00000000">
        <w:rPr>
          <w:rFonts w:ascii="Arial" w:cs="Arial" w:eastAsia="Arial" w:hAnsi="Arial"/>
          <w:b w:val="1"/>
          <w:bCs w:val="1"/>
          <w:color w:val="7b0d1e"/>
          <w:sz w:val="28"/>
          <w:szCs w:val="28"/>
          <w:rtl w:val="0"/>
        </w:rPr>
        <w:t xml:space="preserve">6. Project Scope &amp; Deliverables</w:t>
      </w:r>
      <w:r w:rsidDel="00000000" w:rsidR="00000000" w:rsidRPr="00000000">
        <w:rPr>
          <w:rtl w:val="0"/>
        </w:rPr>
      </w:r>
    </w:p>
    <w:p w:rsidR="00000000" w:rsidDel="00000000" w:rsidP="00000000" w:rsidRDefault="00000000" w:rsidRPr="00000000" w14:paraId="0000005F">
      <w:pPr>
        <w:pStyle w:val="Heading2"/>
        <w:spacing w:after="80" w:before="240" w:lineRule="auto"/>
        <w:rPr/>
      </w:pPr>
      <w:r w:rsidDel="00000000" w:rsidR="00000000" w:rsidRPr="00000000">
        <w:rPr>
          <w:rFonts w:ascii="Arial" w:cs="Arial" w:eastAsia="Arial" w:hAnsi="Arial"/>
          <w:b w:val="1"/>
          <w:bCs w:val="1"/>
          <w:color w:val="1a0a0f"/>
          <w:sz w:val="24"/>
          <w:szCs w:val="24"/>
          <w:rtl w:val="0"/>
        </w:rPr>
        <w:t xml:space="preserve">6.1 In Scope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0a0f"/>
          <w:sz w:val="22"/>
          <w:szCs w:val="22"/>
          <w:u w:val="none"/>
          <w:shd w:fill="auto" w:val="clear"/>
          <w:vertAlign w:val="baseline"/>
          <w:rtl w:val="0"/>
        </w:rPr>
        <w:t xml:space="preserve">Interactive Power BI dashboard with city and room class filters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0a0f"/>
          <w:sz w:val="22"/>
          <w:szCs w:val="22"/>
          <w:u w:val="none"/>
          <w:shd w:fill="auto" w:val="clear"/>
          <w:vertAlign w:val="baseline"/>
          <w:rtl w:val="0"/>
        </w:rPr>
        <w:t xml:space="preserve">Week-on-week KPI change indicators for all 6 primary metrics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0a0f"/>
          <w:sz w:val="22"/>
          <w:szCs w:val="22"/>
          <w:u w:val="none"/>
          <w:shd w:fill="auto" w:val="clear"/>
          <w:vertAlign w:val="baseline"/>
          <w:rtl w:val="0"/>
        </w:rPr>
        <w:t xml:space="preserve">Custom tooltip pages for Revenue, ADR, DSRN, Occupancy %, and Realisation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0a0f"/>
          <w:sz w:val="22"/>
          <w:szCs w:val="22"/>
          <w:u w:val="none"/>
          <w:shd w:fill="auto" w:val="clear"/>
          <w:vertAlign w:val="baseline"/>
          <w:rtl w:val="0"/>
        </w:rPr>
        <w:t xml:space="preserve">Booking platform performance analysis (Realisation % and ADR by channel)</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0a0f"/>
          <w:sz w:val="22"/>
          <w:szCs w:val="22"/>
          <w:u w:val="none"/>
          <w:shd w:fill="auto" w:val="clear"/>
          <w:vertAlign w:val="baseline"/>
          <w:rtl w:val="0"/>
        </w:rPr>
        <w:t xml:space="preserve">Weekend vs. weekday performance breakdown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0a0f"/>
          <w:sz w:val="22"/>
          <w:szCs w:val="22"/>
          <w:u w:val="none"/>
          <w:shd w:fill="auto" w:val="clear"/>
          <w:vertAlign w:val="baseline"/>
          <w:rtl w:val="0"/>
        </w:rPr>
        <w:t xml:space="preserve">Property-level drill-down table with all KPIs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0a0f"/>
          <w:sz w:val="22"/>
          <w:szCs w:val="22"/>
          <w:u w:val="none"/>
          <w:shd w:fill="auto" w:val="clear"/>
          <w:vertAlign w:val="baseline"/>
          <w:rtl w:val="0"/>
        </w:rPr>
        <w:t xml:space="preserve">Trend analysis across 13 weeks (W19–W31)</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0a0f"/>
          <w:sz w:val="22"/>
          <w:szCs w:val="22"/>
          <w:u w:val="none"/>
          <w:shd w:fill="auto" w:val="clear"/>
          <w:vertAlign w:val="baseline"/>
          <w:rtl w:val="0"/>
        </w:rPr>
        <w:t xml:space="preserve">Business insight presentation with actionable recommendations</w:t>
      </w:r>
    </w:p>
    <w:p w:rsidR="00000000" w:rsidDel="00000000" w:rsidP="00000000" w:rsidRDefault="00000000" w:rsidRPr="00000000" w14:paraId="00000068">
      <w:pPr>
        <w:spacing w:after="0" w:before="80" w:lineRule="auto"/>
        <w:rPr/>
      </w:pPr>
      <w:r w:rsidDel="00000000" w:rsidR="00000000" w:rsidRPr="00000000">
        <w:rPr>
          <w:rtl w:val="0"/>
        </w:rPr>
      </w:r>
    </w:p>
    <w:p w:rsidR="00000000" w:rsidDel="00000000" w:rsidP="00000000" w:rsidRDefault="00000000" w:rsidRPr="00000000" w14:paraId="00000069">
      <w:pPr>
        <w:pStyle w:val="Heading2"/>
        <w:spacing w:after="80" w:before="240" w:lineRule="auto"/>
        <w:rPr/>
      </w:pPr>
      <w:r w:rsidDel="00000000" w:rsidR="00000000" w:rsidRPr="00000000">
        <w:rPr>
          <w:rFonts w:ascii="Arial" w:cs="Arial" w:eastAsia="Arial" w:hAnsi="Arial"/>
          <w:b w:val="1"/>
          <w:bCs w:val="1"/>
          <w:color w:val="1a0a0f"/>
          <w:sz w:val="24"/>
          <w:szCs w:val="24"/>
          <w:rtl w:val="0"/>
        </w:rPr>
        <w:t xml:space="preserve">6.2 Out of Scope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0a0f"/>
          <w:sz w:val="22"/>
          <w:szCs w:val="22"/>
          <w:u w:val="none"/>
          <w:shd w:fill="auto" w:val="clear"/>
          <w:vertAlign w:val="baseline"/>
          <w:rtl w:val="0"/>
        </w:rPr>
        <w:t xml:space="preserve">Real-time data integration or live database connections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0a0f"/>
          <w:sz w:val="22"/>
          <w:szCs w:val="22"/>
          <w:u w:val="none"/>
          <w:shd w:fill="auto" w:val="clear"/>
          <w:vertAlign w:val="baseline"/>
          <w:rtl w:val="0"/>
        </w:rPr>
        <w:t xml:space="preserve">Predictive modeling or forecasting (potential future phase)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0a0f"/>
          <w:sz w:val="22"/>
          <w:szCs w:val="22"/>
          <w:u w:val="none"/>
          <w:shd w:fill="auto" w:val="clear"/>
          <w:vertAlign w:val="baseline"/>
          <w:rtl w:val="0"/>
        </w:rPr>
        <w:t xml:space="preserve">Customer-level segmentation or loyalty analysis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0a0f"/>
          <w:sz w:val="22"/>
          <w:szCs w:val="22"/>
          <w:u w:val="none"/>
          <w:shd w:fill="auto" w:val="clear"/>
          <w:vertAlign w:val="baseline"/>
          <w:rtl w:val="0"/>
        </w:rPr>
        <w:t xml:space="preserve">Competitor benchmarking or external market data</w:t>
      </w:r>
    </w:p>
    <w:p w:rsidR="00000000" w:rsidDel="00000000" w:rsidP="00000000" w:rsidRDefault="00000000" w:rsidRPr="00000000" w14:paraId="0000006E">
      <w:pPr>
        <w:spacing w:after="0" w:before="200" w:lineRule="auto"/>
        <w:rPr/>
      </w:pPr>
      <w:r w:rsidDel="00000000" w:rsidR="00000000" w:rsidRPr="00000000">
        <w:rPr>
          <w:rtl w:val="0"/>
        </w:rPr>
      </w:r>
    </w:p>
    <w:p w:rsidR="00000000" w:rsidDel="00000000" w:rsidP="00000000" w:rsidRDefault="00000000" w:rsidRPr="00000000" w14:paraId="0000006F">
      <w:pPr>
        <w:pStyle w:val="Heading1"/>
        <w:pBdr>
          <w:bottom w:color="7b0d1e" w:space="4" w:sz="4" w:val="single"/>
        </w:pBdr>
        <w:spacing w:after="120" w:before="360" w:lineRule="auto"/>
        <w:rPr/>
      </w:pPr>
      <w:r w:rsidDel="00000000" w:rsidR="00000000" w:rsidRPr="00000000">
        <w:rPr>
          <w:rFonts w:ascii="Arial" w:cs="Arial" w:eastAsia="Arial" w:hAnsi="Arial"/>
          <w:b w:val="1"/>
          <w:bCs w:val="1"/>
          <w:color w:val="7b0d1e"/>
          <w:sz w:val="28"/>
          <w:szCs w:val="28"/>
          <w:rtl w:val="0"/>
        </w:rPr>
        <w:t xml:space="preserve">7. Key Findings Summary</w:t>
      </w:r>
      <w:r w:rsidDel="00000000" w:rsidR="00000000" w:rsidRPr="00000000">
        <w:rPr>
          <w:rtl w:val="0"/>
        </w:rPr>
      </w:r>
    </w:p>
    <w:p w:rsidR="00000000" w:rsidDel="00000000" w:rsidP="00000000" w:rsidRDefault="00000000" w:rsidRPr="00000000" w14:paraId="00000070">
      <w:pPr>
        <w:spacing w:after="80" w:before="60" w:lineRule="auto"/>
        <w:rPr/>
      </w:pPr>
      <w:r w:rsidDel="00000000" w:rsidR="00000000" w:rsidRPr="00000000">
        <w:rPr>
          <w:rFonts w:ascii="Arial" w:cs="Arial" w:eastAsia="Arial" w:hAnsi="Arial"/>
          <w:color w:val="1a0a0f"/>
          <w:sz w:val="22"/>
          <w:szCs w:val="22"/>
          <w:rtl w:val="0"/>
        </w:rPr>
        <w:t xml:space="preserve">The following high-level findings emerged from the analysis. Full details and recommendations are covered in the accompanying presentation.</w:t>
      </w:r>
      <w:r w:rsidDel="00000000" w:rsidR="00000000" w:rsidRPr="00000000">
        <w:rPr>
          <w:rtl w:val="0"/>
        </w:rPr>
      </w:r>
    </w:p>
    <w:p w:rsidR="00000000" w:rsidDel="00000000" w:rsidP="00000000" w:rsidRDefault="00000000" w:rsidRPr="00000000" w14:paraId="00000071">
      <w:pPr>
        <w:spacing w:after="0" w:before="80" w:lineRule="auto"/>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7b0d1e"/>
          <w:sz w:val="22"/>
          <w:szCs w:val="22"/>
          <w:u w:val="none"/>
          <w:shd w:fill="auto" w:val="clear"/>
          <w:vertAlign w:val="baseline"/>
          <w:rtl w:val="0"/>
        </w:rPr>
        <w:t xml:space="preserve">Finding 1: </w:t>
      </w:r>
      <w:r w:rsidDel="00000000" w:rsidR="00000000" w:rsidRPr="00000000">
        <w:rPr>
          <w:rFonts w:ascii="Arial" w:cs="Arial" w:eastAsia="Arial" w:hAnsi="Arial"/>
          <w:b w:val="0"/>
          <w:bCs w:val="0"/>
          <w:i w:val="0"/>
          <w:iCs w:val="0"/>
          <w:smallCaps w:val="0"/>
          <w:strike w:val="0"/>
          <w:color w:val="1a0a0f"/>
          <w:sz w:val="22"/>
          <w:szCs w:val="22"/>
          <w:u w:val="none"/>
          <w:shd w:fill="auto" w:val="clear"/>
          <w:vertAlign w:val="baseline"/>
          <w:rtl w:val="0"/>
        </w:rPr>
        <w:t xml:space="preserve">Dynamic pricing is not being used.</w:t>
      </w:r>
    </w:p>
    <w:p w:rsidR="00000000" w:rsidDel="00000000" w:rsidP="00000000" w:rsidRDefault="00000000" w:rsidRPr="00000000" w14:paraId="00000073">
      <w:pPr>
        <w:spacing w:after="80" w:before="60" w:lineRule="auto"/>
        <w:rPr/>
      </w:pPr>
      <w:r w:rsidDel="00000000" w:rsidR="00000000" w:rsidRPr="00000000">
        <w:rPr>
          <w:rFonts w:ascii="Arial" w:cs="Arial" w:eastAsia="Arial" w:hAnsi="Arial"/>
          <w:color w:val="6b4a52"/>
          <w:sz w:val="22"/>
          <w:szCs w:val="22"/>
          <w:rtl w:val="0"/>
        </w:rPr>
        <w:t xml:space="preserve">ADR remains flat across all 13 weeks despite significant occupancy fluctuations. RevPAR changes are entirely driven by demand, not rate strategy.</w:t>
      </w:r>
      <w:r w:rsidDel="00000000" w:rsidR="00000000" w:rsidRPr="00000000">
        <w:rPr>
          <w:rtl w:val="0"/>
        </w:rPr>
      </w:r>
    </w:p>
    <w:p w:rsidR="00000000" w:rsidDel="00000000" w:rsidP="00000000" w:rsidRDefault="00000000" w:rsidRPr="00000000" w14:paraId="00000074">
      <w:pPr>
        <w:spacing w:after="0" w:before="60" w:lineRule="auto"/>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7b0d1e"/>
          <w:sz w:val="22"/>
          <w:szCs w:val="22"/>
          <w:u w:val="none"/>
          <w:shd w:fill="auto" w:val="clear"/>
          <w:vertAlign w:val="baseline"/>
          <w:rtl w:val="0"/>
        </w:rPr>
        <w:t xml:space="preserve">Finding 2: </w:t>
      </w:r>
      <w:r w:rsidDel="00000000" w:rsidR="00000000" w:rsidRPr="00000000">
        <w:rPr>
          <w:rFonts w:ascii="Arial" w:cs="Arial" w:eastAsia="Arial" w:hAnsi="Arial"/>
          <w:b w:val="0"/>
          <w:bCs w:val="0"/>
          <w:i w:val="0"/>
          <w:iCs w:val="0"/>
          <w:smallCaps w:val="0"/>
          <w:strike w:val="0"/>
          <w:color w:val="1a0a0f"/>
          <w:sz w:val="22"/>
          <w:szCs w:val="22"/>
          <w:u w:val="none"/>
          <w:shd w:fill="auto" w:val="clear"/>
          <w:vertAlign w:val="baseline"/>
          <w:rtl w:val="0"/>
        </w:rPr>
        <w:t xml:space="preserve">Weekend pricing opportunity is untapped.</w:t>
      </w:r>
    </w:p>
    <w:p w:rsidR="00000000" w:rsidDel="00000000" w:rsidP="00000000" w:rsidRDefault="00000000" w:rsidRPr="00000000" w14:paraId="00000076">
      <w:pPr>
        <w:spacing w:after="80" w:before="60" w:lineRule="auto"/>
        <w:rPr/>
      </w:pPr>
      <w:r w:rsidDel="00000000" w:rsidR="00000000" w:rsidRPr="00000000">
        <w:rPr>
          <w:rFonts w:ascii="Arial" w:cs="Arial" w:eastAsia="Arial" w:hAnsi="Arial"/>
          <w:color w:val="6b4a52"/>
          <w:sz w:val="22"/>
          <w:szCs w:val="22"/>
          <w:rtl w:val="0"/>
        </w:rPr>
        <w:t xml:space="preserve">Weekend occupancy (62.79%) is significantly higher than weekday (56.06%), yet ADR is nearly identical — a clear missed revenue opportunity.</w:t>
      </w:r>
      <w:r w:rsidDel="00000000" w:rsidR="00000000" w:rsidRPr="00000000">
        <w:rPr>
          <w:rtl w:val="0"/>
        </w:rPr>
      </w:r>
    </w:p>
    <w:p w:rsidR="00000000" w:rsidDel="00000000" w:rsidP="00000000" w:rsidRDefault="00000000" w:rsidRPr="00000000" w14:paraId="00000077">
      <w:pPr>
        <w:spacing w:after="0" w:before="60" w:lineRule="auto"/>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7b0d1e"/>
          <w:sz w:val="22"/>
          <w:szCs w:val="22"/>
          <w:u w:val="none"/>
          <w:shd w:fill="auto" w:val="clear"/>
          <w:vertAlign w:val="baseline"/>
          <w:rtl w:val="0"/>
        </w:rPr>
        <w:t xml:space="preserve">Finding 3: </w:t>
      </w:r>
      <w:r w:rsidDel="00000000" w:rsidR="00000000" w:rsidRPr="00000000">
        <w:rPr>
          <w:rFonts w:ascii="Arial" w:cs="Arial" w:eastAsia="Arial" w:hAnsi="Arial"/>
          <w:b w:val="0"/>
          <w:bCs w:val="0"/>
          <w:i w:val="0"/>
          <w:iCs w:val="0"/>
          <w:smallCaps w:val="0"/>
          <w:strike w:val="0"/>
          <w:color w:val="1a0a0f"/>
          <w:sz w:val="22"/>
          <w:szCs w:val="22"/>
          <w:u w:val="none"/>
          <w:shd w:fill="auto" w:val="clear"/>
          <w:vertAlign w:val="baseline"/>
          <w:rtl w:val="0"/>
        </w:rPr>
        <w:t xml:space="preserve">OTA channel strategy needs optimization.</w:t>
      </w:r>
    </w:p>
    <w:p w:rsidR="00000000" w:rsidDel="00000000" w:rsidP="00000000" w:rsidRDefault="00000000" w:rsidRPr="00000000" w14:paraId="00000079">
      <w:pPr>
        <w:spacing w:after="80" w:before="60" w:lineRule="auto"/>
        <w:rPr/>
      </w:pPr>
      <w:r w:rsidDel="00000000" w:rsidR="00000000" w:rsidRPr="00000000">
        <w:rPr>
          <w:rFonts w:ascii="Arial" w:cs="Arial" w:eastAsia="Arial" w:hAnsi="Arial"/>
          <w:color w:val="6b4a52"/>
          <w:sz w:val="22"/>
          <w:szCs w:val="22"/>
          <w:rtl w:val="0"/>
        </w:rPr>
        <w:t xml:space="preserve">Direct online channel has lower ADR. OTA bots penalize hotels that list lower prices elsewhere. Coupon-based direct discounts are a safer strategy than reducing listed prices.</w:t>
      </w:r>
      <w:r w:rsidDel="00000000" w:rsidR="00000000" w:rsidRPr="00000000">
        <w:rPr>
          <w:rtl w:val="0"/>
        </w:rPr>
      </w:r>
    </w:p>
    <w:p w:rsidR="00000000" w:rsidDel="00000000" w:rsidP="00000000" w:rsidRDefault="00000000" w:rsidRPr="00000000" w14:paraId="0000007A">
      <w:pPr>
        <w:spacing w:after="0" w:before="60" w:lineRule="auto"/>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7b0d1e"/>
          <w:sz w:val="22"/>
          <w:szCs w:val="22"/>
          <w:u w:val="none"/>
          <w:shd w:fill="auto" w:val="clear"/>
          <w:vertAlign w:val="baseline"/>
          <w:rtl w:val="0"/>
        </w:rPr>
        <w:t xml:space="preserve">Finding 4: </w:t>
      </w:r>
      <w:r w:rsidDel="00000000" w:rsidR="00000000" w:rsidRPr="00000000">
        <w:rPr>
          <w:rFonts w:ascii="Arial" w:cs="Arial" w:eastAsia="Arial" w:hAnsi="Arial"/>
          <w:b w:val="0"/>
          <w:bCs w:val="0"/>
          <w:i w:val="0"/>
          <w:iCs w:val="0"/>
          <w:smallCaps w:val="0"/>
          <w:strike w:val="0"/>
          <w:color w:val="1a0a0f"/>
          <w:sz w:val="22"/>
          <w:szCs w:val="22"/>
          <w:u w:val="none"/>
          <w:shd w:fill="auto" w:val="clear"/>
          <w:vertAlign w:val="baseline"/>
          <w:rtl w:val="0"/>
        </w:rPr>
        <w:t xml:space="preserve">Atliq Grands Bangalore is critically underperforming.</w:t>
      </w:r>
    </w:p>
    <w:p w:rsidR="00000000" w:rsidDel="00000000" w:rsidP="00000000" w:rsidRDefault="00000000" w:rsidRPr="00000000" w14:paraId="0000007C">
      <w:pPr>
        <w:spacing w:after="80" w:before="60" w:lineRule="auto"/>
        <w:rPr/>
      </w:pPr>
      <w:r w:rsidDel="00000000" w:rsidR="00000000" w:rsidRPr="00000000">
        <w:rPr>
          <w:rFonts w:ascii="Arial" w:cs="Arial" w:eastAsia="Arial" w:hAnsi="Arial"/>
          <w:color w:val="6b4a52"/>
          <w:sz w:val="22"/>
          <w:szCs w:val="22"/>
          <w:rtl w:val="0"/>
        </w:rPr>
        <w:t xml:space="preserve">Lowest occupancy and lowest average rating (2.33/5) across all properties. Data confirms a strong positive correlation between rating and occupancy across the entire portfolio.</w:t>
      </w:r>
      <w:r w:rsidDel="00000000" w:rsidR="00000000" w:rsidRPr="00000000">
        <w:rPr>
          <w:rtl w:val="0"/>
        </w:rPr>
      </w:r>
    </w:p>
    <w:p w:rsidR="00000000" w:rsidDel="00000000" w:rsidP="00000000" w:rsidRDefault="00000000" w:rsidRPr="00000000" w14:paraId="0000007D">
      <w:pPr>
        <w:spacing w:after="0" w:before="200" w:lineRule="auto"/>
        <w:rPr/>
      </w:pPr>
      <w:r w:rsidDel="00000000" w:rsidR="00000000" w:rsidRPr="00000000">
        <w:rPr>
          <w:rtl w:val="0"/>
        </w:rPr>
      </w:r>
    </w:p>
    <w:p w:rsidR="00000000" w:rsidDel="00000000" w:rsidP="00000000" w:rsidRDefault="00000000" w:rsidRPr="00000000" w14:paraId="0000007E">
      <w:pPr>
        <w:pStyle w:val="Heading1"/>
        <w:pBdr>
          <w:bottom w:color="7b0d1e" w:space="4" w:sz="4" w:val="single"/>
        </w:pBdr>
        <w:spacing w:after="120" w:before="360" w:lineRule="auto"/>
        <w:rPr/>
      </w:pPr>
      <w:r w:rsidDel="00000000" w:rsidR="00000000" w:rsidRPr="00000000">
        <w:rPr>
          <w:rFonts w:ascii="Arial" w:cs="Arial" w:eastAsia="Arial" w:hAnsi="Arial"/>
          <w:b w:val="1"/>
          <w:bCs w:val="1"/>
          <w:color w:val="7b0d1e"/>
          <w:sz w:val="28"/>
          <w:szCs w:val="28"/>
          <w:rtl w:val="0"/>
        </w:rPr>
        <w:t xml:space="preserve">8. Tools &amp; Technologies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7b0d1e"/>
                <w:sz w:val="20"/>
                <w:szCs w:val="20"/>
                <w:rtl w:val="0"/>
              </w:rPr>
              <w:t xml:space="preserve">Power BI Desktop</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1a0a0f"/>
                <w:sz w:val="20"/>
                <w:szCs w:val="20"/>
                <w:rtl w:val="0"/>
              </w:rPr>
              <w:t xml:space="preserve">Dashboard design, data modeling, interactive visualization, custom tooltip pages, slicers</w:t>
            </w:r>
            <w:r w:rsidDel="00000000" w:rsidR="00000000" w:rsidRPr="00000000">
              <w:rPr>
                <w:rtl w:val="0"/>
              </w:rPr>
            </w:r>
          </w:p>
        </w:tc>
      </w:tr>
      <w:tr>
        <w:trPr>
          <w:cantSplit w:val="0"/>
          <w:tblHeader w:val="0"/>
        </w:trPr>
        <w:tc>
          <w:tcPr>
            <w:tcBorders>
              <w:top w:color="dec8cb" w:space="0" w:sz="4" w:val="single"/>
              <w:left w:color="dec8cb" w:space="0" w:sz="4" w:val="single"/>
              <w:bottom w:color="dec8cb" w:space="0" w:sz="4" w:val="single"/>
              <w:right w:color="dec8cb" w:space="0" w:sz="4" w:val="single"/>
            </w:tcBorders>
            <w:shd w:fill="ffffff" w:val="clear"/>
            <w:tcMar>
              <w:top w:w="80.0" w:type="dxa"/>
              <w:left w:w="16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7b0d1e"/>
                <w:sz w:val="20"/>
                <w:szCs w:val="20"/>
                <w:rtl w:val="0"/>
              </w:rPr>
              <w:t xml:space="preserve">DAX</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fffff" w:val="clear"/>
            <w:tcMar>
              <w:top w:w="80.0" w:type="dxa"/>
              <w:left w:w="16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1a0a0f"/>
                <w:sz w:val="20"/>
                <w:szCs w:val="20"/>
                <w:rtl w:val="0"/>
              </w:rPr>
              <w:t xml:space="preserve">All KPI measures including RevPAR, ADR, Occupancy %, Realisation %, WoW change calculations</w:t>
            </w:r>
            <w:r w:rsidDel="00000000" w:rsidR="00000000" w:rsidRPr="00000000">
              <w:rPr>
                <w:rtl w:val="0"/>
              </w:rPr>
            </w:r>
          </w:p>
        </w:tc>
      </w:tr>
      <w:tr>
        <w:trPr>
          <w:cantSplit w:val="0"/>
          <w:tblHeader w:val="0"/>
        </w:trPr>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7b0d1e"/>
                <w:sz w:val="20"/>
                <w:szCs w:val="20"/>
                <w:rtl w:val="0"/>
              </w:rPr>
              <w:t xml:space="preserve">Microsoft Excel</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1a0a0f"/>
                <w:sz w:val="20"/>
                <w:szCs w:val="20"/>
                <w:rtl w:val="0"/>
              </w:rPr>
              <w:t xml:space="preserve">Initial data exploration, metrics reference documentation</w:t>
            </w:r>
            <w:r w:rsidDel="00000000" w:rsidR="00000000" w:rsidRPr="00000000">
              <w:rPr>
                <w:rtl w:val="0"/>
              </w:rPr>
            </w:r>
          </w:p>
        </w:tc>
      </w:tr>
      <w:tr>
        <w:trPr>
          <w:cantSplit w:val="0"/>
          <w:tblHeader w:val="0"/>
        </w:trPr>
        <w:tc>
          <w:tcPr>
            <w:tcBorders>
              <w:top w:color="dec8cb" w:space="0" w:sz="4" w:val="single"/>
              <w:left w:color="dec8cb" w:space="0" w:sz="4" w:val="single"/>
              <w:bottom w:color="dec8cb" w:space="0" w:sz="4" w:val="single"/>
              <w:right w:color="dec8cb" w:space="0" w:sz="4" w:val="single"/>
            </w:tcBorders>
            <w:shd w:fill="ffffff" w:val="clear"/>
            <w:tcMar>
              <w:top w:w="80.0" w:type="dxa"/>
              <w:left w:w="16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7b0d1e"/>
                <w:sz w:val="20"/>
                <w:szCs w:val="20"/>
                <w:rtl w:val="0"/>
              </w:rPr>
              <w:t xml:space="preserve">CSV / Flat Files</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fffff" w:val="clear"/>
            <w:tcMar>
              <w:top w:w="80.0" w:type="dxa"/>
              <w:left w:w="16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1a0a0f"/>
                <w:sz w:val="20"/>
                <w:szCs w:val="20"/>
                <w:rtl w:val="0"/>
              </w:rPr>
              <w:t xml:space="preserve">Raw data source — 5 structured files totaling ~143,000 rows</w:t>
            </w:r>
            <w:r w:rsidDel="00000000" w:rsidR="00000000" w:rsidRPr="00000000">
              <w:rPr>
                <w:rtl w:val="0"/>
              </w:rPr>
            </w:r>
          </w:p>
        </w:tc>
      </w:tr>
      <w:tr>
        <w:trPr>
          <w:cantSplit w:val="0"/>
          <w:tblHeader w:val="0"/>
        </w:trPr>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7b0d1e"/>
                <w:sz w:val="20"/>
                <w:szCs w:val="20"/>
                <w:rtl w:val="0"/>
              </w:rPr>
              <w:t xml:space="preserve">GitHub</w:t>
            </w:r>
            <w:r w:rsidDel="00000000" w:rsidR="00000000" w:rsidRPr="00000000">
              <w:rPr>
                <w:rtl w:val="0"/>
              </w:rPr>
            </w:r>
          </w:p>
        </w:tc>
        <w:tc>
          <w:tcPr>
            <w:tcBorders>
              <w:top w:color="dec8cb" w:space="0" w:sz="4" w:val="single"/>
              <w:left w:color="dec8cb" w:space="0" w:sz="4" w:val="single"/>
              <w:bottom w:color="dec8cb" w:space="0" w:sz="4" w:val="single"/>
              <w:right w:color="dec8cb" w:space="0" w:sz="4" w:val="single"/>
            </w:tcBorders>
            <w:shd w:fill="f5edef" w:val="clear"/>
            <w:tcMar>
              <w:top w:w="80.0" w:type="dxa"/>
              <w:left w:w="16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1a0a0f"/>
                <w:sz w:val="20"/>
                <w:szCs w:val="20"/>
                <w:rtl w:val="0"/>
              </w:rPr>
              <w:t xml:space="preserve">Version control and project portfolio hosting</w:t>
            </w:r>
            <w:r w:rsidDel="00000000" w:rsidR="00000000" w:rsidRPr="00000000">
              <w:rPr>
                <w:rtl w:val="0"/>
              </w:rPr>
            </w:r>
          </w:p>
        </w:tc>
      </w:tr>
    </w:tbl>
    <w:p w:rsidR="00000000" w:rsidDel="00000000" w:rsidP="00000000" w:rsidRDefault="00000000" w:rsidRPr="00000000" w14:paraId="00000089">
      <w:pPr>
        <w:spacing w:after="0" w:before="300" w:lineRule="auto"/>
        <w:rPr/>
      </w:pPr>
      <w:r w:rsidDel="00000000" w:rsidR="00000000" w:rsidRPr="00000000">
        <w:rPr>
          <w:rtl w:val="0"/>
        </w:rPr>
      </w:r>
    </w:p>
    <w:p w:rsidR="00000000" w:rsidDel="00000000" w:rsidP="00000000" w:rsidRDefault="00000000" w:rsidRPr="00000000" w14:paraId="0000008A">
      <w:pPr>
        <w:jc w:val="center"/>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top w:color="7b0d1e" w:space="6" w:sz="4" w:val="single"/>
      </w:pBdr>
      <w:tabs>
        <w:tab w:val="right" w:leader="none" w:pos="9026"/>
      </w:tabs>
      <w:spacing w:before="8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bottom w:color="7b0d1e" w:space="6" w:sz="4" w:val="single"/>
      </w:pBdr>
      <w:spacing w:after="0" w:lineRule="auto"/>
      <w:rPr/>
    </w:pPr>
    <w:r w:rsidDel="00000000" w:rsidR="00000000" w:rsidRPr="00000000">
      <w:rPr>
        <w:rFonts w:ascii="Arial" w:cs="Arial" w:eastAsia="Arial" w:hAnsi="Arial"/>
        <w:b w:val="1"/>
        <w:bCs w:val="1"/>
        <w:color w:val="7b0d1e"/>
        <w:sz w:val="18"/>
        <w:szCs w:val="18"/>
        <w:rtl w:val="0"/>
      </w:rPr>
      <w:t xml:space="preserve">AtliQ Hotels — Hospitality Analytics Project</w:t>
    </w:r>
    <w:r w:rsidDel="00000000" w:rsidR="00000000" w:rsidRPr="00000000">
      <w:rPr>
        <w:rFonts w:ascii="Arial" w:cs="Arial" w:eastAsia="Arial" w:hAnsi="Arial"/>
        <w:color w:val="6b4a52"/>
        <w:sz w:val="18"/>
        <w:szCs w:val="18"/>
        <w:rtl w:val="0"/>
      </w:rPr>
      <w:t xml:space="preserve">   |   Problem Statement &amp; Project Scope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0a0f"/>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7b0d1e"/>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a0a0f"/>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0a0f"/>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